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26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333" w:lineRule="exact"/>
        <w:rPr>
          <w:sz w:val="24"/>
          <w:szCs w:val="24"/>
          <w:color w:val="auto"/>
        </w:rPr>
      </w:pPr>
    </w:p>
    <w:p>
      <w:pPr>
        <w:ind w:left="700" w:right="224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927" w:right="25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560"/>
          </w:cols>
          <w:pgMar w:left="240" w:top="927" w:right="25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500, Denver, Colorado 80265</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400"/>
          </w:cols>
          <w:pgMar w:left="240" w:top="927" w:right="25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927" w:right="25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4860" w:space="720"/>
            <w:col w:w="2660" w:space="720"/>
            <w:col w:w="100"/>
          </w:cols>
          <w:pgMar w:left="240" w:top="92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620" w:space="720"/>
            <w:col w:w="4860" w:space="720"/>
            <w:col w:w="2660" w:space="720"/>
            <w:col w:w="100"/>
          </w:cols>
          <w:pgMar w:left="240" w:top="927" w:right="259" w:bottom="1440" w:gutter="0" w:footer="0" w:header="0"/>
          <w:type w:val="continuous"/>
        </w:sectPr>
      </w:pPr>
    </w:p>
    <w:p>
      <w:pPr>
        <w:spacing w:after="0" w:line="31" w:lineRule="exact"/>
        <w:rPr>
          <w:sz w:val="24"/>
          <w:szCs w:val="24"/>
          <w:color w:val="auto"/>
        </w:rPr>
      </w:pPr>
    </w:p>
    <w:p>
      <w:pPr>
        <w:spacing w:after="0" w:line="207" w:lineRule="exact"/>
        <w:tabs>
          <w:tab w:leader="none" w:pos="8340" w:val="left"/>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At September 30, 2013, there were 179,281,102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8"/>
            <w:shd w:val="clear" w:color="auto" w:fill="CCEEFF"/>
          </w:tcPr>
          <w:p>
            <w:pPr>
              <w:ind w:left="4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5"/>
              </w:rPr>
            </w:pPr>
            <w:hyperlink w:anchor="page3">
              <w:r>
                <w:rPr>
                  <w:rFonts w:ascii="Arial" w:cs="Arial" w:eastAsia="Arial" w:hAnsi="Arial"/>
                  <w:sz w:val="18"/>
                  <w:szCs w:val="18"/>
                  <w:color w:val="0000FF"/>
                  <w:w w:val="95"/>
                </w:rPr>
                <w:t>UNAUDITED CONDENSED CONSOLIDATED STATEMENTS OF OPERATIONS FOR THE THREE AND</w:t>
              </w:r>
            </w:hyperlink>
          </w:p>
        </w:tc>
        <w:tc>
          <w:tcPr>
            <w:tcW w:w="36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5"/>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NINE MONTHS ENDED SEPTMEBER 30, 2013 AND 2012</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16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95"/>
              </w:rPr>
            </w:pPr>
            <w:hyperlink w:anchor="page3">
              <w:r>
                <w:rPr>
                  <w:rFonts w:ascii="Arial" w:cs="Arial" w:eastAsia="Arial" w:hAnsi="Arial"/>
                  <w:sz w:val="18"/>
                  <w:szCs w:val="18"/>
                  <w:color w:val="0000FF"/>
                  <w:w w:val="95"/>
                </w:rPr>
                <w:t>UNAUDITED CONDENSED CONSOLIDATED STATEMENTS OF COMPREHENSIVE INCOME FOR THE</w:t>
              </w:r>
            </w:hyperlink>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5"/>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THREE AND NINE MONTHS ENDED SEPTEMBER 30, 2013 AND 2012</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UNAUDITED CONDENSED CONSOLIDATED BALANCE SHEETS AT SEPTEMBER 30, 2013 AND</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66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DECEMBER 31, 2012</w:t>
              </w:r>
            </w:hyperlink>
          </w:p>
        </w:tc>
        <w:tc>
          <w:tcPr>
            <w:tcW w:w="760" w:type="dxa"/>
            <w:vAlign w:val="bottom"/>
            <w:tcBorders>
              <w:top w:val="single" w:sz="8" w:color="CCEEFF"/>
            </w:tcBorders>
            <w:gridSpan w:val="4"/>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UNAUDITED CONDENSED CONSOLIDATED STATEMENTS OF CASH FLOWS FOR THE NINE</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500" w:type="dxa"/>
            <w:vAlign w:val="bottom"/>
            <w:tcBorders>
              <w:top w:val="single" w:sz="8" w:color="0000FF"/>
            </w:tcBorders>
            <w:gridSpan w:val="20"/>
            <w:shd w:val="clear" w:color="auto" w:fill="CCEEFF"/>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MONTHS ENDED SEPTEMBER 30, 2013 AND 2012</w:t>
              </w:r>
            </w:hyperlink>
          </w:p>
        </w:tc>
        <w:tc>
          <w:tcPr>
            <w:tcW w:w="920" w:type="dxa"/>
            <w:vAlign w:val="bottom"/>
            <w:tcBorders>
              <w:top w:val="single" w:sz="8" w:color="CCEEFF"/>
            </w:tcBorders>
            <w:gridSpan w:val="5"/>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 NOTES ACCOMPANYING THE CONDENSED CONSOLIDATED FINANCIAL</w:t>
              </w:r>
            </w:hyperlink>
          </w:p>
        </w:tc>
        <w:tc>
          <w:tcPr>
            <w:tcW w:w="128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5"/>
            <w:shd w:val="clear" w:color="auto" w:fill="CCEEFF"/>
          </w:tcPr>
          <w:p>
            <w:pPr>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STATEMENTS</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76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OPERATIONS</w:t>
              </w:r>
            </w:hyperlink>
          </w:p>
        </w:tc>
        <w:tc>
          <w:tcPr>
            <w:tcW w:w="660" w:type="dxa"/>
            <w:vAlign w:val="bottom"/>
            <w:tcBorders>
              <w:top w:val="single" w:sz="8" w:color="CCEEFF"/>
            </w:tcBorders>
            <w:gridSpan w:val="3"/>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2600" w:type="dxa"/>
            <w:vAlign w:val="bottom"/>
            <w:gridSpan w:val="12"/>
            <w:shd w:val="clear" w:color="auto" w:fill="CCEEFF"/>
          </w:tcPr>
          <w:p>
            <w:pPr>
              <w:spacing w:after="0" w:line="202" w:lineRule="exact"/>
              <w:rPr>
                <w:rFonts w:ascii="Arial" w:cs="Arial" w:eastAsia="Arial" w:hAnsi="Arial"/>
                <w:sz w:val="18"/>
                <w:szCs w:val="18"/>
                <w:color w:val="0000FF"/>
                <w:w w:val="93"/>
              </w:rPr>
            </w:pPr>
            <w:hyperlink w:anchor="page56">
              <w:r>
                <w:rPr>
                  <w:rFonts w:ascii="Arial" w:cs="Arial" w:eastAsia="Arial" w:hAnsi="Arial"/>
                  <w:sz w:val="18"/>
                  <w:szCs w:val="18"/>
                  <w:color w:val="0000FF"/>
                  <w:w w:val="93"/>
                </w:rPr>
                <w:t>CONTROLS AND PROCEDURES</w:t>
              </w:r>
            </w:hyperlink>
          </w:p>
        </w:tc>
        <w:tc>
          <w:tcPr>
            <w:tcW w:w="5820" w:type="dxa"/>
            <w:vAlign w:val="bottom"/>
            <w:gridSpan w:val="13"/>
            <w:shd w:val="clear" w:color="auto" w:fill="CCEEFF"/>
          </w:tcPr>
          <w:p>
            <w:pPr>
              <w:spacing w:after="0"/>
              <w:rPr>
                <w:sz w:val="21"/>
                <w:szCs w:val="21"/>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20" w:type="dxa"/>
            <w:vAlign w:val="bottom"/>
            <w:gridSpan w:val="28"/>
            <w:shd w:val="clear" w:color="auto" w:fill="CCEEFF"/>
          </w:tcPr>
          <w:p>
            <w:pPr>
              <w:ind w:left="4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1A.</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5.</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6.</w:t>
            </w:r>
          </w:p>
        </w:tc>
        <w:tc>
          <w:tcPr>
            <w:tcW w:w="8420" w:type="dxa"/>
            <w:vAlign w:val="bottom"/>
            <w:gridSpan w:val="25"/>
            <w:shd w:val="clear" w:color="auto" w:fill="CCEEFF"/>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24"/>
                <w:szCs w:val="24"/>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3"/>
                <w:szCs w:val="23"/>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3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3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color w:val="auto"/>
                <w:w w:val="90"/>
              </w:rPr>
              <w:t>(in millions, except per share amounts)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194.8</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253.8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656.3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335.7</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141.9</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206.0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603.4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449.9</w:t>
            </w:r>
          </w:p>
        </w:tc>
      </w:tr>
      <w:tr>
        <w:trPr>
          <w:trHeight w:val="284"/>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772.8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542.4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2,220.3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1,644.9</w:t>
            </w: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608.8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455.9</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Natural gas, oil and NGL transportation and other handling costs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253.1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648.3</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8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1,665.0</w:t>
            </w:r>
          </w:p>
        </w:tc>
      </w:tr>
      <w:tr>
        <w:trPr>
          <w:trHeight w:val="284"/>
        </w:trPr>
        <w:tc>
          <w:tcPr>
            <w:tcW w:w="6060" w:type="dxa"/>
            <w:vAlign w:val="bottom"/>
          </w:tcPr>
          <w:p>
            <w:pPr>
              <w:ind w:left="40"/>
              <w:spacing w:after="0"/>
              <w:rPr>
                <w:sz w:val="20"/>
                <w:szCs w:val="20"/>
                <w:color w:val="auto"/>
              </w:rPr>
            </w:pPr>
            <w:r>
              <w:rPr>
                <w:rFonts w:ascii="Arial" w:cs="Arial" w:eastAsia="Arial" w:hAnsi="Arial"/>
                <w:sz w:val="18"/>
                <w:szCs w:val="18"/>
                <w:color w:val="auto"/>
              </w:rPr>
              <w:t>Net gain from asset sales</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44"/>
        </w:trPr>
        <w:tc>
          <w:tcPr>
            <w:tcW w:w="60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9"/>
              </w:rPr>
              <w:t>Realized and unrealized (losses) gains on derivative contracts (See Note 8)</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334.7</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QEP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QEP</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total</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0.21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r>
      <w:tr>
        <w:trPr>
          <w:trHeight w:val="28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Used in basic calculation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179.3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Used in diluted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0.02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62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0"/>
                <w:szCs w:val="20"/>
                <w:color w:val="auto"/>
              </w:rPr>
            </w:pPr>
          </w:p>
        </w:tc>
        <w:tc>
          <w:tcPr>
            <w:tcW w:w="21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3"/>
                <w:szCs w:val="23"/>
                <w:color w:val="auto"/>
              </w:rPr>
            </w:pPr>
          </w:p>
        </w:tc>
        <w:tc>
          <w:tcPr>
            <w:tcW w:w="21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34"/>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4"/>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QEP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Reclassification of previously deferred derivative gains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7"/>
        </w:trPr>
        <w:tc>
          <w:tcPr>
            <w:tcW w:w="582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pension and other postretirement plans adjustments</w:t>
            </w: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8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QEP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80" w:hanging="314"/>
        <w:spacing w:after="0" w:line="21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benefit of $11.7 million and $35.8 million during the three and nine months ended September 30, 2013 and $24.9 million and $79.2 million during the three and nine months ended September 30, 2012, respectively.</w:t>
      </w:r>
    </w:p>
    <w:p>
      <w:pPr>
        <w:spacing w:after="0" w:line="1" w:lineRule="exact"/>
        <w:rPr>
          <w:rFonts w:ascii="Arial" w:cs="Arial" w:eastAsia="Arial" w:hAnsi="Arial"/>
          <w:sz w:val="25"/>
          <w:szCs w:val="25"/>
          <w:color w:val="auto"/>
          <w:vertAlign w:val="superscript"/>
        </w:rPr>
      </w:pPr>
    </w:p>
    <w:p>
      <w:pPr>
        <w:ind w:left="66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$0.2 million and $0.7 million during the three and nine months ended September 30, 2013 and $0.2 million and $0.4 million during the three and nine months ended September 30, 2012, respectively.</w:t>
      </w:r>
    </w:p>
    <w:p>
      <w:pPr>
        <w:spacing w:after="0" w:line="1" w:lineRule="exact"/>
        <w:rPr>
          <w:rFonts w:ascii="Arial" w:cs="Arial" w:eastAsia="Arial" w:hAnsi="Arial"/>
          <w:sz w:val="25"/>
          <w:szCs w:val="25"/>
          <w:color w:val="auto"/>
          <w:vertAlign w:val="superscript"/>
        </w:rPr>
      </w:pPr>
    </w:p>
    <w:p>
      <w:pPr>
        <w:ind w:left="660" w:right="26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$0.5 million and $1.5 million and during the three and nine months ended September 30, 2013 and $0.5 million and $1.6 million during the three and nine months ended September 30, 2012, respectively.</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580"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4"/>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123.0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340" w:type="dxa"/>
            <w:vAlign w:val="bottom"/>
            <w:tcBorders>
              <w:top w:val="single" w:sz="8" w:color="CCEEFF"/>
              <w:bottom w:val="single" w:sz="8" w:color="CCEEFF"/>
            </w:tcBorders>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546.8</w:t>
            </w:r>
          </w:p>
        </w:tc>
        <w:tc>
          <w:tcPr>
            <w:tcW w:w="10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11,038.8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1,670.4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resources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Material and supplies</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13,764.8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12,933.6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resources</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5,162.4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4,634.1</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8,602.4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9,306.7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9,108.5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2,882.3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3,206.9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11)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1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179.3 million and 178.5 million shares issued,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- 0.4 million and 0.1 million shares, respectively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2,973.7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3,426.1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3,266.0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3,924.9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3,313.7</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9,108.5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t>See notes accompanying the condensed consolidated financial statements.</w:t>
      </w:r>
    </w:p>
    <w:p>
      <w:pPr>
        <w:sectPr>
          <w:pgSz w:w="11900" w:h="16838" w:orient="portrait"/>
          <w:cols w:equalWidth="0" w:num="1">
            <w:col w:w="9019"/>
          </w:cols>
          <w:pgMar w:left="1440" w:top="557"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557"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8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7"/>
              </w:rPr>
              <w:t>September 30,</w:t>
            </w:r>
          </w:p>
        </w:tc>
      </w:tr>
      <w:tr>
        <w:trPr>
          <w:trHeight w:val="34"/>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2012</w:t>
            </w:r>
          </w:p>
        </w:tc>
      </w:tr>
      <w:tr>
        <w:trPr>
          <w:trHeight w:val="34"/>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color w:val="auto"/>
                <w:w w:val="96"/>
              </w:rPr>
              <w:t>(in millions)</w:t>
            </w:r>
          </w:p>
        </w:tc>
        <w:tc>
          <w:tcPr>
            <w:tcW w:w="820" w:type="dxa"/>
            <w:vAlign w:val="bottom"/>
          </w:tcPr>
          <w:p>
            <w:pPr>
              <w:spacing w:after="0"/>
              <w:rPr>
                <w:sz w:val="21"/>
                <w:szCs w:val="21"/>
                <w:color w:val="auto"/>
              </w:rPr>
            </w:pPr>
          </w:p>
        </w:tc>
      </w:tr>
      <w:tr>
        <w:trPr>
          <w:trHeight w:val="270"/>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648.3</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54.7</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19.5</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Net gain from asset sales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8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54.6</w:t>
            </w:r>
          </w:p>
        </w:tc>
      </w:tr>
      <w:tr>
        <w:trPr>
          <w:trHeight w:val="277"/>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978.9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972.0</w:t>
            </w: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(1,400.3)</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(1,089.6)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(1,040.7)</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84"/>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77"/>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(2,435.7)</w:t>
            </w:r>
          </w:p>
        </w:tc>
      </w:tr>
      <w:tr>
        <w:trPr>
          <w:trHeight w:val="244"/>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issued</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Long-term debt issuance costs paid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repaid</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1,075.0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933.5</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issuance of QEPM common units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Excess tax benefit on share-based compensation</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7"/>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1,463.7</w:t>
            </w:r>
          </w:p>
        </w:tc>
      </w:tr>
      <w:tr>
        <w:trPr>
          <w:trHeight w:val="244"/>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84"/>
        </w:trPr>
        <w:tc>
          <w:tcPr>
            <w:tcW w:w="8620" w:type="dxa"/>
            <w:vAlign w:val="bottom"/>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8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1"/>
        </w:trPr>
        <w:tc>
          <w:tcPr>
            <w:tcW w:w="8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120.1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79.8</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Non-cash investing activities: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r>
      <w:tr>
        <w:trPr>
          <w:trHeight w:val="27"/>
        </w:trPr>
        <w:tc>
          <w:tcPr>
            <w:tcW w:w="8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200"/>
          </w:cols>
          <w:pgMar w:left="240" w:top="580" w:right="459" w:bottom="1440" w:gutter="0" w:footer="0" w:header="0"/>
        </w:sect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00"/>
          </w:cols>
          <w:pgMar w:left="240" w:top="580"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2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23"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QEP Field Services Company (QEP Field Services, which includes the ownership and operations of QEP Midstream Partners, LP (QEP Midstream)), provides midstream field services, including natural gas gathering, processing, compression, and treating services, for affiliates and third parties; and</w:t>
      </w:r>
    </w:p>
    <w:p>
      <w:pPr>
        <w:spacing w:after="0" w:line="1"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and owns and operates an underground gas-storage reservoir.</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QEP's operations are focused in two major regions: the Northern Region (primarily in North Dakota, Wyoming and Utah) and the Southern Region (primarily in Oklahoma, Louisiana and the Texas Panhandle) of the United States. QEP’s corporate headquarters are located in Denver, Colorado.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Shares of QEP’s common stock trade on the New York Stock Exchange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2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including QEP Midstream (see Note 3 - QEP Midstream).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2012.</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nine months ended September 30, 2013, are not necessarily indicative of the results that may be expected for the year ending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February of 2013, the FASB issued ASU 2013-02, </w:t>
      </w:r>
      <w:r>
        <w:rPr>
          <w:rFonts w:ascii="Arial" w:cs="Arial" w:eastAsia="Arial" w:hAnsi="Arial"/>
          <w:sz w:val="17"/>
          <w:szCs w:val="17"/>
          <w:i w:val="1"/>
          <w:iCs w:val="1"/>
          <w:color w:val="auto"/>
        </w:rPr>
        <w:t>Other Comprehensive Income (Topic 220: 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which seeks to improve the reporting of entities by requiring an entity to report the effect of significant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The amendments are effective prospectively for reporting periods beginning on or after December 15, 2012. The Company adopted this standard in the first quarter of 2013 and noted that it did not have a significant impact on the Company's consolidated financial statements.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December of 2011, the FASB issued ASU 2011-11, </w:t>
      </w:r>
      <w:r>
        <w:rPr>
          <w:rFonts w:ascii="Arial" w:cs="Arial" w:eastAsia="Arial" w:hAnsi="Arial"/>
          <w:sz w:val="18"/>
          <w:szCs w:val="18"/>
          <w:i w:val="1"/>
          <w:iCs w:val="1"/>
          <w:color w:val="auto"/>
        </w:rPr>
        <w:t>Disclosures about Offsetting Assets and Liabilities,</w:t>
      </w:r>
      <w:r>
        <w:rPr>
          <w:rFonts w:ascii="Arial" w:cs="Arial" w:eastAsia="Arial" w:hAnsi="Arial"/>
          <w:sz w:val="18"/>
          <w:szCs w:val="18"/>
          <w:color w:val="auto"/>
        </w:rPr>
        <w:t xml:space="preserve"> which enhances disclosure requirements regarding an entity’s financial instruments and derivative instruments that are offset or subject to a master netting arrangement. This information about offsetting and related netting arrangements will enable users of financial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ind w:right="280"/>
        <w:spacing w:after="0" w:line="302" w:lineRule="auto"/>
        <w:rPr>
          <w:sz w:val="20"/>
          <w:szCs w:val="20"/>
          <w:color w:val="auto"/>
        </w:rPr>
      </w:pPr>
      <w:r>
        <w:rPr>
          <w:rFonts w:ascii="Arial" w:cs="Arial" w:eastAsia="Arial" w:hAnsi="Arial"/>
          <w:sz w:val="16"/>
          <w:szCs w:val="16"/>
          <w:color w:val="auto"/>
        </w:rPr>
        <w:t xml:space="preserve">statements to understand the effect of those arrangements on the entity’s financial position, including the effect of rights of setoff. Additionally, the FASB issued ASU 2013-01, </w:t>
      </w:r>
      <w:r>
        <w:rPr>
          <w:rFonts w:ascii="Arial" w:cs="Arial" w:eastAsia="Arial" w:hAnsi="Arial"/>
          <w:sz w:val="16"/>
          <w:szCs w:val="16"/>
          <w:i w:val="1"/>
          <w:iCs w:val="1"/>
          <w:color w:val="auto"/>
        </w:rPr>
        <w:t>Clarifying the Scope of Disclosures about Offsetting Assets and Liabilities,</w:t>
      </w:r>
      <w:r>
        <w:rPr>
          <w:rFonts w:ascii="Arial" w:cs="Arial" w:eastAsia="Arial" w:hAnsi="Arial"/>
          <w:sz w:val="16"/>
          <w:szCs w:val="16"/>
          <w:color w:val="auto"/>
        </w:rPr>
        <w:t xml:space="preserve"> which clarifies the implementation of ASU 2011-01. The amendments are required for annual reporting periods beginning after January 1, 2013, and interim periods within those annual periods. The Company adopted this standard effective January 1, 2013. It did not have a significant impact on the Company's consolidated financial statements.</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July of 2012, the FASB issued ASU 2012-02, </w:t>
      </w:r>
      <w:r>
        <w:rPr>
          <w:rFonts w:ascii="Arial" w:cs="Arial" w:eastAsia="Arial" w:hAnsi="Arial"/>
          <w:sz w:val="17"/>
          <w:szCs w:val="17"/>
          <w:i w:val="1"/>
          <w:iCs w:val="1"/>
          <w:color w:val="auto"/>
        </w:rPr>
        <w:t>Intangibles - Goodwill and Other: Testing Indefinite-Lived Intangible Assets for Impairment</w:t>
      </w:r>
      <w:r>
        <w:rPr>
          <w:rFonts w:ascii="Arial" w:cs="Arial" w:eastAsia="Arial" w:hAnsi="Arial"/>
          <w:sz w:val="17"/>
          <w:szCs w:val="17"/>
          <w:color w:val="auto"/>
        </w:rPr>
        <w:t>, which revises the way an entity can test indefinite-lived intangible assets for impairment by allowing an entity to first assess qualitative factors to determine whether the existence of events and circumstances indicates that it is more likely than not that the indefinite-lived intangible asset is impaired. If there is no indication of impairment from the qualitative impairment test, the entity is not required to complete a quantitative impairment test of determining and comparing the fair value with the carrying amount of the indefinite-lived asset. Under the guidance in this ASU, an entity also has the option to bypass the qualitative assessment in any period and proceed directly to performing the quantitative impairment test, while retaining the ability to resume performing the qualitative assessment in any subsequent period. The amendments are effective for annual and interim impairment tests performed for fiscal years beginning after September 15, 2012. The Company adopted this standard January 1, 2013, which has allowed the Company to more efficiently complete the annual goodwill impairment test but has not had a significant impact on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QEP Midstream</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QEP Midstream is a publicly traded master limited partnership that was formed by QEP to own, operate, acquire and develop midstream energy assets. QEP Midstream's assets currently consist of ownership interests in four gathering systems and two Federal Energy Regulatory Commission (FERC) regulated pipelines, which provide natural gas and crude oil gathering and transportation services. These assets are located in, or within close proximity to, the Green River Basin located in Wyoming and Colorado, the Uinta Basin located in eastern Utah, and the portion of the Williston Basin located in North Dakota.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14, 2013, QEP Midstream completed its initial public offering (the Offering) of 20,000,000 common units, representing limited partner interests in QEP Midstream, at a price to the public of $21.00 per common unit. QEP Midstream received net proceeds of $390.7 million from the sale of the common units, after deducting underwriting discounts and commissions, structuring fees and offering expenses of approximately $29.3 million. Following the Offering, the underwriters exercised their over-allotment option to purchase an additional 3,000,000 common units, at a price of $21.00 per common unit, providing additional net proceeds of $58.9 million, after deducting $4.1 million of underwriters' discounts and commissions and structuring fees, to QEP Midstream.</w:t>
      </w:r>
    </w:p>
    <w:p>
      <w:pPr>
        <w:spacing w:after="0" w:line="19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QEP Midstream used the net proceeds to repay its outstanding debt balance with QEP, which was assumed with the assets contributed to QEP Midstream, pay revolving credit facility origination fees and make a cash distribution to QEP, a portion of which was used to reimburse QEP for certain capital expenditures it incurred with respect to assets contributed to QEP Midstream. The following table is a reconciliation of proceeds from the initial public offering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40"/>
              <w:spacing w:after="0"/>
              <w:rPr>
                <w:sz w:val="20"/>
                <w:szCs w:val="20"/>
                <w:color w:val="auto"/>
              </w:rPr>
            </w:pPr>
            <w:r>
              <w:rPr>
                <w:rFonts w:ascii="Arial" w:cs="Arial" w:eastAsia="Arial" w:hAnsi="Arial"/>
                <w:sz w:val="18"/>
                <w:szCs w:val="18"/>
                <w:color w:val="auto"/>
              </w:rPr>
              <w:t>Total proceeds from the Offering</w:t>
            </w:r>
          </w:p>
        </w:tc>
        <w:tc>
          <w:tcPr>
            <w:tcW w:w="940" w:type="dxa"/>
            <w:vAlign w:val="bottom"/>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483.0</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w:t>
            </w:r>
          </w:p>
        </w:tc>
        <w:tc>
          <w:tcPr>
            <w:tcW w:w="9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Net proceeds from the Offering</w:t>
            </w:r>
          </w:p>
        </w:tc>
        <w:tc>
          <w:tcPr>
            <w:tcW w:w="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449.6</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facility origination fees</w:t>
            </w: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Repayment of outstanding debt with QEP</w:t>
            </w:r>
          </w:p>
        </w:tc>
        <w:tc>
          <w:tcPr>
            <w:tcW w:w="9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(95.5)</w:t>
            </w:r>
          </w:p>
        </w:tc>
      </w:tr>
      <w:tr>
        <w:trPr>
          <w:trHeight w:val="27"/>
        </w:trPr>
        <w:tc>
          <w:tcPr>
            <w:tcW w:w="9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distributed to QEP from the Offering</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351.1</w:t>
            </w:r>
          </w:p>
        </w:tc>
      </w:tr>
      <w:tr>
        <w:trPr>
          <w:trHeight w:val="20"/>
        </w:trPr>
        <w:tc>
          <w:tcPr>
            <w:tcW w:w="9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QEP Midstream Partners GP, LLC (the General Partner), a wholly-owned subsidiary of QEP, serves as the general partner of QEP Midstream. QEP owns a 57.8% interest in QEP Midstream and consolidates QEP Midstream for financial reporting purposes with the portion not owned by QEP reflected as a reduction to net income and equity as noncontrolling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Conveyance and Assumption Agreement</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On August 14, 2013, in connection with the closing of the Offering, QEP entered into a Contribution, Conveyance and Assumption Agreement (the Contribution Agreement) with QEP Field Services, the General Partner and QEP Midstream Partners Operating, LLC (the Operating Company). Immediately prior to the closing of the Offering, the following transactions, among others, occurred pursuant to the Contribution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ind w:left="660" w:right="10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QEP Field Services contributed to the General Partner, as a capital contribution, a limited liability company interest in the Operating Company with a value equal to 2.0% of the equity value of QEP Midstream at the closing of the Offering;</w:t>
      </w:r>
    </w:p>
    <w:p>
      <w:pPr>
        <w:spacing w:after="0" w:line="1" w:lineRule="exact"/>
        <w:rPr>
          <w:rFonts w:ascii="Arial" w:cs="Arial" w:eastAsia="Arial" w:hAnsi="Arial"/>
          <w:sz w:val="18"/>
          <w:szCs w:val="18"/>
          <w:color w:val="auto"/>
        </w:rPr>
      </w:pPr>
    </w:p>
    <w:p>
      <w:pPr>
        <w:ind w:left="660" w:right="16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General Partner contributed to QEP Midstream, as a capital contribution, the limited liability company interest in the Operating Company in exchange for (a) 1,090,000 general partner units representing the continuation of an aggregate 2.0% general partner interest in QEP Midstream and</w:t>
      </w:r>
    </w:p>
    <w:p>
      <w:pPr>
        <w:spacing w:after="0" w:line="1" w:lineRule="exact"/>
        <w:rPr>
          <w:rFonts w:ascii="Arial" w:cs="Arial" w:eastAsia="Arial" w:hAnsi="Arial"/>
          <w:sz w:val="16"/>
          <w:szCs w:val="16"/>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the incentive distribution rights of QEP Midstream;</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QEP Field Services contributed to QEP Midstream, as a capital contribution, its remaining limited liability company interests in the Operating Company in exchange for (a) 6,701,750 common units representing a 12.3% limited partner interest in QEP Midstream, (b) 26,705,000 subordinated units representing a 49.0% limited partner interest in QEP Midstream and (c) the right to receive a distribution from QEP Midstream; and</w:t>
      </w:r>
    </w:p>
    <w:p>
      <w:pPr>
        <w:spacing w:after="0" w:line="2" w:lineRule="exact"/>
        <w:rPr>
          <w:rFonts w:ascii="Arial" w:cs="Arial" w:eastAsia="Arial" w:hAnsi="Arial"/>
          <w:sz w:val="16"/>
          <w:szCs w:val="16"/>
          <w:color w:val="auto"/>
        </w:rPr>
      </w:pPr>
    </w:p>
    <w:p>
      <w:pPr>
        <w:ind w:left="660" w:hanging="328"/>
        <w:spacing w:after="0" w:line="32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public, through the underwriters, contributed $420.0 million in cash (or $390.7 million, net of the underwriters' discounts and commissions, structuring fees and offering expenses of approximately $29.3 million) to QEP Midstream in exchange for the issuance of 20,000,000 common units.</w:t>
      </w:r>
    </w:p>
    <w:p>
      <w:pPr>
        <w:spacing w:after="0" w:line="13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Subsequent to the Offering, the underwriters exercised their over-allotment option to purchase an additional 3,000,000 common units in QEP Midstream, which reduced QEP's limited partner common unit interest in QEP Midstream from 12.3% to 6.8% and QEP's total ownership interest from 63.3% to 57.8%.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In connection with the Offering, QEP entered into an Omnibus Agreement (the Omnibus Agreement) with QEP Midstream on August 14, 2013, that addresses the following matters:</w:t>
      </w:r>
    </w:p>
    <w:p>
      <w:pPr>
        <w:spacing w:after="0" w:line="184" w:lineRule="exact"/>
        <w:rPr>
          <w:sz w:val="20"/>
          <w:szCs w:val="20"/>
          <w:color w:val="auto"/>
        </w:rPr>
      </w:pPr>
    </w:p>
    <w:p>
      <w:pPr>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QEP Midstream's payment of an annual amount to QEP, initially in the amount of approximately $13.8 million, for the provision of certain general and administrative services by QEP and its affiliates to QEP Midstream, including a fixed annual fee of approximately $1.4 million for providing certain executive management services by certain officers of the General Partner. The remaining portion of this annual amount reflects an estimate of the costs QEP and its affiliates expect to incur in providing the services;</w:t>
      </w:r>
    </w:p>
    <w:p>
      <w:pPr>
        <w:spacing w:after="0" w:line="2" w:lineRule="exact"/>
        <w:rPr>
          <w:rFonts w:ascii="Arial" w:cs="Arial" w:eastAsia="Arial" w:hAnsi="Arial"/>
          <w:sz w:val="18"/>
          <w:szCs w:val="18"/>
          <w:color w:val="auto"/>
        </w:rPr>
      </w:pPr>
    </w:p>
    <w:p>
      <w:pPr>
        <w:ind w:left="660" w:right="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QEP Midstream's obligation to reimburse QEP for any out-of-pocket costs and expenses incurred by QEP in providing general and administrative services (which reimbursement is in addition to certain expenses of the General Partner and its affiliates that are reimbursed under QEP Midstream's partnership agreement), as well as any other out-of-pocket expenses incurred by QEP on QEP Midstream's behalf; and</w:t>
      </w:r>
    </w:p>
    <w:p>
      <w:pPr>
        <w:spacing w:after="0" w:line="2" w:lineRule="exact"/>
        <w:rPr>
          <w:rFonts w:ascii="Arial" w:cs="Arial" w:eastAsia="Arial" w:hAnsi="Arial"/>
          <w:sz w:val="16"/>
          <w:szCs w:val="16"/>
          <w:color w:val="auto"/>
        </w:rPr>
      </w:pPr>
    </w:p>
    <w:p>
      <w:pPr>
        <w:ind w:left="660" w:right="420" w:hanging="328"/>
        <w:spacing w:after="0" w:line="32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indemnity by QEP for certain environmental and other liabilities, and QEP Midstream's obligation to indemnify QEP and its subsidiaries for events and conditions associated with the operation of QEP Midstream's assets that occur after the closing of the Offering.</w:t>
      </w:r>
    </w:p>
    <w:p>
      <w:pPr>
        <w:spacing w:after="0" w:line="13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long as QEP controls the General Partner, the Omnibus Agreement will remain in full force and effect. If QEP ceases to control the General Partner, either party may terminate the Omnibus Agreement, but the indemnification obligations will remain in full force and effect in accordance with their terms.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Price Condensate Purchase Agreement</w:t>
      </w:r>
    </w:p>
    <w:p>
      <w:pPr>
        <w:spacing w:after="0" w:line="23" w:lineRule="exact"/>
        <w:rPr>
          <w:sz w:val="20"/>
          <w:szCs w:val="20"/>
          <w:color w:val="auto"/>
        </w:rPr>
      </w:pPr>
    </w:p>
    <w:p>
      <w:pPr>
        <w:jc w:val="both"/>
        <w:ind w:right="620"/>
        <w:spacing w:after="0" w:line="277" w:lineRule="auto"/>
        <w:rPr>
          <w:sz w:val="20"/>
          <w:szCs w:val="20"/>
          <w:color w:val="auto"/>
        </w:rPr>
      </w:pPr>
      <w:r>
        <w:rPr>
          <w:rFonts w:ascii="Arial" w:cs="Arial" w:eastAsia="Arial" w:hAnsi="Arial"/>
          <w:sz w:val="17"/>
          <w:szCs w:val="17"/>
          <w:color w:val="auto"/>
        </w:rPr>
        <w:t>On August 14, 2013, QEP entered into a fixed price Condensate Purchase Transaction Agreement (the "Condensate Purchase Agreement") with QEP Midstream. The Condensate Purchase Agreement has a primary term of five years and requires QEP Midstream to sell and QEP to purchase all of the condensate volumes collected on QEP Midstream's gathering systems at a fixed price of $85.25 per barrel.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On September 27, 2012, QEP Energy completed an acquisition of oil and gas properties in the Williston Basin for an aggregate purchase price of $1.4 billion (the 2012 Acquisition). The properties are located in Williams and McKenzie counties of North Dakota, approximately 12 miles west of QEP's then-existing core acreage in the Williston Basin.</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2012 Acquisition meets the definition of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it included proved properties. QEP allocated the cost of the 2012 Acquisition to assets acquired and liabilities assumed based on fair values as of the acquisition date. Revenues of $76.0 million and $190.1 million and net income of $19.2 million and $42.5 million were generated from the acquired properties during the three and nine months ended September 30, 2013, respectively, and are included in QEP's Condensed Consolidated Statements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10" w:name="page11"/>
    <w:bookmarkEnd w:id="10"/>
    <w:p>
      <w:pPr>
        <w:ind w:right="640"/>
        <w:spacing w:after="0" w:line="277" w:lineRule="auto"/>
        <w:rPr>
          <w:sz w:val="20"/>
          <w:szCs w:val="20"/>
          <w:color w:val="auto"/>
        </w:rPr>
      </w:pPr>
      <w:r>
        <w:rPr>
          <w:rFonts w:ascii="Arial" w:cs="Arial" w:eastAsia="Arial" w:hAnsi="Arial"/>
          <w:sz w:val="18"/>
          <w:szCs w:val="18"/>
          <w:color w:val="auto"/>
        </w:rPr>
        <w:t>QEP Energy recorded the 2012 Acquisition on its Condensed Consolidated Balance Sheet. The following table presents a summary of the Company's purchase accounting entries:</w:t>
      </w:r>
    </w:p>
    <w:p>
      <w:pPr>
        <w:spacing w:after="0" w:line="112"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As of September,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34290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1"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tabs>
          <w:tab w:leader="none" w:pos="8920" w:val="left"/>
          <w:tab w:leader="none" w:pos="10760" w:val="left"/>
        </w:tabs>
        <w:rPr>
          <w:sz w:val="20"/>
          <w:szCs w:val="20"/>
          <w:color w:val="auto"/>
        </w:rPr>
      </w:pPr>
      <w:r>
        <w:rPr>
          <w:rFonts w:ascii="Arial" w:cs="Arial" w:eastAsia="Arial" w:hAnsi="Arial"/>
          <w:sz w:val="18"/>
          <w:szCs w:val="18"/>
          <w:color w:val="auto"/>
        </w:rPr>
        <w:t>Cash consideration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1,392.7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Amounts recognized for 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Proved properties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Unproved properties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Asset retirement obligations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 assumed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fair value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713.8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683.4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(0.9)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95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1,392.7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41910</wp:posOffset>
            </wp:positionV>
            <wp:extent cx="1595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1595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8220" w:space="720"/>
            <w:col w:w="2480"/>
          </w:cols>
          <w:pgMar w:left="240" w:top="800" w:right="239" w:bottom="1440" w:gutter="0" w:footer="0" w:header="0"/>
          <w:type w:val="continuous"/>
        </w:sectPr>
      </w:pPr>
    </w:p>
    <w:p>
      <w:pPr>
        <w:spacing w:after="0" w:line="7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following unaudited, pro forma results of operations are provided for the three and nine months ended September 30, 2012.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three and nine months ended September 30, 2012, on the acquired properties' historical results of operations and on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purchase price allocation. The pro forma results of operations do not include any cost savings or other synergies that may result from the 2012 Acquisition or any estimated costs that have been or will be incurred by the Company to integrate the acquired properties.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44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20"/>
                <w:szCs w:val="20"/>
                <w:color w:val="auto"/>
              </w:rPr>
            </w:pPr>
          </w:p>
        </w:tc>
        <w:tc>
          <w:tcPr>
            <w:tcW w:w="3140" w:type="dxa"/>
            <w:vAlign w:val="bottom"/>
            <w:gridSpan w:val="3"/>
          </w:tcPr>
          <w:p>
            <w:pPr>
              <w:jc w:val="right"/>
              <w:ind w:right="930"/>
              <w:spacing w:after="0"/>
              <w:rPr>
                <w:sz w:val="20"/>
                <w:szCs w:val="20"/>
                <w:color w:val="auto"/>
              </w:rPr>
            </w:pPr>
            <w:r>
              <w:rPr>
                <w:rFonts w:ascii="Arial" w:cs="Arial" w:eastAsia="Arial" w:hAnsi="Arial"/>
                <w:sz w:val="18"/>
                <w:szCs w:val="18"/>
                <w:color w:val="auto"/>
              </w:rPr>
              <w:t>Nine Months Ended</w:t>
            </w:r>
          </w:p>
        </w:tc>
      </w:tr>
      <w:tr>
        <w:trPr>
          <w:trHeight w:val="270"/>
        </w:trPr>
        <w:tc>
          <w:tcPr>
            <w:tcW w:w="4460" w:type="dxa"/>
            <w:vAlign w:val="bottom"/>
          </w:tcPr>
          <w:p>
            <w:pPr>
              <w:spacing w:after="0"/>
              <w:rPr>
                <w:sz w:val="23"/>
                <w:szCs w:val="23"/>
                <w:color w:val="auto"/>
              </w:rPr>
            </w:pPr>
          </w:p>
        </w:tc>
        <w:tc>
          <w:tcPr>
            <w:tcW w:w="344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September 30, 2012</w:t>
            </w:r>
          </w:p>
        </w:tc>
        <w:tc>
          <w:tcPr>
            <w:tcW w:w="380" w:type="dxa"/>
            <w:vAlign w:val="bottom"/>
          </w:tcPr>
          <w:p>
            <w:pPr>
              <w:spacing w:after="0"/>
              <w:rPr>
                <w:sz w:val="23"/>
                <w:szCs w:val="23"/>
                <w:color w:val="auto"/>
              </w:rPr>
            </w:pPr>
          </w:p>
        </w:tc>
        <w:tc>
          <w:tcPr>
            <w:tcW w:w="3140" w:type="dxa"/>
            <w:vAlign w:val="bottom"/>
            <w:gridSpan w:val="3"/>
          </w:tcPr>
          <w:p>
            <w:pPr>
              <w:jc w:val="right"/>
              <w:ind w:right="930"/>
              <w:spacing w:after="0"/>
              <w:rPr>
                <w:sz w:val="20"/>
                <w:szCs w:val="20"/>
                <w:color w:val="auto"/>
              </w:rPr>
            </w:pPr>
            <w:r>
              <w:rPr>
                <w:rFonts w:ascii="Arial" w:cs="Arial" w:eastAsia="Arial" w:hAnsi="Arial"/>
                <w:sz w:val="18"/>
                <w:szCs w:val="18"/>
                <w:color w:val="auto"/>
              </w:rPr>
              <w:t>September 30, 2012</w:t>
            </w:r>
          </w:p>
        </w:tc>
      </w:tr>
      <w:tr>
        <w:trPr>
          <w:trHeight w:val="34"/>
        </w:trPr>
        <w:tc>
          <w:tcPr>
            <w:tcW w:w="4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4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Actual</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Pro forma</w:t>
            </w:r>
          </w:p>
        </w:tc>
        <w:tc>
          <w:tcPr>
            <w:tcW w:w="380" w:type="dxa"/>
            <w:vAlign w:val="bottom"/>
          </w:tcPr>
          <w:p>
            <w:pPr>
              <w:spacing w:after="0"/>
              <w:rPr>
                <w:sz w:val="21"/>
                <w:szCs w:val="21"/>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Actual</w:t>
            </w:r>
          </w:p>
        </w:tc>
        <w:tc>
          <w:tcPr>
            <w:tcW w:w="400" w:type="dxa"/>
            <w:vAlign w:val="bottom"/>
          </w:tcPr>
          <w:p>
            <w:pPr>
              <w:spacing w:after="0"/>
              <w:rPr>
                <w:sz w:val="21"/>
                <w:szCs w:val="21"/>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Pro forma</w:t>
            </w:r>
          </w:p>
        </w:tc>
      </w:tr>
      <w:tr>
        <w:trPr>
          <w:trHeight w:val="27"/>
        </w:trPr>
        <w:tc>
          <w:tcPr>
            <w:tcW w:w="4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4"/>
          </w:tcPr>
          <w:p>
            <w:pPr>
              <w:jc w:val="right"/>
              <w:ind w:right="330"/>
              <w:spacing w:after="0"/>
              <w:rPr>
                <w:sz w:val="20"/>
                <w:szCs w:val="20"/>
                <w:color w:val="auto"/>
              </w:rPr>
            </w:pPr>
            <w:r>
              <w:rPr>
                <w:rFonts w:ascii="Arial" w:cs="Arial" w:eastAsia="Arial" w:hAnsi="Arial"/>
                <w:sz w:val="18"/>
                <w:szCs w:val="18"/>
                <w:color w:val="auto"/>
                <w:w w:val="98"/>
              </w:rPr>
              <w:t>(in millions, except per share data)</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542.4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1,644.9</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 attributable to QEP</w:t>
            </w:r>
          </w:p>
        </w:tc>
        <w:tc>
          <w:tcPr>
            <w:tcW w:w="10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4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164.9</w:t>
            </w:r>
          </w:p>
        </w:tc>
      </w:tr>
      <w:tr>
        <w:trPr>
          <w:trHeight w:val="27"/>
        </w:trPr>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QEP</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Basic</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0.93</w:t>
            </w:r>
          </w:p>
        </w:tc>
      </w:tr>
      <w:tr>
        <w:trPr>
          <w:trHeight w:val="27"/>
        </w:trPr>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0.85</w:t>
            </w: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r>
      <w:tr>
        <w:trPr>
          <w:trHeight w:val="27"/>
        </w:trPr>
        <w:tc>
          <w:tcPr>
            <w:tcW w:w="4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June 2013, QEP Energy sold its interests in several non-core oil and gas properties located in QEP's Northern Region for total cash proceeds of $140.2 million and recorded a pre-tax gain on sale of $97.4 million. In September 2013, QEP Energy sold its interests in several non-core properties located in QEP's Southern Region for total cash proceeds of $68.8 million and recorded a pre-tax gain on sale of $17.5 million. Both the cash proceeds and gains on sales are subject to post-closing adjustments. During the quarter and nine months ended September 30, 2013, QEP Energy recorded these gains on its Condensed Consolidated Statement of Operation in "Net gain from asset sales".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 Earnings Per Share</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There were no anti-dilutive shares during the three and nine months ended September 30, 2013, or during the nine months ended September 30, 2012. During the three months ended September 30, 2012, 0.8 million shares were not included in diluted common shares outstanding as they were anti-dilutive due to QEP's net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18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6060" w:type="dxa"/>
            <w:vAlign w:val="bottom"/>
          </w:tcPr>
          <w:p>
            <w:pPr>
              <w:spacing w:after="0"/>
              <w:rPr>
                <w:sz w:val="23"/>
                <w:szCs w:val="23"/>
                <w:color w:val="auto"/>
              </w:rPr>
            </w:pPr>
          </w:p>
        </w:tc>
        <w:tc>
          <w:tcPr>
            <w:tcW w:w="31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21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r>
      <w:tr>
        <w:trPr>
          <w:trHeight w:val="34"/>
        </w:trPr>
        <w:tc>
          <w:tcPr>
            <w:tcW w:w="60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w w:val="89"/>
              </w:rPr>
              <w:t>2013</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34"/>
        </w:trPr>
        <w:tc>
          <w:tcPr>
            <w:tcW w:w="60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gridSpan w:val="3"/>
          </w:tcPr>
          <w:p>
            <w:pPr>
              <w:ind w:left="740"/>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5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179.3</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179.2</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60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580" w:right="239" w:bottom="1440" w:gutter="0" w:footer="0" w:header="0"/>
        </w:sectPr>
      </w:pPr>
    </w:p>
    <w:p>
      <w:pPr>
        <w:ind w:firstLine="162"/>
        <w:spacing w:after="0" w:line="277" w:lineRule="auto"/>
        <w:rPr>
          <w:sz w:val="20"/>
          <w:szCs w:val="20"/>
          <w:color w:val="auto"/>
        </w:rPr>
      </w:pPr>
      <w:r>
        <w:rPr>
          <w:rFonts w:ascii="Arial" w:cs="Arial" w:eastAsia="Arial" w:hAnsi="Arial"/>
          <w:sz w:val="18"/>
          <w:szCs w:val="18"/>
          <w:color w:val="auto"/>
        </w:rPr>
        <w:t>Potential number of shares issuable upon exercise of in-the-money stock options under the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diluted common shares outstanding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4"/>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179.5</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179.4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178.6</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20" w:lineRule="exact"/>
        <w:rPr>
          <w:sz w:val="20"/>
          <w:szCs w:val="20"/>
          <w:color w:val="auto"/>
        </w:rPr>
      </w:pPr>
    </w:p>
    <w:p>
      <w:pPr>
        <w:sectPr>
          <w:pgSz w:w="11900" w:h="16838" w:orient="portrait"/>
          <w:cols w:equalWidth="0" w:num="2">
            <w:col w:w="5960" w:space="100"/>
            <w:col w:w="5360"/>
          </w:cols>
          <w:pgMar w:left="240" w:top="580" w:right="239" w:bottom="1440" w:gutter="0" w:footer="0" w:header="0"/>
          <w:type w:val="continuous"/>
        </w:sectPr>
      </w:pPr>
    </w:p>
    <w:p>
      <w:pPr>
        <w:spacing w:after="0" w:line="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QEP records asset retirement obligations (ARO) when there are legal obligations associated with the retirement of tangible long-lived assets. The Company’s ARO liability applies primarily to abandonment costs associated with oil and gas wells, production facilities, midstream assets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changes in the Company's asset retirement obligation from January 1, 2013, to September 30,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Asset Retirement Obligations</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4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193.1</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incurred</w:t>
            </w:r>
          </w:p>
        </w:tc>
        <w:tc>
          <w:tcPr>
            <w:tcW w:w="4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w:t>
            </w:r>
          </w:p>
        </w:tc>
        <w:tc>
          <w:tcPr>
            <w:tcW w:w="4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ARO liability at September 30,</w:t>
            </w:r>
          </w:p>
        </w:tc>
        <w:tc>
          <w:tcPr>
            <w:tcW w:w="48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840" w:type="dxa"/>
            <w:vAlign w:val="bottom"/>
            <w:vMerge w:val="restart"/>
          </w:tcPr>
          <w:p>
            <w:pPr>
              <w:jc w:val="right"/>
              <w:ind w:right="291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QEP has determined its commodity derivative instruments are Level 2. The Level 2 fair value of commodity derivative contracts (see Note 8 - Derivative Contracts) is based on market prices posted on the respective commodity exchanges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However, 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QEP has interest rate swaps that it has determined are Level 2 financial instruments.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fair value of financial assets and liabilities at September 30, 2013,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1020"/>
              <w:spacing w:after="0"/>
              <w:rPr>
                <w:sz w:val="20"/>
                <w:szCs w:val="20"/>
                <w:color w:val="auto"/>
              </w:rPr>
            </w:pPr>
            <w:r>
              <w:rPr>
                <w:rFonts w:ascii="Arial" w:cs="Arial" w:eastAsia="Arial" w:hAnsi="Arial"/>
                <w:sz w:val="18"/>
                <w:szCs w:val="18"/>
                <w:b w:val="1"/>
                <w:bCs w:val="1"/>
                <w:color w:val="auto"/>
                <w:w w:val="90"/>
              </w:rPr>
              <w:t>September 30, 2013</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8"/>
        </w:trPr>
        <w:tc>
          <w:tcPr>
            <w:tcW w:w="424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Balance Sheet</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28.7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87" w:lineRule="auto"/>
        <w:tabs>
          <w:tab w:leader="none" w:pos="178"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 as the contracts contain netting provisions. Refer to Note 8 - Derivative Contracts, for additional information regarding the Company's derivative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December 31, 2012,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2012</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Sheet</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87" w:lineRule="auto"/>
        <w:tabs>
          <w:tab w:leader="none" w:pos="17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 as the contracts contain netting provisions. Refer to Note 8 - Derivative Contracts, for additional information regarding the Company's derivative contracts.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34"/>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4"/>
          </w:tcPr>
          <w:p>
            <w:pPr>
              <w:ind w:left="380"/>
              <w:spacing w:after="0"/>
              <w:rPr>
                <w:sz w:val="20"/>
                <w:szCs w:val="20"/>
                <w:color w:val="auto"/>
              </w:rPr>
            </w:pPr>
            <w:r>
              <w:rPr>
                <w:rFonts w:ascii="Arial" w:cs="Arial" w:eastAsia="Arial" w:hAnsi="Arial"/>
                <w:sz w:val="18"/>
                <w:szCs w:val="18"/>
                <w:b w:val="1"/>
                <w:bCs w:val="1"/>
                <w:color w:val="auto"/>
              </w:rPr>
              <w:t>September 30, 2013</w:t>
            </w:r>
          </w:p>
        </w:tc>
        <w:tc>
          <w:tcPr>
            <w:tcW w:w="220" w:type="dxa"/>
            <w:vAlign w:val="bottom"/>
          </w:tcPr>
          <w:p>
            <w:pPr>
              <w:spacing w:after="0"/>
              <w:rPr>
                <w:sz w:val="21"/>
                <w:szCs w:val="21"/>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2012</w:t>
            </w:r>
          </w:p>
        </w:tc>
      </w:tr>
      <w:tr>
        <w:trPr>
          <w:trHeight w:val="34"/>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2,882.3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2,900.5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3,206.9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3,420.7</w:t>
            </w:r>
          </w:p>
        </w:tc>
      </w:tr>
    </w:tbl>
    <w:p>
      <w:pPr>
        <w:spacing w:after="0" w:line="2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initial measurement of asset retirement obligations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remaining reserve lives. A reconciliation of the Company’s asset retirement obligations is presented in Note 6 – Asset Retirement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Contracts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extracted NGL volumes in its midstream business and a portion of its natural gas sales and purchases for marketing transactions. QEP does not enter into commodity derivative instruments for speculative purposes.</w:t>
      </w:r>
    </w:p>
    <w:p>
      <w:pPr>
        <w:spacing w:after="0" w:line="16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QEP uses commodity derivative instruments known as fixed-price swaps to realize a known price for a specific volume of production delivered into a regional sales point. QEP’s commodity derivative instruments do not require the physical delivery of natural gas, crude oil, or NGL between the parties at settlement. Swap transactions are settled in cash with one party paying the other for the net difference in prices, multiplied by the contract volume, for the settlement periods. Natural gas price derivative instruments are typically structured as fixed-price swaps at regional price indices. Oil price derivative instruments are typically structured as NYMEX fixed-price swaps based at Cushing, Oklahoma. QEP also has oil price derivative fixed-price swaps that use Brent crude oil prices as the reference price. Brent crude oil contracts are traded on the IntercontinentalExchange, Inc. (ICE). NGL price derivative instruments are typically structured as Mont Belvieu, Texas fixed-price swaps.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Effective January 1, 2012, QEP elected to de-designate all of its natural gas, crude oil and NGL derivative contracts that were previously designated as cash flow hedges and discontinue hedge accounting prospectively. As a result of discontinuing hedge accounting, the mark-to-market values at December 31, 2011, were fixed in Accumulated Other Comprehensive Income (AOCI) as of the de-designation date and are being reclassified into the Condensed Consolidated Statement of Operations as the transactions settle and affect earnings. At September 30, 2013, AOCI included $27.3 million ($17.2 million after tax) of unrealized gains that will be settled and reclassified from AOCI to the Condensed Consolidated Statements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ind w:right="240"/>
        <w:spacing w:after="0" w:line="271" w:lineRule="auto"/>
        <w:rPr>
          <w:sz w:val="20"/>
          <w:szCs w:val="20"/>
          <w:color w:val="auto"/>
        </w:rPr>
      </w:pPr>
      <w:r>
        <w:rPr>
          <w:rFonts w:ascii="Arial" w:cs="Arial" w:eastAsia="Arial" w:hAnsi="Arial"/>
          <w:sz w:val="17"/>
          <w:szCs w:val="17"/>
          <w:color w:val="auto"/>
        </w:rPr>
        <w:t>during the remainder of 2013. During the nine months ended September 30, 2013 and 2012, $60.4 million and $133.8 million, respectively, of unrealized gains, after tax, were reclassified from AOCI into the Condensed Consolidated Statement of Operations in "Realized and unrealized (losses) gains on derivative contracts" as the transactions settled. QEP expects to reclassify into earnings from AOCI the fixed value related to de-designated natural gas, oil and NGL derivatives over the remainder of 2013. Currently, QEP recognizes all gains and losses from changes in the fair value of natural gas, oil and NGL derivative contracts immediately in earnings rather than deferring any such amounts in AOCI. All commodity derivative instruments are recorded on the Condensed Consolidated Balance Sheets as either assets or liabilities measured at their fair values and all realized and unrealized gains and losses from derivative instruments incurred after January 1, 2012, are presented in the Condensed Consolidated Statement of Operations in “Realized and unrealized (losses) gains on derivative contracts” below operating income.</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QEP also uses interest rate swaps to mitigate a portion of its exposure to interest rate volatility risk. During the second quarter of 2012, QEP entered into variable-to-fixed interest rate swap agreements having a combined notional principal amount of $300.0 million to minimize the interest rate volatility risk associated with its $300.0 million senior, unsecured term loan. QEP locked in a fixed interest rate of 1.07% in exchange for a variable interest rate indexed to the one-month LIBOR rate. The interest rate swaps settle monthly and will mature in March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quantities and average prices for its commodity derivative contracts as of September 30, 2013:</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ind w:left="1060"/>
              <w:spacing w:after="0"/>
              <w:rPr>
                <w:sz w:val="20"/>
                <w:szCs w:val="20"/>
                <w:color w:val="auto"/>
              </w:rPr>
            </w:pPr>
            <w:r>
              <w:rPr>
                <w:rFonts w:ascii="Arial" w:cs="Arial" w:eastAsia="Arial" w:hAnsi="Arial"/>
                <w:sz w:val="18"/>
                <w:szCs w:val="18"/>
                <w:b w:val="1"/>
                <w:bCs w:val="1"/>
                <w:color w:val="auto"/>
                <w:w w:val="96"/>
              </w:rPr>
              <w:t>Insert Title Here</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9"/>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Average Swap</w:t>
            </w:r>
          </w:p>
        </w:tc>
      </w:tr>
      <w:tr>
        <w:trPr>
          <w:trHeight w:val="234"/>
        </w:trPr>
        <w:tc>
          <w:tcPr>
            <w:tcW w:w="4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Volumes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price per unit</w:t>
            </w:r>
          </w:p>
        </w:tc>
      </w:tr>
      <w:tr>
        <w:trPr>
          <w:trHeight w:val="34"/>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Natural gas</w:t>
            </w: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97"/>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4"/>
                <w:szCs w:val="24"/>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IFNPCR</w:t>
            </w:r>
            <w:r>
              <w:rPr>
                <w:rFonts w:ascii="Arial" w:cs="Arial" w:eastAsia="Arial" w:hAnsi="Arial"/>
                <w:sz w:val="25"/>
                <w:szCs w:val="25"/>
                <w:color w:val="auto"/>
                <w:w w:val="89"/>
                <w:vertAlign w:val="superscript"/>
              </w:rPr>
              <w:t>(1)</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5.49</w:t>
            </w: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70"/>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00"/>
              <w:spacing w:after="0" w:line="270" w:lineRule="exact"/>
              <w:rPr>
                <w:sz w:val="20"/>
                <w:szCs w:val="20"/>
                <w:color w:val="auto"/>
              </w:rPr>
            </w:pPr>
            <w:r>
              <w:rPr>
                <w:rFonts w:ascii="Arial" w:cs="Arial" w:eastAsia="Arial" w:hAnsi="Arial"/>
                <w:sz w:val="18"/>
                <w:szCs w:val="18"/>
                <w:color w:val="auto"/>
                <w:w w:val="89"/>
              </w:rPr>
              <w:t>IFNPCR</w:t>
            </w:r>
            <w:r>
              <w:rPr>
                <w:rFonts w:ascii="Arial" w:cs="Arial" w:eastAsia="Arial" w:hAnsi="Arial"/>
                <w:sz w:val="25"/>
                <w:szCs w:val="25"/>
                <w:color w:val="auto"/>
                <w:w w:val="89"/>
                <w:vertAlign w:val="superscript"/>
              </w:rPr>
              <w:t>(1)</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Crude oil</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98.27</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BRENT ICE</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107.80</w:t>
            </w:r>
          </w:p>
        </w:tc>
      </w:tr>
      <w:tr>
        <w:trPr>
          <w:trHeight w:val="270"/>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620" w:right="4320" w:hanging="5436"/>
        <w:spacing w:after="0" w:line="716" w:lineRule="auto"/>
        <w:tabs>
          <w:tab w:leader="none" w:pos="504"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Inside FERC monthly settlement index for the Northwest Pipeline Corp. Rocky Mountains. 14</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natural gas volumes placed into storage and for marketing transactions in which QEP Marketing sells gas volumes at a fixed price. The following table sets forth QEP Marketing’s volumes and swap prices for its commodity derivative contracts as of 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price</w:t>
            </w:r>
          </w:p>
        </w:tc>
      </w:tr>
      <w:tr>
        <w:trPr>
          <w:trHeight w:val="234"/>
        </w:trPr>
        <w:tc>
          <w:tcPr>
            <w:tcW w:w="4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Volumes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rPr>
              <w:t>per MMBtu</w:t>
            </w:r>
          </w:p>
        </w:tc>
      </w:tr>
      <w:tr>
        <w:trPr>
          <w:trHeight w:val="34"/>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Natural gas purchases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QEP’s notional amount and interest rate for its interest rate swaps outstanding as of September 30,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Fixed Rate</w:t>
            </w:r>
          </w:p>
        </w:tc>
        <w:tc>
          <w:tcPr>
            <w:tcW w:w="2060" w:type="dxa"/>
            <w:vAlign w:val="bottom"/>
          </w:tcPr>
          <w:p>
            <w:pPr>
              <w:spacing w:after="0"/>
              <w:rPr>
                <w:sz w:val="18"/>
                <w:szCs w:val="18"/>
                <w:color w:val="auto"/>
              </w:rPr>
            </w:pPr>
          </w:p>
        </w:tc>
      </w:tr>
      <w:tr>
        <w:trPr>
          <w:trHeight w:val="234"/>
        </w:trPr>
        <w:tc>
          <w:tcPr>
            <w:tcW w:w="3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Notional amount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Type of Contract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Paid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Variable Rate Received</w:t>
            </w:r>
          </w:p>
        </w:tc>
      </w:tr>
      <w:tr>
        <w:trPr>
          <w:trHeight w:val="34"/>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One month LIBOR</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identifies the balance sheet location of QEP’s outstanding derivative contracts on a gross contract basis as opposed to the net contract basis presentation in the Condensed Consolidated Balance Sheets and the related fair values at the balance sheet dates: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7"/>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1"/>
              </w:rPr>
              <w:t>Gross liability derivative</w:t>
            </w: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instruments fair value</w:t>
            </w:r>
          </w:p>
        </w:tc>
        <w:tc>
          <w:tcPr>
            <w:tcW w:w="500" w:type="dxa"/>
            <w:vAlign w:val="bottom"/>
          </w:tcPr>
          <w:p>
            <w:pPr>
              <w:spacing w:after="0"/>
              <w:rPr>
                <w:sz w:val="20"/>
                <w:szCs w:val="20"/>
                <w:color w:val="auto"/>
              </w:rPr>
            </w:pPr>
          </w:p>
        </w:tc>
      </w:tr>
      <w:tr>
        <w:trPr>
          <w:trHeight w:val="34"/>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5"/>
        </w:trPr>
        <w:tc>
          <w:tcPr>
            <w:tcW w:w="1840" w:type="dxa"/>
            <w:vAlign w:val="bottom"/>
          </w:tcPr>
          <w:p>
            <w:pPr>
              <w:spacing w:after="0"/>
              <w:rPr>
                <w:sz w:val="19"/>
                <w:szCs w:val="19"/>
                <w:color w:val="auto"/>
              </w:rPr>
            </w:pPr>
          </w:p>
        </w:tc>
        <w:tc>
          <w:tcPr>
            <w:tcW w:w="2860" w:type="dxa"/>
            <w:vAlign w:val="bottom"/>
            <w:gridSpan w:val="2"/>
          </w:tcPr>
          <w:p>
            <w:pPr>
              <w:ind w:left="84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line item</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2012</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2012</w:t>
            </w:r>
          </w:p>
        </w:tc>
      </w:tr>
      <w:tr>
        <w:trPr>
          <w:trHeight w:val="34"/>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18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3"/>
          </w:tcPr>
          <w:p>
            <w:pPr>
              <w:jc w:val="center"/>
              <w:ind w:left="410"/>
              <w:spacing w:after="0"/>
              <w:rPr>
                <w:sz w:val="20"/>
                <w:szCs w:val="20"/>
                <w:color w:val="auto"/>
              </w:rPr>
            </w:pPr>
            <w:r>
              <w:rPr>
                <w:rFonts w:ascii="Arial" w:cs="Arial" w:eastAsia="Arial" w:hAnsi="Arial"/>
                <w:sz w:val="18"/>
                <w:szCs w:val="18"/>
                <w:color w:val="auto"/>
                <w:w w:val="98"/>
              </w:rPr>
              <w:t>(in millions)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3"/>
          </w:tcPr>
          <w:p>
            <w:pPr>
              <w:jc w:val="center"/>
              <w:ind w:left="27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21"/>
                <w:szCs w:val="2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64"/>
        </w:trPr>
        <w:tc>
          <w:tcPr>
            <w:tcW w:w="470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63.8</w:t>
            </w:r>
          </w:p>
        </w:tc>
        <w:tc>
          <w:tcPr>
            <w:tcW w:w="100" w:type="dxa"/>
            <w:vAlign w:val="bottom"/>
            <w:tcBorders>
              <w:top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193.9</w:t>
            </w:r>
          </w:p>
        </w:tc>
        <w:tc>
          <w:tcPr>
            <w:tcW w:w="100" w:type="dxa"/>
            <w:vAlign w:val="bottom"/>
            <w:tcBorders>
              <w:top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28.7</w:t>
            </w:r>
          </w:p>
        </w:tc>
        <w:tc>
          <w:tcPr>
            <w:tcW w:w="100" w:type="dxa"/>
            <w:vAlign w:val="bottom"/>
            <w:tcBorders>
              <w:top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(losses) gains on derivative contracts" on the Condensed Consolidated Statements of Operations are summarized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0"/>
                <w:szCs w:val="20"/>
                <w:color w:val="auto"/>
              </w:rPr>
            </w:pPr>
          </w:p>
        </w:tc>
        <w:tc>
          <w:tcPr>
            <w:tcW w:w="2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Nine Months Ended</w:t>
            </w: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3"/>
                <w:szCs w:val="23"/>
                <w:color w:val="auto"/>
              </w:rPr>
            </w:pPr>
          </w:p>
        </w:tc>
        <w:tc>
          <w:tcPr>
            <w:tcW w:w="22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3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283.8</w:t>
            </w: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Field Services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84"/>
        </w:trPr>
        <w:tc>
          <w:tcPr>
            <w:tcW w:w="6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realized gains on commodity derivative contracts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302.5</w:t>
            </w:r>
          </w:p>
        </w:tc>
      </w:tr>
      <w:tr>
        <w:trPr>
          <w:trHeight w:val="23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Field Services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84"/>
        </w:trPr>
        <w:tc>
          <w:tcPr>
            <w:tcW w:w="6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unrealized (losses) gains on commodity derivative contracts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w:t>
            </w: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Total realized and unrealized (losses) gains on commodity derivative contracts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Realized losses on interest rate swaps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6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Unrealized (losses) gains on interest rate swaps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60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realized and unrealized (losses) gains on interest rate swaps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Total net realized gains on derivative contracts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107.1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unrealized (losses) gains on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Grand 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334.7</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Restructuring Costs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first quarter of 2012, QEP began incurring costs related to the closure of its Oklahoma City office and the subsequent consolidation of its Southern Region operations into a single regional office located in Tulsa. During the second half of 2012, QEP incurred additional restructuring and reorganization costs related to consolidating various corporate and accounting functions to the Denver corporate headquarters. The creation of one office for QEP’s Southern Region as well as the consolidation of corporate and accounting functions was intended to increase efficiency, team-based collaboration and organizational productivity over the long term. As part of the reorganization, QEP incurred costs associated with the severance, retention and relocation of employees, additional pension expenses, exit costs associated with the termination of operating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ind w:right="440"/>
        <w:spacing w:after="0" w:line="277" w:lineRule="auto"/>
        <w:rPr>
          <w:sz w:val="20"/>
          <w:szCs w:val="20"/>
          <w:color w:val="auto"/>
        </w:rPr>
      </w:pPr>
      <w:r>
        <w:rPr>
          <w:rFonts w:ascii="Arial" w:cs="Arial" w:eastAsia="Arial" w:hAnsi="Arial"/>
          <w:sz w:val="18"/>
          <w:szCs w:val="18"/>
          <w:color w:val="auto"/>
        </w:rPr>
        <w:t>leases arising from office space that will no longer be utilized by the Company and other expenses. The Company currently estimates that the remaining restructuring costs will be incurred during the remainder of 2013.</w:t>
      </w:r>
    </w:p>
    <w:p>
      <w:pPr>
        <w:spacing w:after="0" w:line="170"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following table summarizes, by line of business, each major type of cost expected to be incurred and the total amounts recorded in "General and administrative" expense on the Condensed Consolidated Statement of Operations for the respective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00" w:type="dxa"/>
            <w:vAlign w:val="bottom"/>
            <w:gridSpan w:val="9"/>
          </w:tcPr>
          <w:p>
            <w:pPr>
              <w:ind w:left="20"/>
              <w:spacing w:after="0"/>
              <w:rPr>
                <w:sz w:val="20"/>
                <w:szCs w:val="20"/>
                <w:color w:val="auto"/>
              </w:rPr>
            </w:pPr>
            <w:r>
              <w:rPr>
                <w:rFonts w:ascii="Arial" w:cs="Arial" w:eastAsia="Arial" w:hAnsi="Arial"/>
                <w:sz w:val="18"/>
                <w:szCs w:val="18"/>
                <w:b w:val="1"/>
                <w:bCs w:val="1"/>
                <w:color w:val="auto"/>
              </w:rPr>
              <w:t>Total Restructuring Costs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6"/>
          </w:tcPr>
          <w:p>
            <w:pPr>
              <w:ind w:left="400"/>
              <w:spacing w:after="0"/>
              <w:rPr>
                <w:sz w:val="20"/>
                <w:szCs w:val="20"/>
                <w:color w:val="auto"/>
              </w:rPr>
            </w:pPr>
            <w:r>
              <w:rPr>
                <w:rFonts w:ascii="Arial" w:cs="Arial" w:eastAsia="Arial" w:hAnsi="Arial"/>
                <w:sz w:val="18"/>
                <w:szCs w:val="18"/>
                <w:b w:val="1"/>
                <w:bCs w:val="1"/>
                <w:color w:val="auto"/>
                <w:w w:val="88"/>
              </w:rPr>
              <w:t>Recognized in Income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194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Inception to</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1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vMerge w:val="restart"/>
          </w:tcPr>
          <w:p>
            <w:pPr>
              <w:ind w:left="160"/>
              <w:spacing w:after="0"/>
              <w:rPr>
                <w:sz w:val="20"/>
                <w:szCs w:val="20"/>
                <w:color w:val="auto"/>
              </w:rPr>
            </w:pPr>
            <w:r>
              <w:rPr>
                <w:rFonts w:ascii="Arial" w:cs="Arial" w:eastAsia="Arial" w:hAnsi="Arial"/>
                <w:sz w:val="18"/>
                <w:szCs w:val="18"/>
                <w:b w:val="1"/>
                <w:bCs w:val="1"/>
                <w:color w:val="auto"/>
              </w:rPr>
              <w:t>September 30, 2013</w:t>
            </w:r>
          </w:p>
        </w:tc>
        <w:tc>
          <w:tcPr>
            <w:tcW w:w="200" w:type="dxa"/>
            <w:vAlign w:val="bottom"/>
          </w:tcPr>
          <w:p>
            <w:pPr>
              <w:spacing w:after="0"/>
              <w:rPr>
                <w:sz w:val="11"/>
                <w:szCs w:val="11"/>
                <w:color w:val="auto"/>
              </w:rPr>
            </w:pPr>
          </w:p>
        </w:tc>
        <w:tc>
          <w:tcPr>
            <w:tcW w:w="194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September 30, 2013</w:t>
            </w: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Expected to</w:t>
            </w:r>
          </w:p>
        </w:tc>
        <w:tc>
          <w:tcPr>
            <w:tcW w:w="14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4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be Incurred</w:t>
            </w:r>
          </w:p>
        </w:tc>
        <w:tc>
          <w:tcPr>
            <w:tcW w:w="1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4"/>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Field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Marketing</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QEP</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restructuring liability, by line of business, which is included within “Accounts payable and accrued expenses”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4"/>
              </w:rPr>
              <w:t>QEP Field</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QEP</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QEP Energy</w:t>
            </w:r>
          </w:p>
        </w:tc>
        <w:tc>
          <w:tcPr>
            <w:tcW w:w="160" w:type="dxa"/>
            <w:vAlign w:val="bottom"/>
          </w:tcPr>
          <w:p>
            <w:pPr>
              <w:spacing w:after="0"/>
              <w:rPr>
                <w:sz w:val="20"/>
                <w:szCs w:val="20"/>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Services</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Marketing</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00"/>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paid or otherwise settled</w:t>
            </w:r>
          </w:p>
        </w:tc>
        <w:tc>
          <w:tcPr>
            <w:tcW w:w="17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8"/>
                <w:szCs w:val="18"/>
                <w:color w:val="auto"/>
              </w:rPr>
              <w:t>Balance at September 30, 2013</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80" w:type="dxa"/>
            <w:vAlign w:val="bottom"/>
            <w:vMerge w:val="restart"/>
          </w:tcPr>
          <w:p>
            <w:pPr>
              <w:jc w:val="right"/>
              <w:ind w:right="17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 Debt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the indicated dates, the principal amount of QEP’s debt, including amounts outstanding under its and QEP Midstream's revolving credit facilities, QEP's term loan and QEP's senior notes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2012</w:t>
            </w:r>
          </w:p>
        </w:tc>
      </w:tr>
      <w:tr>
        <w:trPr>
          <w:trHeight w:val="34"/>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10"/>
              <w:spacing w:after="0"/>
              <w:rPr>
                <w:sz w:val="20"/>
                <w:szCs w:val="20"/>
                <w:color w:val="auto"/>
              </w:rPr>
            </w:pPr>
            <w:r>
              <w:rPr>
                <w:rFonts w:ascii="Arial" w:cs="Arial" w:eastAsia="Arial" w:hAnsi="Arial"/>
                <w:sz w:val="18"/>
                <w:szCs w:val="18"/>
                <w:color w:val="auto"/>
              </w:rPr>
              <w:t>(in millions)</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QEP's revolving credit facility due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QEP Midstream's revolving credit facility due 2018</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due 2017</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6.05% Senior Notes due 2016</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2018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principal amount of debt</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2,886.8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3,211.8</w:t>
            </w:r>
          </w:p>
        </w:tc>
      </w:tr>
      <w:tr>
        <w:trPr>
          <w:trHeight w:val="271"/>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discount</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Total long-term debt outstanding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2,882.3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3,206.9</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Of the total debt outstanding on September 30, 2013, amounts outstanding under QEP's revolving credit facility due August 25, 2016, QEP Midstream's revolving credit facility due August 14, 2018, QEP's term loan due April 18, 2017, the 6.05% Senior Notes due September 1, 2016, and the 6.80% Senior Notes due April 1, 2018, will mature within the next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QEP’s revolving credit facility, which matures in August 2016, provides for loan commitments of $1.5 billion from a group of financial institutions. The credit facility provides for borrowing at short-term interest rates and contains customary covenants and restrictions. The credit facility also contains an accordion provision that would allow for the amount of the facility to be increased to $2.0 billion and for the maturity to be extended for up to two additional one-year periods, with the agreement of the lenders.</w:t>
      </w:r>
    </w:p>
    <w:p>
      <w:pPr>
        <w:spacing w:after="0" w:line="19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During the nine months ended September 30, 2013 and 2012, QEP’s weighted-average interest rate on borrowings from its credit facility was 2.56% and 2.05%, respectively. At September 30, 2013 and December 31, 2012, QEP was in compliance with the covenants under the credit agreement. At September 30, 2013, there was $365.0 million outstanding and $3.7 million of letters of credit issued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Midstream's Credit Facility</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August 14, 2013, QEP Midstream entered into a $500.0 million senior secured revolving credit facility with a group of financial institutions, which matures on August 14, 2018. QEP Midstream's credit facility contains an accordion provision that allows for the amount of the facility to be increased to $750.0 million with the agreement of the lenders. QEP Midstream's credit facility is available for QEP Midstream's working capital, capital expenditures, permitted acquisitions and general corporate purposes, including distributions. Substantially all of QEP Midstream's assets, excluding equity in and assets of certain joint ventures and unrestricted subsidiaries, are pledged as collateral under the credit facility. In addition, the credit facility contains restrictions and events of default customary for agreements of this nature.</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borrowings under QEP Midstream's credit facility, and at September 30, 2013, QEP Midstream was in compliance with the covenants under the QEP Midstream credit facility agreement.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QEP is not a borrower or guarantor of QEP Midstream's credit facility. In addition, QEP is not subject to any of the restrictions or covenants contained in QEP Midstream's credit agreement. Outstanding indebtedness under QEP Midstream's credit facility is not included in the definition of indebtedness under QEP's credit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QEP's $300.0 million term loan facility provides for borrowings at short-term interest rates and contains covenants, restrictions and interest rates that are substantially the same as QEP’s revolving credit facility. The term loan matures in April 2017, and the maturity date may be extended one year with the agreement of the lenders. During the nine months ended September 30, 2013 and 2012, QEP’s weighted-average interest rate on borrowings from the term loan was 2.23% and 2.02%, respectively. At September 30, 2013 and December 31, 2012, QEP was in compliance with the covenants under the term loan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At September 30, 2013,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 QEP's litigation loss contingencies are discussed below. QEP is unable to estimate reasonably possible losses in excess of recorded accruals for these contingencies for the reasons set forth above. QEP believes, however, that the resolution of pending proceedings will not have a material effect on QEP's consolidated financial position,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2009, QEP received a cease and desist order from the U.S. Army Corps of Engineers (COE) to refrain from unpermitted work resulting in the discharge of dredged and/or fill material into waters of the United States at three sites located in Caddo and Red River Parishes, Louisiana. Region 6 of the U.S. Environmental Protection Agency (EPA) has assumed lead responsibility for enforcement of the cease and desist order and any possible future orders for the removal of unauthorized fills and/or civil penalties under the Clean Water Act. On June 28, 2013, the EPA issued to QEP an Administrative Complaint for the alleged violations. QEP and the EPA reached an agreement to settle the alleged violations through an Administrative Order, under the terms of which QEP paid an administrative penalty of $0.2 million. The Administrative Order is final. In 2012, QEP completed a field audit, which identified 112 additional instances affecting approximately 90 acres where work may have been conducted in violation of the Clean Water Act. QEP has disclosed each of these instances to the EPA under the EPA's Audit Policy (to reduce penalties) and to the COE. QEP is working with the EPA and the COE to resolve these matters, which will require the Company to undertake certain mitigation and permitting activities, and may require QEP to pay a monetary penalty.</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2010, QEP received a Notice of Potential Penalty (NOPP) from the Louisiana Department of Environmental Quality (LDEQ) regarding the assumption of ownership and operatorship of a single facility in Louisiana prior to transferring the facility's air quality permit. In 2011, QEP completed an internal audit, which identified 424 facilities in Louisiana for which QEP both failed to submit a complete permit application and to receive approval from the department prior to construction, modification, or operation. QEP has corrected and disclosed all instances of non-compliance to the LDEQ and is working with the department to resolve the NOPP. The LDEQ has assumed lead responsibility for enforcement of the NOPP and may require the Company to pay a monetary penalty.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3"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i w:val="1"/>
          <w:iCs w:val="1"/>
          <w:color w:val="auto"/>
        </w:rPr>
        <w:t>Chieftain Royalty Company v. QEP Energy Company</w:t>
      </w:r>
      <w:r>
        <w:rPr>
          <w:rFonts w:ascii="Arial" w:cs="Arial" w:eastAsia="Arial" w:hAnsi="Arial"/>
          <w:sz w:val="18"/>
          <w:szCs w:val="18"/>
          <w:color w:val="auto"/>
        </w:rPr>
        <w:t>, Case No CIV-11-0212-R, U. S. District Court for the Western District of Oklahoma. This statewide</w:t>
      </w:r>
      <w:r>
        <w:rPr>
          <w:rFonts w:ascii="Arial" w:cs="Arial" w:eastAsia="Arial" w:hAnsi="Arial"/>
          <w:sz w:val="18"/>
          <w:szCs w:val="18"/>
          <w:i w:val="1"/>
          <w:iCs w:val="1"/>
          <w:color w:val="auto"/>
        </w:rPr>
        <w:t xml:space="preserve"> </w:t>
      </w:r>
      <w:r>
        <w:rPr>
          <w:rFonts w:ascii="Arial" w:cs="Arial" w:eastAsia="Arial" w:hAnsi="Arial"/>
          <w:sz w:val="18"/>
          <w:szCs w:val="18"/>
          <w:color w:val="auto"/>
        </w:rPr>
        <w:t>class action was filed in January 2011 on behalf of QEP's Oklahoma royalty owners asserting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line="253" w:lineRule="auto"/>
        <w:rPr>
          <w:sz w:val="20"/>
          <w:szCs w:val="20"/>
          <w:color w:val="auto"/>
        </w:rPr>
      </w:pPr>
      <w:r>
        <w:rPr>
          <w:rFonts w:ascii="Arial" w:cs="Arial" w:eastAsia="Arial" w:hAnsi="Arial"/>
          <w:sz w:val="18"/>
          <w:szCs w:val="18"/>
          <w:color w:val="auto"/>
        </w:rPr>
        <w:t>various claims for damages related to royalty valuation on all of QEP's Oklahoma wells operated by QEP or from which QEP marketed gas. These claims include breach of contract, breach of fiduciary duty, fraud, unjust enrichment, tortious breach of contract, conspiracy, and conversion, based generally on asserted improper deduction of post-production costs. The Court certified the class as to the breach of contract, breach of fiduciary duty and unjust enrichment claims. The parties successfully mediated the case in January 2013. On February 13, 2013, the parties executed a Stipulation and Agreement of Settlement (the Chieftain Settlement Agreement) providing for a cash payment from QEP to the class in the amount of $115.0 million. In consideration for the settlement payment, QEP received a full release of all claims regarding the calculation, reporting and payment of royalties from the sale of natural gas and its constituents for all periods prior to February 28, 2013, and all class members are enjoined from asserting claims related to such royalties. As part of the Chieftain Settlement Agreement, the parties also agreed on the methodology for the calculation and payment of future royalties payable by QEP, or its successors and assigns, under all class leases for the life of such leases. On May 31, 2013, the Court issued its order approving the settlement, which is now final.</w:t>
      </w:r>
    </w:p>
    <w:p>
      <w:pPr>
        <w:spacing w:after="0" w:line="19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Questar Gas Company v. QEP Field Services Company</w:t>
      </w:r>
      <w:r>
        <w:rPr>
          <w:rFonts w:ascii="Arial" w:cs="Arial" w:eastAsia="Arial" w:hAnsi="Arial"/>
          <w:sz w:val="17"/>
          <w:szCs w:val="17"/>
          <w:color w:val="auto"/>
        </w:rPr>
        <w:t>, Civil No. 120902969, Third Judicial District Court, State of Utah. At the closing of the Offering,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agreement discussed below were assigned to QEP Midstream. QEP Field Services' former affiliate, Questar Gas Company (QGC), filed this complaint in state court in Utah on May 1, 2012, asserting claims for (i) breach of contract, (ii) breach of implied covenant of good faith and fair dealing, (iii) an accounting and (iv) declaratory judgment related to a 1993 gathering agreement (the 1993 Agreement) executed when the parties were affiliates. Under the 1993 Agreement, certain of QEP Field Services' systems provide gathering services to QGC charging an annual gathering rate which is based on cost of service. QGC is disputing the annual calculation of the gathering rate. The annual gathering rate has been calculated in the same manner under the 1993 Agreement since it was amended in 1998, without any prior objection or challenge by QGC. QGC was netting the disputed amount from its monthly payments of the gathering fees to QEP Field Services and has continued to net such amounts from its monthly payment to QEP Midstream. As of September 30, 2013, QEP Midstream has deferred revenue of $7.0 million related to the QGC disputed amount. Specific monetary damages are not asserted. QEP Field Services has filed counterclaims seeking damages and a declaratory judgment relating to its gathering services under the 1993 Agreement. QGC may seek to amend its complaint to add QEP Midstream as a defendant in the litigation. QEP Midstream has been indemnified by QEP for costs, expenses and other losses incurred by QEP Midstream in connection with the QGC dispute, subject to certain limitations, as set forth in the Omnibus Agreement (defined below in "Note 3 - QEP Midstream").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share-based compensation is included in additional paid-in capital in the Condensed Consolidated Balance Sheets. There were 11.9 million shares available for future grants under the LTSIP at September 30, 2013. Share-based compensation expense is recognized in “General and administrative” on the Condensed Consolidated Statements of Operations. During the three and nine months ended September 30, 2013, QEP recognized $6.8 million and $20.0 million, respectively, in total compensation expense related to share-based compensation compared to $7.2 million and $19.5 million during the three and nine months ended September 30, 2012, respectively.</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Midstream maintains a unit-based compensation plan for officers, directors and employees of the general partner of QEP Midstream and its affiliates and any consultants, affiliates of the general partner, or other individuals who perform services for QEP Midstream. The QEP Midstream 2013 Long-Term Incentive Plan (the QEP Midstream LTIP) permits various types of awards, including awards of restricted units, phantom units, unit options, unit appreciation rights, distribution equivalent rights, profits interest units and other unit-based awards. Awards granted during 2013 under the QEP Midstream LTIP will be settled with QEP Midstream units. During the three and nine months ended September 30, 2013, QEP recognized $0.1 million in compensation expense related to QEP Midstream LTIP.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 Option Assumptions</w:t>
            </w:r>
          </w:p>
        </w:tc>
      </w:tr>
      <w:tr>
        <w:trPr>
          <w:trHeight w:val="270"/>
        </w:trPr>
        <w:tc>
          <w:tcPr>
            <w:tcW w:w="8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8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September 30, 2013</w:t>
            </w:r>
          </w:p>
        </w:tc>
      </w:tr>
      <w:tr>
        <w:trPr>
          <w:trHeight w:val="34"/>
        </w:trPr>
        <w:tc>
          <w:tcPr>
            <w:tcW w:w="8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 of awards granted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15.16</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27"/>
        </w:trPr>
        <w:tc>
          <w:tcPr>
            <w:tcW w:w="8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0.27%</w:t>
            </w:r>
          </w:p>
        </w:tc>
      </w:tr>
      <w:tr>
        <w:trPr>
          <w:trHeight w:val="27"/>
        </w:trPr>
        <w:tc>
          <w:tcPr>
            <w:tcW w:w="8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240" w:type="dxa"/>
            <w:vAlign w:val="bottom"/>
            <w:shd w:val="clear" w:color="auto" w:fill="CCEEFF"/>
          </w:tcPr>
          <w:p>
            <w:pPr>
              <w:spacing w:after="0"/>
              <w:rPr>
                <w:sz w:val="21"/>
                <w:szCs w:val="21"/>
                <w:color w:val="auto"/>
              </w:rPr>
            </w:pPr>
          </w:p>
        </w:tc>
        <w:tc>
          <w:tcPr>
            <w:tcW w:w="25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5.5</w:t>
            </w:r>
          </w:p>
        </w:tc>
      </w:tr>
      <w:tr>
        <w:trPr>
          <w:trHeight w:val="27"/>
        </w:trPr>
        <w:tc>
          <w:tcPr>
            <w:tcW w:w="8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Weighted-Average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Contractual Term</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r>
      <w:tr>
        <w:trPr>
          <w:trHeight w:val="34"/>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4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1,697,471</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330,592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1,818,563</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Options Exercisable at September 30, 2013</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1,236,211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26.36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Options at September 30, 2013</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582,352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40"/>
        <w:spacing w:after="0" w:line="306" w:lineRule="auto"/>
        <w:rPr>
          <w:sz w:val="20"/>
          <w:szCs w:val="20"/>
          <w:color w:val="auto"/>
        </w:rPr>
      </w:pPr>
      <w:r>
        <w:rPr>
          <w:rFonts w:ascii="Arial" w:cs="Arial" w:eastAsia="Arial" w:hAnsi="Arial"/>
          <w:sz w:val="18"/>
          <w:szCs w:val="18"/>
          <w:color w:val="auto"/>
        </w:rPr>
        <w:t>The total intrinsic value (the difference between the market price at the exercise date and the exercise price) of options exercised was $4.2 million and $7.1 million during the nine months ended September 30, 2013 and 2012, respectively. The Company realized $1.4 million and $2.2 million of income tax benefit for the nine months ended September 30, 2013 and 2012, respectively, which increased its Additional Paid-in-Capital (APIC) pool by $1.4 million as of September 30, 2013. As of September 30, 2013, $4.4 million of unrecognized compensation cost related to stock options granted under the LTSIP is expected to be recognized over a weighted-average period of 2.1 years. During the nine months ended September 30, 2013, QEP received $0.5 million in cash in relation to the exercise of stock options.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nine months ended September 30, 2013 and 2012, was $18.4 million and $16.6 million, respectively. The Company realized $0.4 million and $0.2 million of income tax expense for the nine months ended September 30, 2013 and 2012, respectively, with $0.1 million impact to the Company's APIC pool as of September 30, 2013. The weighted average grant-date fair value of restricted stock was $30.03 per share and $30.59 per share for the nine months ended September 30, 2013 and 2012, respectively. As of September 30, 2013, $23.5 million of unrecognized compensation cost related to restricted shares granted under the LTSIP is expected to be recognized over a weighted-average vesting period of 2.2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Average Grant-</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34"/>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1,300,588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850,824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30.03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30.82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September 30,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1,455,905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$30.12 per share and $30.90 per share for the nine months ended September 30, 2013 and 2012, respectively. As of September 30, 2013, $8.5 million of unrecognized compensation cost, representing the fair market value of performance shares granted under the CIP, is expected to be recognized over a weighted-average vesting period of 2.0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Units 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283,484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223,844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September 30,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506,165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13 – Employee Benefits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maintains closed, defined-benefit pension and postretirement medical plans. QEP's pension plans include a qualified and a nonqualified retirement plan. The Company's postretirement medical plan is unfunded and provides certain health care and life insurance benefits for certain retired employees. During the nine months ended September 30, 2013, the Company made contributions of $8.1 million to its funded pension plan, and $2.7 million to its unfunded pension plan. Contributions to funded plans increase plan assets while contributions to unfunded plans are used to fund current benefit payments. During the remainder of 2013, the Company expects to contribute approximately $0.4 million to its unfunded pension plans and approximately $0.1 million for retiree health care and life insurance benefits. No additional contributions are planned for the funded pension plan during the remainder of 2013.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sets forth the Company’s pension and postretirement benefits net periodic benefit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Pension</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606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2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6060" w:type="dxa"/>
            <w:vAlign w:val="bottom"/>
          </w:tcPr>
          <w:p>
            <w:pPr>
              <w:spacing w:after="0"/>
              <w:rPr>
                <w:sz w:val="23"/>
                <w:szCs w:val="23"/>
                <w:color w:val="auto"/>
              </w:rPr>
            </w:pPr>
          </w:p>
        </w:tc>
        <w:tc>
          <w:tcPr>
            <w:tcW w:w="22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34"/>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(0.9)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w:t>
            </w: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65"/>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Postretirement Benefits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
        </w:trPr>
        <w:tc>
          <w:tcPr>
            <w:tcW w:w="606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2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6060" w:type="dxa"/>
            <w:vAlign w:val="bottom"/>
          </w:tcPr>
          <w:p>
            <w:pPr>
              <w:spacing w:after="0"/>
              <w:rPr>
                <w:sz w:val="23"/>
                <w:szCs w:val="23"/>
                <w:color w:val="auto"/>
              </w:rPr>
            </w:pPr>
          </w:p>
        </w:tc>
        <w:tc>
          <w:tcPr>
            <w:tcW w:w="22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r>
      <w:tr>
        <w:trPr>
          <w:trHeight w:val="34"/>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34"/>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84"/>
        </w:trPr>
        <w:tc>
          <w:tcPr>
            <w:tcW w:w="606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84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Operations by Line of Business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QEP’s lines of business include natural gas and oil exploration and production (QEP Energy), midstream field services, which includes the ownership and operation of QEP Midstream (QEP Field Services), and marketing and corporate (QEP Marketing &amp; Resources). The lines of business are managed separately and therefore the financial information is presented separately due to the distinct differences in the nature of operations of each line of business, among other factors. QEP owns a 57.8% ownership interest in QEP Midstream and it is consolidated under the voting interest model in QEP Field Services' operating results. The outside ownership interest in QEP Midstream is presented separately as a noncontrolling interest.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operating results for the three months ended September 30, 2013, by line of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772.8</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272.8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772.8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205.0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45.0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49.3</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253.1</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657.4</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from asset sales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63.5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is a summary of operating results for the three months ended September 30, 2012,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w:t>
            </w: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234.6</w:t>
            </w: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1"/>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555.0</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 on derivative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(loss) income attributable to QEP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is a summary of operating results for the nine months ended September 30,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2,220.3</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711.7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(803.1)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2,220.3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608.8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127.4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105.8</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136.2</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117.7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757.1</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1,933.0</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113.0</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342.2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217.2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121.9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19.5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211.4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is a summary of operating results for the nine months ended September 30, 2012,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1,644.9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1,106.3</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343.0</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680.0</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1,644.9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455.9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648.3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43"/>
        </w:trPr>
        <w:tc>
          <w:tcPr>
            <w:tcW w:w="44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1,285.4</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685.8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1,665.0</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 on derivative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154.1</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income (loss) attributable to QEP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151.4</w:t>
            </w: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Item 1 of this Quarterly Report on Form 10-Q.</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2012 Annual Report on Form 10-K filing and analyzes the changes in the results of operations between the three and nine months ended September 30, 2013 and 2012. For definitions of commonly used gas and oil terms found in this Quarterly Report on Form 10-Q, please refer to the “Glossary of Commonly Used Terms” provided in QEP’s 2012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4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crude oil, and natural gas liquids (NGL);</w:t>
      </w:r>
    </w:p>
    <w:p>
      <w:pPr>
        <w:spacing w:after="0" w:line="23" w:lineRule="exact"/>
        <w:rPr>
          <w:rFonts w:ascii="Arial" w:cs="Arial" w:eastAsia="Arial" w:hAnsi="Arial"/>
          <w:sz w:val="18"/>
          <w:szCs w:val="18"/>
          <w:color w:val="auto"/>
        </w:rPr>
      </w:pPr>
    </w:p>
    <w:p>
      <w:pPr>
        <w:jc w:val="both"/>
        <w:ind w:left="340" w:right="280" w:hanging="332"/>
        <w:spacing w:after="0" w:line="28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QEP Field Services Company (QEP Field Services, which includes the ownership and operations of QEP Midstream Partners, LP (QEP Midstream)), provides midstream field services, including natural gas gathering, processing, compression, and treating services, for affiliates and third parties, and;</w:t>
      </w:r>
    </w:p>
    <w:p>
      <w:pPr>
        <w:spacing w:after="0" w:line="1" w:lineRule="exact"/>
        <w:rPr>
          <w:rFonts w:ascii="Arial" w:cs="Arial" w:eastAsia="Arial" w:hAnsi="Arial"/>
          <w:sz w:val="16"/>
          <w:szCs w:val="16"/>
          <w:color w:val="auto"/>
        </w:rPr>
      </w:pPr>
    </w:p>
    <w:p>
      <w:pPr>
        <w:ind w:left="340" w:right="44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and owns and operates an underground gas storage reservoir.</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QEP's operations are focused in two major regions: the Northern Region (primarily in North Dakota, Wyoming and Utah) and the Southern Region (primarily in Oklahoma, Louisiana and the Texas Panhandle) of the United States. QEP's corporate headquarters are located in Denver, Colorado.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 cost structure. To achieve these objectives we strive to:</w:t>
      </w:r>
    </w:p>
    <w:p>
      <w:pPr>
        <w:spacing w:after="0" w:line="24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own a controlling interest in and operate midstream infrastructure in our core producing areas to capture value downstream of the wellhead;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natural gas streams;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own or control assets to gather, compress and treat our production to drive down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 the growth of our midstream business through the growth of a master limited partnership;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9" w:lineRule="exact"/>
        <w:rPr>
          <w:rFonts w:ascii="Arial" w:cs="Arial" w:eastAsia="Arial" w:hAnsi="Arial"/>
          <w:sz w:val="18"/>
          <w:szCs w:val="18"/>
          <w:color w:val="auto"/>
        </w:rPr>
      </w:pPr>
    </w:p>
    <w:p>
      <w:pPr>
        <w:ind w:left="340" w:right="7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natural gas, crude oil or NGL price volatility and fluctuating interest rates, while locking in acceptable cash flows required to support future capital expenditures;</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right="100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Pinedale Anticline, Uinta Basin, Woodford "Cana" and Haynesville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exploration and production company peers. However, in certain of its resource plays, QEP, along with its peers, has experienced increased drilling and completion costs which could impact near term drilling plans.</w:t>
      </w:r>
    </w:p>
    <w:p>
      <w:pPr>
        <w:spacing w:after="0" w:line="1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While historically a natural gas producer, the Company has increased its focus on growing the relative proportion of crude oil and NGL production in its exploration and production business. As part of the Company's liquids growth strategy, during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0" w:right="25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third quarter of 2012, QEP Energy acquired oil and gas properties in the Williston Basin for an aggregate purchase price of $1.4 billion (the 2012 Acquisition). During the first nine months of 2013, QEP Energy increased its crude oil and NGL (natural gas liquids) production by 34% compared to the first three quarters of 2012. During the first three quarters of 2013, crude oil and NGL revenue accounted for approximately 57% of QEP Energy’s field-level production revenues, compared to 50% during the first three quarters of 2012.</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might create significant long-term value. QEP believes that its experience, expertise, and substantial presence in its core operating areas, combined with its low-cost operating model and financial strength, enhance its ability to pursue acquisition opportunities. In addition, the Company will occasionally divest select non-core portfolio assets to redirect capital towards higher-return projects.</w:t>
      </w:r>
    </w:p>
    <w:p>
      <w:pPr>
        <w:spacing w:after="0" w:line="17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QEP owns and operates, directly or through QEP Midstream, gathering and natural gas processing and treatment facilities in the majority of its core producing areas outside of Oklahoma and Texas. These assets enable the Company to promptly connect its wells, better control its costs, and generate a significant, consistent revenue stream by providing gathering and processing services to third parties. In August 2014, QEP Midstream, a master limited partnership formed by QEP to hold certain midstream gathering assets, completed its initial public offering. QEP expects that QEP Midstream will support the growth of QEP’s midstream business and allow QEP to raise additional capital through the drop-down of assets to QEP Midstream.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QEP Energy reported total equivalent production of 78.0 Bcfe during the third quarter of 2013 and 233.9 Bcfe in the first three quarters of 2013, a decrease of 4% and 1%, respectively, over the same periods in 2012. Crude oil and NGL production in the third quarter and first three quarters of 2013 was 3,798.6 Mbbls and 10,546.2 Mbbls, a combined increase of 34% from the same periods in 2012. The Company's 2012 Acquisition contributed 831.2 Mbbls and 2,131.8 Mbbls of crude oil or NGL production in the third quarter and first three quarters of 2013, respectively.</w:t>
      </w:r>
    </w:p>
    <w:p>
      <w:pPr>
        <w:spacing w:after="0" w:line="17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During the third quarter of 2013, QEP Field Services' gathering throughput volumes decreased 13%, and NGL sales volumes decreased 42%, while fee-based processing volumes were 5% higher than the third quarter of 2012. During the first three quarters of 2013, QEP Field Services' gathering throughput volumes decreased 13%, NGL sales volumes decreased 47% and fee-based processing volumes were 1% lower compared to the first three quarters of 2012.</w:t>
      </w:r>
    </w:p>
    <w:p>
      <w:pPr>
        <w:spacing w:after="0" w:line="14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During the third quarter and first three quarters of 2013, QEP Energy benefited from increased average realized prices compared to 2012. QEP Energy’s average total net realized equivalent price (including the impact of settled commodity derivatives) increased 31% to $6.71 per Mcfe for the third quarter of 2013 and increased 24% to $6.50 per Mcfe for the first three quarters of 2013 compared to the first three quarters of 2012. As a result of low ethane prices relative to natural gas prices, QEP Field Services' processing plants, in regard to its keep-whole processing activities, operated in ethane rejection mode (where the majority of ethane is left in the production stream and sold as natural gas) through the end of the third quarter of 2013. When in ethane rejection mode, NGL volumes are lower and average NGL prices are higher as a result of the remaining components of the NGL stream having a higher price than ethane. During the third quarter and first three quarters of 2013, NGL sales volumes declined, the impact of which was partially offset by an increase in average net realized NGL sales prices of 32% and 12%, respectively. During the third quarter and first three quarters of 2013, QEP Field Services' fee-based processing rates increased 7% and 11%, respectively, while fee-based gathering rates were flat during the third quarter and the first three quarters of 2013.</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2013, QEP Midstream completed its initial public offering (the Offering) of 20,000,000 common units, representing limited partner interests in QEP Midstream, at a price to the public of $21.00 per common unit. QEP Midstream received net proceeds of $390.7 million from the sale of the common units, after deducting underwriting discounts and commissions, structuring fees and offering expenses of approximately $29.3 million. Following the Offering, the underwriters exercised their over-allotment option to purchase an additional 3,000,000 common units, at a price of $21.00 per common unit, providing additional net proceeds of $58.9 million, after deducting underwriters' discounts and commissions and structuring fees of $4.1 million, to QEP Midstream. QEP Midstream used the net proceeds to repay its outstanding debt balance with QEP, which was assumed with the assets contributed to the Partnership, pay revolving credit facility origination fees and make a cash distribution to QEP, a portion of which was used to reimburse QEP for certain capital expenditures it incurred with respect to assets contributed to QEP Midstream.</w:t>
      </w:r>
    </w:p>
    <w:p>
      <w:pPr>
        <w:spacing w:after="0" w:line="1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QEP contributed gathering assets which are located in, or within close proximity to, the Green River Basin located in Wyoming and Colorado, the Uinta Basin located in eastern Utah, and the portion of the Williston Basin located in North Dakota. QEP utilized the proceeds of the cash distribution it received from QEP Midstream in connection with the Offering to fund ongoing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ind w:right="520"/>
        <w:spacing w:after="0" w:line="277" w:lineRule="auto"/>
        <w:rPr>
          <w:sz w:val="20"/>
          <w:szCs w:val="20"/>
          <w:color w:val="auto"/>
        </w:rPr>
      </w:pPr>
      <w:r>
        <w:rPr>
          <w:rFonts w:ascii="Arial" w:cs="Arial" w:eastAsia="Arial" w:hAnsi="Arial"/>
          <w:sz w:val="18"/>
          <w:szCs w:val="18"/>
          <w:color w:val="auto"/>
        </w:rPr>
        <w:t>operations, to repay debt under the Company's revolving credit facility and for general corporate purposes. Following the Offering, QEP owns a 57.8% ownership interest in QEP Midstream and consolidates QEP Midstream for financial reporting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Natural Gas, and NGL Prices</w:t>
      </w:r>
    </w:p>
    <w:p>
      <w:pPr>
        <w:spacing w:after="0" w:line="2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Historically, field-level prices received for QEP's natural gas, NGL, and crude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natural gas properties.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At September 30, 2013, assuming 2013 annual production of 312.5 Bcfe, QEP Energy had approximately 55% of its forecasted natural gas equivalent production covered with fixed-price swaps, including 59% of its forecasted natural gas production and 66% of its forecasted crude oil production covered with fixed-price swaps. See Item 3 “Quantitative and Qualitative Disclosures about Market Risk—Commodity Price Risk Management” for further details concerning QEP’s commodity derivatives transactions. In addition, as a result of the continued spread between oil and natural gas prices, QEP Energy has allocated approximately 98% of its forecasted 2013 drilling and completion capital expenditure budget to oil and liquids-rich natural gas projects in its portfolio.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QEP continues to monitor the outlook of the global economy, including the European debt crisis and its potential impact on global economic growth and the banking and financial sectors, political unrest in the Middle East and Africa, a slowing of growth in Asia, the United States federal budget deficit and debt ceiling crisis, the recent partial shut-down of Federal government offices including the Department of Interior (including the Bureau of Land Management (BLM) and Bureau of Indian Affairs (BIA) which process permits to drill and rights-of-way for construction of gathering lines and other midstream infrastructure on federal (BLM) and Native American (BIA and BLM) minerals and surface), changes in regulatory oversight policy and commodity price volatility. A dramatic decline in regional or global economic conditions, a major recession or depression, regional political instability, economic sanctions, war, or other factors beyond the control of QEP could have a significant impact on natural gas, NGL and crude oil supply, demand and prices, the Company's ability to continue its planned drilling programs on federal and Native American lands, and could materially impact the Company's financial position, results of operations and cash flow from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U.S. natural gas directed drilling rig count decreased during 2012 and continued to decrease in the first two quarters of 2013 and flattened in the third quarter of 2013 as producers reduced drilling for natural gas in response to lower natural gas prices. A reduction in natural gas production has lagged the downturn in the natural gas rig count, because natural gas producers have a significant inventory of drilled wells waiting on completion, continued efficiency gains allowing more wells to be drilled and completed per operating rig, and higher per-well natural gas production from horizontal wells which now dominate U.S. completions. As a result of the lag, U.S. natural gas production did not decline in 2012 and has not yet declined in 2013. However, strong natural gas demand from electric power generation has resulted in a general firming of natural gas prices during the last half of 2012 and 2013. Despite increased natural gas prices during the third quarter and first nine months of 2013, QEP expects U.S. natural gas prices to remain range-bound over the near term. Relatively low natural gas prices have caused U.S. E&amp;P companies, including QEP, to shift capital investments away from predominantly dry gas areas toward plays that are known to have liquids-rich natural gas and crude oil. This shift in focus has caused domestic NGL production to increase dramatically. Increased NGL production, several warmer-than-average winters, and price dislocations from infrastructure bottlenecks in certain regions, have all contributed to a weakening of domestic NGL prices, particularly ethane. QEP expects NGL prices to remain range-bound for the foreseeable future. QEP anticipates global crude oil prices to remain near current levels, assuming the global economy and socio-political backdrops remain relatively stable. Disruption to the global oil supply system, political and/or economic instability, and/or other factors could trigger additional volatility in crude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2" w:name="page33"/>
    <w:bookmarkEnd w:id="32"/>
    <w:p>
      <w:pPr>
        <w:ind w:right="220"/>
        <w:spacing w:after="0" w:line="259" w:lineRule="auto"/>
        <w:rPr>
          <w:sz w:val="20"/>
          <w:szCs w:val="20"/>
          <w:color w:val="auto"/>
        </w:rPr>
      </w:pPr>
      <w:r>
        <w:rPr>
          <w:rFonts w:ascii="Arial" w:cs="Arial" w:eastAsia="Arial" w:hAnsi="Arial"/>
          <w:sz w:val="18"/>
          <w:szCs w:val="18"/>
          <w:color w:val="auto"/>
        </w:rPr>
        <w:t>oil prices. In addition, transportation, refining, or other infrastructure constraints could introduce significant price differentials between regional markets where QEP sells its crude oil production and national (NYMEX or Cushing) and global (Brent or U.S. Gulf Coast) markets. Because of the global and regional price volatility and the uncertainty around the commodity price environment, QEP continues to manage its capital spending program and financial flexibility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carrying value of the Company's properties is sensitive to declines in natural gas, crude oil and NGL prices. These assets are at risk of impairment if future prices for natural gas, crude oil or NGL prices decline and/or drilling and completion costs increase.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natural gas, crude oil or NGL prices alone could result in an impairment of properties. The Company did not record any proved property impairments during the first three quarters of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 reduce the costs of well location construction and rig mobilization and demobilization and to obtain other efficiencies, QEP utilized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QEP’s quarterly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QEP’s significant accounting policies are described in Item 7 of Part II of its 2012 Annual Report on Form 10-K. The Company’s Condensed Consolidated Financial Statements are prepared in accordance with United States Generally Accepted Accounting Principles (GAAP). The preparation of the Company’s Condensed Consolidated Financial Statements requires management to make assumptions and estimates that affect the reported results of operations and financial position. QEP’s accounting policies on gas and oil reserves, successful efforts accounting for gas and oil operations, impairment of gas and oil properties, asset retirement obligations, accounting for derivative contracts, revenue recognition, environmental obligations, litigation and other contingencies, benefit plan obligations, share-based compensation, income taxes, and purchase price allocations, among others, may involve a high degree of complexity and judgment on the part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QEP’s net income for the third quarter of 2013 was $37.3 million, or $0.21 per diluted share, compared to a net loss of $3.1 million, or $0.02 per diluted share, in the third quarter of 2012. The increase in the third quarter of 2013 was due to a $35.8 million increase in QEP Energy’s net income and an $11.3 million increase in QEP Marketing and Resources' net income, offset by a $6.7 million decrease in QEP Field Services' net income when compared to the third quarter of 2012. QEP Energy's net income increase was primarily related to the higher realized equivalent prices and increased oil volumes and the $12.8 million net gain primarily recorded in connection with sales of certain non-core properties partially offset by lower realized gains on derivative instruments, higher depreciation, depletion and amortization expenses, and higher interest expense when compared to the third quarter of 2012. The increase in QEP Marketing and Resources' net income is related to intercompany interest income from interest expense charges to QEP's subsidiaries. QEP Field Services’ decrease in net income during the third quarter of 2013 was driven by an 18% decrease in the keep-whole processing margin and a 13% lower gathering margin.</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QEP’s net income for the first three quarters of 2013 was $211.4 million, or $1.18 per diluted share, compared to net income of $151.4 million, or $0.85 per diluted share in the first three quarters of 2012. The increase in the first three quarters of 2013 was primarily due to a $70.3 million increase in QEP Energy’s net income and a $27.1 million increase in QEP Marketing and Resources' net income, offset by a $37.4 million decrease in QEP Field Services' net income. QEP Energy's net income increased in the first three quarters of 2013 due to an increase in realized equivalent prices, increased oil volumes, gain from asset sales, and a decrease in property impairments, partially offset by an increase in depreciation, depletion and amortization expense, increase in production and property taxes, and interest expense and a decrease in unrealized gains on commodity derivative contracts. The increase in QEP Marketing and Resources' net income is related to intercompany interest income from interest expense charges to QEP's subsidiaries. QEP Field Services’ decrease in net income during the first three quarters of 2013 was driven by a 43% decrease in the keep-whole processing margin and 13% lower gathering margins.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provides a summary of net income (loss) attributable to QEP by line of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8"/>
          </w:tcPr>
          <w:p>
            <w:pPr>
              <w:ind w:left="34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56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34"/>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121.9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70.3</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8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QEP Marketing and Resources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QEP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Earnings per diluted share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0.33</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diluted shares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3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believes Adjusted EBITDA (a non-GAAP measure) is an important measure of the Company’s cash flow, liquidity, and ability to incur and service debt, fund capital expenditures and make distributions to shareholders. The use of this measure allows investors to understand how management evaluates financial performance to make operating decisions and allocate resources. It is also an important measure for comparing the Company’s financial performance to other gas and oil producing companies. Management defines Adjusted EBITDA as net income attributable to QEP before the following items: certain significant accrued litigation loss contingencies, depreciation, depletion and amortization (DD&amp;A), exploration expense, impairment, gains and losses from asset sales, unrealized gains and losses on derivative contracts, interest and other income, interest expense, loss on early extinguishment of debt and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Adjusted EBITDA by line of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8"/>
          </w:tcPr>
          <w:p>
            <w:pPr>
              <w:ind w:left="34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56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34"/>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and Resources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33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395.1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1,159.6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140.7</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Adjusted EBITDA increased to $395.1 million in the third quarter of 2013 from $331.3 million in the third quarter of 2012, due to a 31% increase in average net realized equivalent prices and an 83% increase in oil production at QEP Energy offset in part by decreases in processing and gathering margins at QEP Field Services.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three quarters of 2013, Adjusted EBITDA increased to $1,159.6 million from $1,018.9 million in 2012, due to 5% higher net realized natural gas prices, 7% higher net realized crude oil prices, 19% higher realized NGL prices as a result of the rejection of lower value ethane and an 80% increase in total oil production at QEP Energy that was partially offset by decreases in processing and gathering margins at QEP Field Services and lower natural gas production volumes at QEP Energy.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The following tables are reconciliations of Adjusted EBITDA to net income (loss) attributable to QEP, the most comparable GAAP financial measure:</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QEP Field</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QEP Energy</w:t>
            </w: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&amp; Resources</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QEP</w:t>
            </w:r>
          </w:p>
        </w:tc>
      </w:tr>
      <w:tr>
        <w:trPr>
          <w:trHeight w:val="34"/>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Three Months Ended September 30, 2013</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5"/>
          </w:tcPr>
          <w:p>
            <w:pPr>
              <w:ind w:left="84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QEP</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Unrealized losses on derivative contracts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54.1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and other income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22.4</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Interest expense</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49.2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41.6</w:t>
            </w:r>
          </w:p>
        </w:tc>
      </w:tr>
      <w:tr>
        <w:trPr>
          <w:trHeight w:val="270"/>
        </w:trPr>
        <w:tc>
          <w:tcPr>
            <w:tcW w:w="49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250.9</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r>
      <w:tr>
        <w:trPr>
          <w:trHeight w:val="297"/>
        </w:trPr>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344.0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395.1</w:t>
            </w:r>
          </w:p>
        </w:tc>
      </w:tr>
      <w:tr>
        <w:trPr>
          <w:trHeight w:val="311"/>
        </w:trPr>
        <w:tc>
          <w:tcPr>
            <w:tcW w:w="4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Three Months Ended September 30, 2012</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QEP</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Unrealized losses on derivative contracts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Accrued litigation loss contingency</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233.9</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331.3</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Nine Months Ended September 30, 2013</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income attributable to QEP</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19.5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211.4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(gains)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55.5</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(113.0)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125.0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122.4</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712.1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753.9</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1,159.6</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Nine Months Ended September 30, 2012</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 attributable to QEP</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gain from asset sales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240" w:top="584" w:right="439" w:bottom="1440" w:gutter="0" w:footer="0" w:header="0"/>
        </w:sectPr>
      </w:pP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240" w:top="584" w:right="439" w:bottom="1440" w:gutter="0" w:footer="0" w:header="0"/>
          <w:type w:val="continuous"/>
        </w:sectPr>
      </w:pPr>
    </w:p>
    <w:bookmarkStart w:id="35" w:name="page36"/>
    <w:bookmarkEnd w:id="35"/>
    <w:tbl>
      <w:tblPr>
        <w:tblLayout w:type="fixed"/>
        <w:tblInd w:w="22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QEP Field</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QEP Energy</w:t>
            </w: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&amp; Resources</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QEP</w:t>
            </w:r>
          </w:p>
        </w:tc>
      </w:tr>
      <w:tr>
        <w:trPr>
          <w:trHeight w:val="34"/>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Accrued litigation loss contingency</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646.2</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1,018.9</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w:t>
      </w:r>
    </w:p>
    <w:p>
      <w:pPr>
        <w:spacing w:after="0" w:line="5" w:lineRule="exact"/>
        <w:rPr>
          <w:sz w:val="20"/>
          <w:szCs w:val="20"/>
          <w:color w:val="auto"/>
        </w:rPr>
      </w:pPr>
    </w:p>
    <w:p>
      <w:pPr>
        <w:ind w:right="160" w:firstLine="8"/>
        <w:spacing w:after="0" w:line="239" w:lineRule="auto"/>
        <w:tabs>
          <w:tab w:leader="none" w:pos="19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Excludes noncontrolling interest's share of $0.1 million during the three and nine months ended September 30, 2013, of interest expense attributable to QEP Midstream.</w:t>
      </w:r>
    </w:p>
    <w:p>
      <w:pPr>
        <w:spacing w:after="0" w:line="1" w:lineRule="exact"/>
        <w:rPr>
          <w:rFonts w:ascii="Arial" w:cs="Arial" w:eastAsia="Arial" w:hAnsi="Arial"/>
          <w:sz w:val="22"/>
          <w:szCs w:val="22"/>
          <w:color w:val="auto"/>
          <w:vertAlign w:val="superscript"/>
        </w:rPr>
      </w:pPr>
    </w:p>
    <w:p>
      <w:pPr>
        <w:ind w:right="80" w:firstLine="8"/>
        <w:spacing w:after="0" w:line="270" w:lineRule="auto"/>
        <w:tabs>
          <w:tab w:leader="none" w:pos="17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Excludes noncontrolling interests' share of $2.2 million and $0.7 million during the three months ended September 30, 2013 and 2012, respectively, and $3.2 million and $2.1 million during the nine months ended September 30, 2013 and 2012, respectively, of depreciation, depletion and amortization attributable to Rendezvous Gas Services, L.L.C and QEP Midstream.</w:t>
      </w:r>
    </w:p>
    <w:p>
      <w:pPr>
        <w:spacing w:after="0" w:line="1" w:lineRule="exact"/>
        <w:rPr>
          <w:rFonts w:ascii="Arial" w:cs="Arial" w:eastAsia="Arial" w:hAnsi="Arial"/>
          <w:sz w:val="20"/>
          <w:szCs w:val="20"/>
          <w:color w:val="auto"/>
          <w:vertAlign w:val="superscript"/>
        </w:rPr>
      </w:pPr>
    </w:p>
    <w:p>
      <w:pPr>
        <w:ind w:left="200" w:hanging="192"/>
        <w:spacing w:after="0" w:line="196" w:lineRule="auto"/>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Includes certain significant litigation contingency items for the three and nine months ended September 30,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742"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QEP ENERGY</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9"/>
          </w:tcPr>
          <w:p>
            <w:pPr>
              <w:spacing w:after="0"/>
              <w:rPr>
                <w:sz w:val="20"/>
                <w:szCs w:val="20"/>
                <w:color w:val="auto"/>
              </w:rPr>
            </w:pPr>
            <w:r>
              <w:rPr>
                <w:rFonts w:ascii="Arial" w:cs="Arial" w:eastAsia="Arial" w:hAnsi="Arial"/>
                <w:sz w:val="18"/>
                <w:szCs w:val="18"/>
                <w:color w:val="auto"/>
                <w:w w:val="92"/>
              </w:rPr>
              <w:t>The following table provides a summary of QEP Energy’s financial and operating results: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40" w:type="dxa"/>
            <w:vAlign w:val="bottom"/>
            <w:gridSpan w:val="7"/>
          </w:tcPr>
          <w:p>
            <w:pPr>
              <w:ind w:left="40"/>
              <w:spacing w:after="0"/>
              <w:rPr>
                <w:sz w:val="20"/>
                <w:szCs w:val="20"/>
                <w:color w:val="auto"/>
              </w:rPr>
            </w:pPr>
            <w:r>
              <w:rPr>
                <w:rFonts w:ascii="Arial" w:cs="Arial" w:eastAsia="Arial" w:hAnsi="Arial"/>
                <w:sz w:val="18"/>
                <w:szCs w:val="18"/>
                <w:b w:val="1"/>
                <w:bCs w:val="1"/>
                <w:color w:val="auto"/>
                <w:w w:val="90"/>
              </w:rPr>
              <w:t>Three Months Ended September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1"/>
                <w:szCs w:val="21"/>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Natural gas sales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Oil sales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253.8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656.3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156.6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538.5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1,575.2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1,106.3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159.8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w w:val="96"/>
              </w:rPr>
              <w:t>Natural gas, oil and NGL transportation and other</w:t>
            </w:r>
          </w:p>
        </w:tc>
        <w:tc>
          <w:tcPr>
            <w:tcW w:w="260" w:type="dxa"/>
            <w:vAlign w:val="bottom"/>
          </w:tcPr>
          <w:p>
            <w:pPr>
              <w:spacing w:after="0"/>
              <w:rPr>
                <w:sz w:val="19"/>
                <w:szCs w:val="19"/>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handling costs</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Exploration expenses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463.3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1,409.3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6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88.0</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146.6</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279.3</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gains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6"/>
              </w:rPr>
              <w:t>Unrealized (losses) gains on derivative instruments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193.0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 Attributable to QEP</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25.2</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70.1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equivalent field-level price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0.47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equivalent price</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0"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volume and price related changes for each of QEP Energy’s major revenue categories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compared to the three and nine months ended September 30,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Natural 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2012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Three months ended September 30, 2013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253.8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496.3</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2012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 2013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610.5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656.3</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1,411.2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0" w:hanging="314"/>
        <w:spacing w:after="0" w:line="223"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three and nine months ended September 30, 2013, as compared to the three and nine months ended September 30, 2012, by the average field-level price for the three and nine months ended September 30, 2012.</w:t>
      </w:r>
    </w:p>
    <w:p>
      <w:pPr>
        <w:ind w:left="660" w:right="120" w:hanging="314"/>
        <w:spacing w:after="0" w:line="221"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average field-level prices from the three and nine months ended September 30, 2013, as compared to the three and nine months ended September 30, 2012, by volumes for the three and nine months ended September 30,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Natural Gas Volumes and Prices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8"/>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4"/>
                <w:szCs w:val="24"/>
                <w:color w:val="auto"/>
              </w:rPr>
            </w:pPr>
          </w:p>
        </w:tc>
        <w:tc>
          <w:tcPr>
            <w:tcW w:w="298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34"/>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Natural gas production volumes (Bcf)</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4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22.0</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61.1</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48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Natural gas prices (per Mcf)</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0.77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Natural gas revenues increased $24.5 million, or 14%, in the third quarter of 2013 when compared to the third quarter of 2012 due to higher field-level prices partially offset by lower volumes. The decrease in production volumes was driven by the suspension of QEP's Haynesville/Cotton Valley operated drilling program partially offset by increased production in QEP's</w:t>
      </w:r>
    </w:p>
    <w:p>
      <w:pPr>
        <w:sectPr>
          <w:pgSz w:w="11900" w:h="16838" w:orient="portrait"/>
          <w:cols w:equalWidth="0" w:num="1">
            <w:col w:w="11420"/>
          </w:cols>
          <w:pgMar w:left="240" w:top="79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796" w:right="239" w:bottom="1440" w:gutter="0" w:footer="0" w:header="0"/>
          <w:type w:val="continuous"/>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Pinedale, Midcontinent, Uinta Basin and Williston Basin properties. Natural gas field-level prices increased 33% during the third quarter of 2013 as a result of increased near-term demand.</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Natural gas revenues increased $140.1 million, or 30%, during the first three quarters of 2013 when compared to the first three quarters of 2012 due to higher field-level prices partially offset by lower volumes. The decrease in production volumes was driven by the suspension of QEP's Haynesville/Cotton Valley operated drilling program partially offset by increased production from its drilling programs in Pinedale, the Midcontinent, Uinta Basin and Williston Basin. Natural gas field-level prices increased 43% during the first three quarters of 2013 as a result of increased near-term demand.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8"/>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4"/>
                <w:szCs w:val="24"/>
                <w:color w:val="auto"/>
              </w:rPr>
            </w:pPr>
          </w:p>
        </w:tc>
        <w:tc>
          <w:tcPr>
            <w:tcW w:w="298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34"/>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Crude oil production volumes (Mbbl)</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4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180.7</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187.4</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490.6</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493.5</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717.3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48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339.2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1,007.5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7,168.8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3,195.7</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Crude oil prices (per bbl)</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102.06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92.80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Oil revenues increased $136.1 million, or 116%, in the third quarter of 2013 when compared to the third quarter of 2012 due to higher volumes and higher average prices. The increase in production volumes was primarily driven by increases in the Williston Basin due to the properties acquired in the 2012 Acquisition, which contributed 773.4 Mbbls during the third quarter of 2013, and an additional 449.8 Mbbls increase in Williston Basin production related to increased development drilling on QEP's existing pre-acquisition acreage throughout 2013. Field-level oil prices increased 18% in the third quarter of 2013, primarily due to higher average West Texas Intermediate (WTI) and Brent spot crude oil prices in the third quarter of 2013 compared to 2012 and higher pricing in the Williston Basin due to an improvement in price differentials and the sale of crude oil referenced against Brent prices, which were higher than WTI prices in the third quarter of both 2013 and 2012.</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Oil revenues increased $320.6 million, or 96%, in the first three quarters of 2013 when compared to the first three quarters of 2012 due to higher volumes and higher average prices. The increase in production volumes was primarily driven by increases in the Williston Basin due to the properties acquired in the 2012 Acquisition, which contributed 1,911.9 Mbbls during the first three quarters of 2013, and an additional 1,145.7 Mbbls increase in Williston Basin's production related to increased development drilling on QEP's existing pre-acquisition acreage throughout 2013. Additionally, Uinta Basin and Midcontinent oil volumes increased during the first three quarters of 2013 due to new well completions throughout the first nine months of 2013. Field-level oil prices increased 8% in the first three quarters of 2013 due to improved pricing for Williston Basin crude volumes despite a decrease in Brent crude oil prices and only a slight increase in WTI crude prices.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8"/>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4"/>
                <w:szCs w:val="24"/>
                <w:color w:val="auto"/>
              </w:rPr>
            </w:pPr>
          </w:p>
        </w:tc>
        <w:tc>
          <w:tcPr>
            <w:tcW w:w="3080" w:type="dxa"/>
            <w:vAlign w:val="bottom"/>
            <w:gridSpan w:val="7"/>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34"/>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3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355.8</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861.3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1,005.4</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2,327.2</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(1,321.8)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111.0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603.8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1,710.4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1,210.9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29.18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NGL revenues increased $9.1 million, or 24%, during the third quarter of 2013 when compared to the third quarter of 2012 due to an increased average price per barrel partially offset by decreased production volumes. NGL prices increased 49% during the third quarter of 2013 primarily as a result of not recovering ethane from the wet gas production stream. When ethane is sold as part of the natural gas stream instead of being recovered as an NGL, the average NGL barrel sales price increases as the price of the remaining NGL components are higher than the ethane price. Pinedale NGL volumes decreased due to our processing plants running in ethane rejection mode. The decrease in Pinedale was partially offset by increases in the Midcontinent and Williston Basin. The Midcontinent increase was driven by new well completions in the Woodford "Cana" shale and Granite Wash areas while Williston Basin NGL volumes grew as a result of the 2012 Acquisition, which contributed 57.8 Mbbls in the third quarter of 2013.</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first three quarters of 2013, NGL revenues increased $10.1 million, or 8%, when compared to the first three quarters of 2012 due to an increased price per barrel partially offset by decreased production volumes. NGL field-level prices increased 24% as a result of the rejection of lower value ethane. Production volumes decreased in Pinedale due to ethane rejection. The decrease in Pinedale was partially offset by increases in the Midcontinent, Williston Basin and Uinta Basin. The Midcontinent increase was driven by additional Woodford "Cana" shale wells, while the Williston Basin's NGL volume growth was primarily the result of the 2012 Acquisition, which contributed 219.9 Mbbls to the first three quarters of 2013. In addition, the Uinta Basin NGL volumes increased despite processing plants running in ethane rejection mode due to QEP Energy executing a fee-based processing agreement in mid-2012 with QEP Field Services for a portion of the natural gas production from the Red Wash Unit.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QEP Energy purchases and resells gas, oil and NGL products in order to fulfill firm transportation contract commitments and mitigate potential losses. The difference between the price of the products purchased and sold creates a resale margin that represents a gain or loss for the Company. The following table is a summary of QEP Energy's financial results from its gas, oil and NGL resale activities:</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275"/>
        </w:trPr>
        <w:tc>
          <w:tcPr>
            <w:tcW w:w="29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w w:val="90"/>
              </w:rPr>
              <w:t>Three Months Ended September 30,</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71"/>
        </w:trPr>
        <w:tc>
          <w:tcPr>
            <w:tcW w:w="29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2012</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Change</w:t>
            </w: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5"/>
              </w:rPr>
              <w:t>Change</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Resale Margin</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5"/>
          </w:tcPr>
          <w:p>
            <w:pPr>
              <w:ind w:left="36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gas, oil and NGL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w w:val="97"/>
              </w:rPr>
              <w:t>Purchased gas, oil and NGL expense</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Resale margin gain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During the third quarter of 2013, QEP Energy recorded a gain on resale margin of $0.1 million and during the first three quarters of 2013, QEP Energy recorded a loss on resale margin of $3.2 million as a result of its activities to utilize pipeline transportation commitments in Louisiana. The Company has transportation commitments in excess of its current production as a result of the suspension of its Haynesville drilling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Drilling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nine months ended September 30,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300"/>
              <w:spacing w:after="0"/>
              <w:rPr>
                <w:sz w:val="20"/>
                <w:szCs w:val="20"/>
                <w:color w:val="auto"/>
              </w:rPr>
            </w:pPr>
            <w:r>
              <w:rPr>
                <w:rFonts w:ascii="Arial" w:cs="Arial" w:eastAsia="Arial" w:hAnsi="Arial"/>
                <w:sz w:val="18"/>
                <w:szCs w:val="18"/>
                <w:color w:val="auto"/>
              </w:rPr>
              <w:t>Operated Completions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Nine Months Ended</w:t>
            </w:r>
          </w:p>
        </w:tc>
        <w:tc>
          <w:tcPr>
            <w:tcW w:w="2240" w:type="dxa"/>
            <w:vAlign w:val="bottom"/>
            <w:gridSpan w:val="4"/>
          </w:tcPr>
          <w:p>
            <w:pPr>
              <w:ind w:left="320"/>
              <w:spacing w:after="0"/>
              <w:rPr>
                <w:sz w:val="20"/>
                <w:szCs w:val="20"/>
                <w:color w:val="auto"/>
              </w:rPr>
            </w:pPr>
            <w:r>
              <w:rPr>
                <w:rFonts w:ascii="Arial" w:cs="Arial" w:eastAsia="Arial" w:hAnsi="Arial"/>
                <w:sz w:val="18"/>
                <w:szCs w:val="18"/>
                <w:color w:val="auto"/>
              </w:rPr>
              <w:t>Three Months Ended</w:t>
            </w:r>
          </w:p>
        </w:tc>
        <w:tc>
          <w:tcPr>
            <w:tcW w:w="2140" w:type="dxa"/>
            <w:vAlign w:val="bottom"/>
            <w:gridSpan w:val="3"/>
          </w:tcPr>
          <w:p>
            <w:pPr>
              <w:jc w:val="right"/>
              <w:ind w:right="230"/>
              <w:spacing w:after="0"/>
              <w:rPr>
                <w:sz w:val="20"/>
                <w:szCs w:val="20"/>
                <w:color w:val="auto"/>
              </w:rPr>
            </w:pPr>
            <w:r>
              <w:rPr>
                <w:rFonts w:ascii="Arial" w:cs="Arial" w:eastAsia="Arial" w:hAnsi="Arial"/>
                <w:sz w:val="18"/>
                <w:szCs w:val="18"/>
                <w:color w:val="auto"/>
              </w:rPr>
              <w:t>Nine Months Ended</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8"/>
              </w:rPr>
              <w:t>September 30, 2013</w:t>
            </w: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September 30, 2013</w:t>
            </w:r>
          </w:p>
        </w:tc>
        <w:tc>
          <w:tcPr>
            <w:tcW w:w="2240" w:type="dxa"/>
            <w:vAlign w:val="bottom"/>
            <w:gridSpan w:val="4"/>
          </w:tcPr>
          <w:p>
            <w:pPr>
              <w:ind w:left="360"/>
              <w:spacing w:after="0"/>
              <w:rPr>
                <w:sz w:val="20"/>
                <w:szCs w:val="20"/>
                <w:color w:val="auto"/>
              </w:rPr>
            </w:pPr>
            <w:r>
              <w:rPr>
                <w:rFonts w:ascii="Arial" w:cs="Arial" w:eastAsia="Arial" w:hAnsi="Arial"/>
                <w:sz w:val="18"/>
                <w:szCs w:val="18"/>
                <w:color w:val="auto"/>
              </w:rPr>
              <w:t>September 30, 2013</w:t>
            </w:r>
          </w:p>
        </w:tc>
        <w:tc>
          <w:tcPr>
            <w:tcW w:w="21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30, 2013</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180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9"/>
              </w:rPr>
              <w:t>22</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Midcontinent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being drilled or waiting on completion at September 30,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60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0" w:type="dxa"/>
            <w:vAlign w:val="bottom"/>
            <w:gridSpan w:val="6"/>
          </w:tcPr>
          <w:p>
            <w:pPr>
              <w:ind w:left="640"/>
              <w:spacing w:after="0"/>
              <w:rPr>
                <w:sz w:val="20"/>
                <w:szCs w:val="20"/>
                <w:color w:val="auto"/>
              </w:rPr>
            </w:pPr>
            <w:r>
              <w:rPr>
                <w:rFonts w:ascii="Arial" w:cs="Arial" w:eastAsia="Arial" w:hAnsi="Arial"/>
                <w:sz w:val="18"/>
                <w:szCs w:val="18"/>
                <w:color w:val="auto"/>
              </w:rPr>
              <w:t>Being drilled</w:t>
            </w: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2240" w:type="dxa"/>
            <w:vAlign w:val="bottom"/>
            <w:gridSpan w:val="4"/>
          </w:tcPr>
          <w:p>
            <w:pPr>
              <w:ind w:left="620"/>
              <w:spacing w:after="0"/>
              <w:rPr>
                <w:sz w:val="20"/>
                <w:szCs w:val="20"/>
                <w:color w:val="auto"/>
              </w:rPr>
            </w:pPr>
            <w:r>
              <w:rPr>
                <w:rFonts w:ascii="Arial" w:cs="Arial" w:eastAsia="Arial" w:hAnsi="Arial"/>
                <w:sz w:val="18"/>
                <w:szCs w:val="18"/>
                <w:color w:val="auto"/>
              </w:rPr>
              <w:t>Being drilled</w:t>
            </w: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Waiting on completion</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ind w:left="3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Pinedale</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Williston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1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Uinta Basin</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Legacy</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31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Haynesville/Cotton Valley</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Midcontinent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459"/>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___________________________</w:t>
      </w:r>
    </w:p>
    <w:p>
      <w:pPr>
        <w:spacing w:after="0" w:line="23" w:lineRule="exact"/>
        <w:rPr>
          <w:sz w:val="20"/>
          <w:szCs w:val="20"/>
          <w:color w:val="auto"/>
        </w:rPr>
      </w:pPr>
    </w:p>
    <w:p>
      <w:pPr>
        <w:ind w:right="260" w:firstLine="8"/>
        <w:spacing w:after="0" w:line="239" w:lineRule="auto"/>
        <w:tabs>
          <w:tab w:leader="none" w:pos="192"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non-operated well total for the Uinta Basin does not include wells that are being drilled by an outside operator in the Monument Butte unit in which QEP owns a very small working interest.</w:t>
      </w:r>
    </w:p>
    <w:p>
      <w:pPr>
        <w:spacing w:after="0" w:line="20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utilizes multi-well pad drilling where practical. Wells drilled are not brought into production until all wells on the pad are drilled and completed and the drilling rig is moved from the location. As a result, QEP had 48 gross operated wells waiting on completion as of September 30,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QEP Energy operating expenses on a per unit of production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80" w:type="dxa"/>
            <w:vAlign w:val="bottom"/>
            <w:gridSpan w:val="7"/>
          </w:tcPr>
          <w:p>
            <w:pPr>
              <w:ind w:left="40"/>
              <w:spacing w:after="0"/>
              <w:rPr>
                <w:sz w:val="20"/>
                <w:szCs w:val="20"/>
                <w:color w:val="auto"/>
              </w:rPr>
            </w:pPr>
            <w:r>
              <w:rPr>
                <w:rFonts w:ascii="Arial" w:cs="Arial" w:eastAsia="Arial" w:hAnsi="Arial"/>
                <w:sz w:val="18"/>
                <w:szCs w:val="18"/>
                <w:b w:val="1"/>
                <w:bCs w:val="1"/>
                <w:color w:val="auto"/>
                <w:w w:val="92"/>
              </w:rPr>
              <w:t>Three Months Ended September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3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(per Mcfe)</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oil and NGL transportation and other</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handling costs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taxes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Depreciation, depletion and amortization. </w:t>
      </w:r>
      <w:r>
        <w:rPr>
          <w:rFonts w:ascii="Arial" w:cs="Arial" w:eastAsia="Arial" w:hAnsi="Arial"/>
          <w:sz w:val="16"/>
          <w:szCs w:val="16"/>
          <w:color w:val="auto"/>
        </w:rPr>
        <w:t>DD&amp;A expense increased $17.5 million, or $0.34 per Mcfe, in the third quarter of 2013 compared to the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2012 due to increases in the Williston Basin and Haynesville/Cotton Valley partially offset by a decrease in the Uinta Basin. The increase in the Williston Basin rate is due to the additional proved costs recorded as part of the 2012 Acquisition while the increase in the Haynesville/Cotton Valley rate was due to a year-end 2012 negative revision of proved undeveloped reserves associated with lower prices. These increases were partially offset by a decrease in the Uinta Basin rate due to a 2012 proved property impairment and the addition of proved undeveloped reserves recorded at year-end 2012.</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During the first three quarters of 2013, DD&amp;A expense increased $111.9 million, or $0.49 per Mcfe, due to increases in the Williston Basin and Haynesville/Cotton Valley partially offset by a decrease in the Uinta Basin. The increase in the Williston Basin rate is due to the additional proved costs recorded as part of the 2012 Acquisition while the increase in the Haynesville/Cotton Valley rate was due to a year-end 2012 negative revision of proved undeveloped reserves as a result of lower natural gas prices. These increases were partially offset by a decrease in the Uinta Basin rate due to a 2012 proved property impairment and the addition of proved undeveloped reserves recorded at year-end 2012.</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expenses (LOE) for QEP Energy by region on a unit of production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9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1020" w:type="dxa"/>
            <w:vAlign w:val="bottom"/>
          </w:tcPr>
          <w:p>
            <w:pPr>
              <w:spacing w:after="0"/>
              <w:rPr>
                <w:sz w:val="20"/>
                <w:szCs w:val="20"/>
                <w:color w:val="auto"/>
              </w:rPr>
            </w:pPr>
          </w:p>
        </w:tc>
      </w:tr>
      <w:tr>
        <w:trPr>
          <w:trHeight w:val="34"/>
        </w:trPr>
        <w:tc>
          <w:tcPr>
            <w:tcW w:w="3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3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right"/>
              <w:ind w:right="350"/>
              <w:spacing w:after="0"/>
              <w:rPr>
                <w:sz w:val="20"/>
                <w:szCs w:val="20"/>
                <w:color w:val="auto"/>
              </w:rPr>
            </w:pPr>
            <w:r>
              <w:rPr>
                <w:rFonts w:ascii="Arial" w:cs="Arial" w:eastAsia="Arial" w:hAnsi="Arial"/>
                <w:sz w:val="18"/>
                <w:szCs w:val="18"/>
                <w:color w:val="auto"/>
              </w:rPr>
              <w:t>(per Mcfe)</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0.51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0.59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8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0.62</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0.51</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lease operating expense</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0.56</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0.56</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QEP Energy’s LOE increased $0.4 million, or $0.03 per Mcfe, during the third quarter of 2013 compared to the third quarter of 2012. The Southern Region's LOE per Mcfe increase during the third quarter of 2013 was driven by a per Mcfe increase in its Haynesville/Cotton Valley properties due to declining production volume but relatively flat labor and pumper costs, fixed operating expenses due to the slight increase in total well count and increased repairs and maintenance costs. The Northern Region decrease was driven primarily by a per Mcfe decrease in the Williston due to cost efficiencies in the current year attributable to the 2012 Acquisition.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2" w:name="page43"/>
    <w:bookmarkEnd w:id="42"/>
    <w:p>
      <w:pPr>
        <w:ind w:right="20"/>
        <w:spacing w:after="0" w:line="255" w:lineRule="auto"/>
        <w:rPr>
          <w:sz w:val="20"/>
          <w:szCs w:val="20"/>
          <w:color w:val="auto"/>
        </w:rPr>
      </w:pPr>
      <w:r>
        <w:rPr>
          <w:rFonts w:ascii="Arial" w:cs="Arial" w:eastAsia="Arial" w:hAnsi="Arial"/>
          <w:sz w:val="18"/>
          <w:szCs w:val="18"/>
          <w:color w:val="auto"/>
        </w:rPr>
        <w:t>QEP Energy’s LOE increased $4.9 million, or $0.03 per Mcfe, during the first three quarters of 2013 compared to the first three quarters of 2012. The Northern Region's LOE per Mcfe was flat period to period due to a decrease per Mcfe in its Williston Basin properties that was offset by an increase per Mcfe in its Pinedale properties. The decrease in LOE per Mcfe in the Williston Basin was primarily due to cost efficiencies in the current year attributable to the 2012 Acquisition. The increase in LOE per Mcfe in Pinedale was primarily the result of increased workover expense in the first three quarters of 2013. The Southern Region's LOE per Mcfe increase in the first three quarters of 2013 was primarily driven by a 21% per Mcfe increase in its Haynesville properties due to declining production volumes with relatively flat LOE which was partially offset by a per Mcfe decrease at its Woodford properties due to additional cost savings measures in 2013.</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Natural gas, oil and NGL transportation and other handling costs. </w:t>
      </w:r>
      <w:r>
        <w:rPr>
          <w:rFonts w:ascii="Arial" w:cs="Arial" w:eastAsia="Arial" w:hAnsi="Arial"/>
          <w:sz w:val="18"/>
          <w:szCs w:val="18"/>
          <w:color w:val="auto"/>
        </w:rPr>
        <w:t>Natural gas, oil and NGL transportation and other handling costs increased $5.3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$0.11 per Mcfe, in the third quarter of 2013 when compared to the third quarter of 2012, due to cost increases in the Midcontinent and declining production volumes in the Haynesville/Cotton Valley area.</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Natural gas, oil and NGL transportation and other handling costs increased $13.4 million, or $0.06 per Mcfe, in the first three quarters of 2013 when compared to the first three quarters of 2012 due to cost increases in the Williston Basin, Haynesville/Cotton Valley field and the Midcontinent. Transportation and other handling costs per Mcfe in the Williston Basin increased 45% due to increased gathering costs associated with the acquired properties from the 2012 Acquisition. Haynesville/Cotton Valley transportation and other handling costs per Mcfe increased 29% due to firm transportation commitments and declining production volumes.</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Production and property taxes. </w:t>
      </w:r>
      <w:r>
        <w:rPr>
          <w:rFonts w:ascii="Arial" w:cs="Arial" w:eastAsia="Arial" w:hAnsi="Arial"/>
          <w:sz w:val="16"/>
          <w:szCs w:val="16"/>
          <w:color w:val="auto"/>
        </w:rPr>
        <w:t>In most states in which QEP Energy operates, QEP pays production taxes based on a percentage of field-level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in Louisiana, where severance taxes are volume-based. Production taxes increased $17.9 million, or $0.24 per Mcfe, during the third quarter of 2013 as a result of increased natural gas, oil and NGL revenues due to higher field-level natural gas, oil and NGL prices and higher oil production.</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Production taxes increased $49.1 million, or $0.21 per Mcfe, during the first three quarters of 2013 when compared to the first three quarters of 2012 as a result of increased revenues due to higher field-level natural gas, oil and NGL prices and higher oil production volumes somewhat offset by lower natural gas production volumes.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expenses decreased $0.4 million during the third quarter of 2013 when compared with the third quarter of 2012.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primarily related to decreases in exploration-related labor.</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the first three quarters of 2013, exploration expenses increased $3.2 million compared to the first three quarters of 2012. The 2013 increase primarily related to an increase in seismic and geographical studies of $3.0 million and an increase in exploration consulting services expense.</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Impairment expense. </w:t>
      </w:r>
      <w:r>
        <w:rPr>
          <w:rFonts w:ascii="Arial" w:cs="Arial" w:eastAsia="Arial" w:hAnsi="Arial"/>
          <w:sz w:val="17"/>
          <w:szCs w:val="17"/>
          <w:color w:val="auto"/>
        </w:rPr>
        <w:t>During the third quarter and first three quarters of 2013, impairment expense was $3.8 million and $4.0 million, respectively, due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write-off of expiring unproved leaseholds. Impairment expenses of $9.0 million and $70.9 million were recorded during the third quarter and first three quarters of 2012 on certain proved and unproved properties due to lower natural gas prices and leasehold expirations.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QEP FIELD SERVICES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10"/>
          </w:tcPr>
          <w:p>
            <w:pPr>
              <w:spacing w:after="0"/>
              <w:rPr>
                <w:sz w:val="20"/>
                <w:szCs w:val="20"/>
                <w:color w:val="auto"/>
              </w:rPr>
            </w:pPr>
            <w:r>
              <w:rPr>
                <w:rFonts w:ascii="Arial" w:cs="Arial" w:eastAsia="Arial" w:hAnsi="Arial"/>
                <w:sz w:val="18"/>
                <w:szCs w:val="18"/>
                <w:color w:val="auto"/>
              </w:rPr>
              <w:t>The following table provides a summary of QEP Field Services’ financial and operating results: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4"/>
                <w:szCs w:val="24"/>
                <w:color w:val="auto"/>
              </w:rPr>
            </w:pPr>
          </w:p>
        </w:tc>
        <w:tc>
          <w:tcPr>
            <w:tcW w:w="32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1"/>
                <w:szCs w:val="21"/>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Processing (fee based)</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processing fees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Gathering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gathering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4"/>
        </w:trPr>
        <w:tc>
          <w:tcPr>
            <w:tcW w:w="3900" w:type="dxa"/>
            <w:vAlign w:val="bottom"/>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39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295.0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Processing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Processing plant fuel and shrinkage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Gathering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Natural gas, oil and NGL transportation and other</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handling costs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84"/>
        </w:trPr>
        <w:tc>
          <w:tcPr>
            <w:tcW w:w="390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2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4"/>
        </w:trPr>
        <w:tc>
          <w:tcPr>
            <w:tcW w:w="39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gains on derivative instruments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Unrealized (losses) gains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Net income attributable to noncontrolling interest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QEP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040" w:type="dxa"/>
            <w:vAlign w:val="bottom"/>
            <w:gridSpan w:val="13"/>
          </w:tcPr>
          <w:p>
            <w:pPr>
              <w:spacing w:after="0"/>
              <w:rPr>
                <w:sz w:val="20"/>
                <w:szCs w:val="20"/>
                <w:color w:val="auto"/>
              </w:rPr>
            </w:pPr>
            <w:r>
              <w:rPr>
                <w:rFonts w:ascii="Arial" w:cs="Arial" w:eastAsia="Arial" w:hAnsi="Arial"/>
                <w:sz w:val="18"/>
                <w:szCs w:val="18"/>
                <w:color w:val="auto"/>
                <w:w w:val="95"/>
              </w:rPr>
              <w:t>The following tables present a summary of QEP Field Services’ financial and operating results from gathering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4"/>
                <w:szCs w:val="24"/>
                <w:color w:val="auto"/>
              </w:rPr>
            </w:pPr>
          </w:p>
        </w:tc>
        <w:tc>
          <w:tcPr>
            <w:tcW w:w="32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34"/>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1"/>
                <w:szCs w:val="21"/>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34"/>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Gathering Margin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gathering revenues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expense</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900" w:type="dxa"/>
            <w:vAlign w:val="bottom"/>
          </w:tcPr>
          <w:p>
            <w:pPr>
              <w:ind w:left="180"/>
              <w:spacing w:after="0"/>
              <w:rPr>
                <w:sz w:val="20"/>
                <w:szCs w:val="20"/>
                <w:color w:val="auto"/>
              </w:rPr>
            </w:pPr>
            <w:r>
              <w:rPr>
                <w:rFonts w:ascii="Arial" w:cs="Arial" w:eastAsia="Arial" w:hAnsi="Arial"/>
                <w:sz w:val="18"/>
                <w:szCs w:val="18"/>
                <w:color w:val="auto"/>
              </w:rPr>
              <w:t>Gathering margin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Natural gas gathering volumes (in millions of MMBtu)</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 unaffiliated customers</w:t>
            </w: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 affiliated customers</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172.7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Gas Gathering Volumes</w:t>
            </w:r>
          </w:p>
        </w:tc>
        <w:tc>
          <w:tcPr>
            <w:tcW w:w="3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Average gas gathering revenue (per MMBtu)</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0.35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0.34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During the third quarter of 2013, gathering margin declined 13% when compared to the third quarter of 2012 due to a 13% decrease in gathering system throughput and increased gathering expense. Gathering system throughput volumes decreased primarily as a result of a 46% decline at QEP Field Services' Northwest Louisiana Hub primarily due to lower QEP Energy production resulting from the suspension of drilling in Haynesville starting in mid-2012. The increase in gathering expense was primarily the results of increased labor and benefits costs due to additional compensation costs from QEP's annual incentive program allocated to QEP Field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quarters of 2013, gathering margin declined 13% when compared to the first three quarters of 2012</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a 13% decrease in gathering system throughput volumes and increased gathering expense. Gathering system throughput volumes decreased due to the 42% decline at QEP Field Services' Northwest Louisiana Hub from decreased production in the Haynesville shale play. The increase in gathering expense was primarily the result of increased labor and benefits costs due to additional compensation costs from QEP's annual incentive program allocated to QEP Field Services.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13"/>
          </w:tcPr>
          <w:p>
            <w:pPr>
              <w:spacing w:after="0"/>
              <w:rPr>
                <w:sz w:val="20"/>
                <w:szCs w:val="20"/>
                <w:color w:val="auto"/>
              </w:rPr>
            </w:pPr>
            <w:r>
              <w:rPr>
                <w:rFonts w:ascii="Arial" w:cs="Arial" w:eastAsia="Arial" w:hAnsi="Arial"/>
                <w:sz w:val="18"/>
                <w:szCs w:val="18"/>
                <w:color w:val="auto"/>
              </w:rPr>
              <w:t>The following tables present a summary of QEP Field Services’ gas processing financial and operating results: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20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4"/>
                <w:szCs w:val="24"/>
                <w:color w:val="auto"/>
              </w:rPr>
            </w:pPr>
          </w:p>
        </w:tc>
        <w:tc>
          <w:tcPr>
            <w:tcW w:w="3600" w:type="dxa"/>
            <w:vAlign w:val="bottom"/>
            <w:gridSpan w:val="7"/>
          </w:tcPr>
          <w:p>
            <w:pPr>
              <w:jc w:val="right"/>
              <w:ind w:right="47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34"/>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Processing Margin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ind w:left="620"/>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Realized gains from commodity derivative contract</w:t>
            </w:r>
          </w:p>
        </w:tc>
        <w:tc>
          <w:tcPr>
            <w:tcW w:w="260" w:type="dxa"/>
            <w:vAlign w:val="bottom"/>
          </w:tcPr>
          <w:p>
            <w:pPr>
              <w:spacing w:after="0"/>
              <w:rPr>
                <w:sz w:val="19"/>
                <w:szCs w:val="19"/>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(fee-based) revenues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processing fees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Processing plant fuel and shrink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Natural gas, oil and NGL transportation and other</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handling costs</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Processing margin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Keep-whole processing margin</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Statistics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Natural gas processing volumes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 (Mbbl)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0" w:type="dxa"/>
            <w:vAlign w:val="bottom"/>
          </w:tcPr>
          <w:p>
            <w:pPr>
              <w:spacing w:after="0"/>
              <w:rPr>
                <w:sz w:val="1"/>
                <w:szCs w:val="1"/>
                <w:color w:val="auto"/>
              </w:rPr>
            </w:pPr>
          </w:p>
        </w:tc>
      </w:tr>
      <w:tr>
        <w:trPr>
          <w:trHeight w:val="299"/>
        </w:trPr>
        <w:tc>
          <w:tcPr>
            <w:tcW w:w="3780" w:type="dxa"/>
            <w:vAlign w:val="bottom"/>
          </w:tcPr>
          <w:p>
            <w:pPr>
              <w:ind w:left="40"/>
              <w:spacing w:after="0"/>
              <w:rPr>
                <w:sz w:val="20"/>
                <w:szCs w:val="20"/>
                <w:color w:val="auto"/>
              </w:rPr>
            </w:pPr>
            <w:r>
              <w:rPr>
                <w:rFonts w:ascii="Arial" w:cs="Arial" w:eastAsia="Arial" w:hAnsi="Arial"/>
                <w:sz w:val="18"/>
                <w:szCs w:val="18"/>
                <w:color w:val="auto"/>
                <w:w w:val="95"/>
              </w:rPr>
              <w:t>Average net realized NGL sales price (per bbl)</w:t>
            </w:r>
            <w:r>
              <w:rPr>
                <w:rFonts w:ascii="Arial" w:cs="Arial" w:eastAsia="Arial" w:hAnsi="Arial"/>
                <w:sz w:val="25"/>
                <w:szCs w:val="25"/>
                <w:color w:val="auto"/>
                <w:w w:val="95"/>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48.86</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46.09</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Fee-based processing volumes (in millions of MMBtu)</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ind w:left="180"/>
              <w:spacing w:after="0"/>
              <w:rPr>
                <w:sz w:val="20"/>
                <w:szCs w:val="20"/>
                <w:color w:val="auto"/>
              </w:rPr>
            </w:pPr>
            <w:r>
              <w:rPr>
                <w:rFonts w:ascii="Arial" w:cs="Arial" w:eastAsia="Arial" w:hAnsi="Arial"/>
                <w:sz w:val="18"/>
                <w:szCs w:val="18"/>
                <w:color w:val="auto"/>
              </w:rPr>
              <w:t>For unaffiliated customers</w:t>
            </w:r>
          </w:p>
        </w:tc>
        <w:tc>
          <w:tcPr>
            <w:tcW w:w="4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75.4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affiliated customers</w:t>
            </w:r>
          </w:p>
        </w:tc>
        <w:tc>
          <w:tcPr>
            <w:tcW w:w="4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41.7</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fee-based processing volumes</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68.3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Average fee-based processing revenue (per</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0.30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MMBtu)</w:t>
            </w:r>
          </w:p>
        </w:tc>
        <w:tc>
          <w:tcPr>
            <w:tcW w:w="42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2"/>
        </w:trPr>
        <w:tc>
          <w:tcPr>
            <w:tcW w:w="3780" w:type="dxa"/>
            <w:vAlign w:val="bottom"/>
          </w:tcPr>
          <w:p>
            <w:pPr>
              <w:ind w:left="100"/>
              <w:spacing w:after="0"/>
              <w:rPr>
                <w:sz w:val="20"/>
                <w:szCs w:val="20"/>
                <w:color w:val="auto"/>
              </w:rPr>
            </w:pPr>
            <w:r>
              <w:rPr>
                <w:rFonts w:ascii="Arial" w:cs="Arial" w:eastAsia="Arial" w:hAnsi="Arial"/>
                <w:sz w:val="18"/>
                <w:szCs w:val="18"/>
                <w:b w:val="1"/>
                <w:bCs w:val="1"/>
                <w:color w:val="auto"/>
              </w:rPr>
              <w:t>____________________________</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260" w:hanging="314"/>
        <w:spacing w:after="0" w:line="211"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Keep-whole processing margin is calculated as NGL sales less processing plant fuel and shrink, natural gas, oil and NGL transportation and other handling costs.</w:t>
      </w:r>
    </w:p>
    <w:p>
      <w:pPr>
        <w:spacing w:after="0" w:line="1" w:lineRule="exact"/>
        <w:rPr>
          <w:rFonts w:ascii="Arial" w:cs="Arial" w:eastAsia="Arial" w:hAnsi="Arial"/>
          <w:sz w:val="25"/>
          <w:szCs w:val="25"/>
          <w:color w:val="auto"/>
          <w:vertAlign w:val="superscript"/>
        </w:rPr>
      </w:pPr>
    </w:p>
    <w:p>
      <w:pPr>
        <w:ind w:left="660" w:hanging="314"/>
        <w:spacing w:after="0" w:line="209"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Average net realized NGL sales price per gallon is calculated as NGL sales including realized gains from commodity derivative contracts settlements divided by NGL sales volumes.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a significant portion of QEP Field Services' gas processing services is performed for a volumetric-based fee, QEP Field Services also provides “keep-whole” processing services for certain customers. Under a keep-whole processing contract, QEP Field Services retains and sells NGL extracted at its processing plants and keeps the customer “whole” by delivering a Btu-equivalent amount of natural gas to the customer. Keep-whole processing exposes the Company to the “frac” spread. The frac spread is the difference between the market value of NGL extracted at the processing plant and the market value of an energy-equivalent volume of natural gas.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Field Services' keep-whole processing margin decreased 18% during the third quarter of 2013 compared to the third quarter of 2012 due to a 42% decrease in NGL sales volumes. The decrease in NGL sales volumes is the result of processing plants running in ethane rejection mode in 2013 due to negative ethane processing margins. Partially offsetting this decline was an increase in the average net realized NGL sales price. Including the impact of gains on derivative contract settlements, average NGL realized prices increased 32% in the third quarter of 2013, primarily the result of rejection of ethane, which is normally the lower-value component of the composite NGL barrel. In addition, keep-whole margin was positively impacted in the third quarter of 2013 by decreased natural gas, oil, and NGL transportation and fractionation costs. Transportation costs were lower in the third quarter of 2013 due to the reduction in ethane volumes.</w:t>
      </w:r>
    </w:p>
    <w:p>
      <w:pPr>
        <w:spacing w:after="0" w:line="18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Fee-based processing revenues increased during the third quarter of 2013 compared to the third quarter of 2012 due to a 7% increase in average fee-based processing rate and a 5% increase in fee-based processing volumes. During the third quarter of 2013, the increase in fee-based processing volumes was the result of additional gas processed at the Blacks Fork and Iron Horse</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4" w:right="239" w:bottom="1440" w:gutter="0" w:footer="0" w:header="0"/>
          <w:type w:val="continuous"/>
        </w:sectPr>
      </w:pPr>
    </w:p>
    <w:bookmarkStart w:id="46" w:name="page47"/>
    <w:bookmarkEnd w:id="46"/>
    <w:p>
      <w:pPr>
        <w:ind w:right="200"/>
        <w:spacing w:after="0" w:line="277" w:lineRule="auto"/>
        <w:rPr>
          <w:sz w:val="20"/>
          <w:szCs w:val="20"/>
          <w:color w:val="auto"/>
        </w:rPr>
      </w:pPr>
      <w:r>
        <w:rPr>
          <w:rFonts w:ascii="Arial" w:cs="Arial" w:eastAsia="Arial" w:hAnsi="Arial"/>
          <w:sz w:val="18"/>
          <w:szCs w:val="18"/>
          <w:color w:val="auto"/>
        </w:rPr>
        <w:t>plants. Approximately 85% and 80% of QEP Field Services’ net operating revenue was derived from fee-based gathering and processing agreements in the third quarter of 2013 and 2012,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Field Services' keep-whole processing margin decreased 43% during the first three quarters of 2013 compared to the first three quarters of 2012 due to a 47% decrease in NGL sales volumes as a result of its processing plants running in ethane rejection mode in 2013 due to negative ethane processing margins. Partially offsetting this decline was an increase in the average net realized NGL sales price. Including the impact of gains on derivative contract settlements, average NGL realized prices increased 12% in the first three quarters of 2013, due to the higher value NGL barrel. Keep-whole margins were positively impacted in the first three quarters of 2013 from decreased natural gas, oil, and NGL transportation and fractionation costs due to the reduction in ethane volumes.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Fee-based processing revenues increased during the first three quarters of 2013 compared to the first three quarters of 2012 due to an 11% increase in average fee-based processing rate, offset by a 1% decrease in fee-based processing volumes. During the first three quarters of 2013, the decrease in fee-based processing volumes was the result of lower unaffiliated volumes from a third-party shipper disruption caused by a fire at one of the shipper's compression stations. Other processing fees increased 56% in the first three quarters of 2013 due to increased deficiency payments from customers who did not meet their contractual annual minimum throughput commitments for gathering or processing volumes. Approximately 83% and 76% of QEP Field Services’ net operating revenue was derived from fee-based gathering and processing agreements in the first three quarters of 2013 and 2012,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 AND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Marketing and Resources' financial and operating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gridSpan w:val="8"/>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tcPr>
          <w:p>
            <w:pPr>
              <w:spacing w:after="0"/>
              <w:rPr>
                <w:sz w:val="20"/>
                <w:szCs w:val="20"/>
                <w:color w:val="auto"/>
              </w:rPr>
            </w:pPr>
          </w:p>
        </w:tc>
        <w:tc>
          <w:tcPr>
            <w:tcW w:w="3240" w:type="dxa"/>
            <w:vAlign w:val="bottom"/>
            <w:gridSpan w:val="7"/>
          </w:tcPr>
          <w:p>
            <w:pPr>
              <w:jc w:val="right"/>
              <w:ind w:right="35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34"/>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w w:val="98"/>
              </w:rPr>
              <w:t>Change</w:t>
            </w:r>
          </w:p>
        </w:tc>
      </w:tr>
      <w:tr>
        <w:trPr>
          <w:trHeight w:val="34"/>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w:t>
            </w:r>
          </w:p>
        </w:tc>
      </w:tr>
      <w:tr>
        <w:trPr>
          <w:trHeight w:val="284"/>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77"/>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440.2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1,153.2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473.2</w:t>
            </w: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468.9</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440.1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1,156.0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470.2</w:t>
            </w: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w w:val="97"/>
              </w:rPr>
              <w:t>Realized (losses) gains on derivative instruments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Unrealized (losses) gains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158.2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84"/>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44"/>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84"/>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5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QEP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80"/>
          </w:cols>
          <w:pgMar w:left="240" w:top="584" w:right="27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Resale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6780" w:type="dxa"/>
            <w:vAlign w:val="bottom"/>
            <w:gridSpan w:val="8"/>
          </w:tcPr>
          <w:p>
            <w:pPr>
              <w:spacing w:after="0"/>
              <w:rPr>
                <w:sz w:val="20"/>
                <w:szCs w:val="20"/>
                <w:color w:val="auto"/>
              </w:rPr>
            </w:pPr>
            <w:r>
              <w:rPr>
                <w:rFonts w:ascii="Arial" w:cs="Arial" w:eastAsia="Arial" w:hAnsi="Arial"/>
                <w:sz w:val="18"/>
                <w:szCs w:val="18"/>
                <w:color w:val="auto"/>
                <w:w w:val="93"/>
              </w:rPr>
              <w:t>The following table is a summary of QEP Marketing’s financial results from resale activities: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9"/>
        </w:trPr>
        <w:tc>
          <w:tcPr>
            <w:tcW w:w="3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31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71"/>
        </w:trPr>
        <w:tc>
          <w:tcPr>
            <w:tcW w:w="39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Change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Resale Margin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(468.9)</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(loss) on derivative instruments</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3900" w:type="dxa"/>
            <w:vAlign w:val="bottom"/>
          </w:tcPr>
          <w:p>
            <w:pPr>
              <w:ind w:left="180"/>
              <w:spacing w:after="0"/>
              <w:rPr>
                <w:sz w:val="20"/>
                <w:szCs w:val="20"/>
                <w:color w:val="auto"/>
              </w:rPr>
            </w:pPr>
            <w:r>
              <w:rPr>
                <w:rFonts w:ascii="Arial" w:cs="Arial" w:eastAsia="Arial" w:hAnsi="Arial"/>
                <w:sz w:val="18"/>
                <w:szCs w:val="18"/>
                <w:color w:val="auto"/>
              </w:rPr>
              <w:t>Resale margin loss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0"/>
        </w:trPr>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QEP Marketing's loss on resale margin was primarily the result of the fulfillment of firm transportation contract commitments, resulting in firm transportation expenses. Purchased gas, oil and NGL sales increased by $204.2 million, or 87%, during the third quarter of 2013 compared to the third quarter of 2012 due to a $41.9 million increase in resale gas sales and a $162.3 million increase in resale oil and NGL sales. Resale natural gas sales increased due to a 31% increase in the resale price and a 4% increase in resale gas volumes. Resale oil and NGL sales increased due to a 27% increase in resale price and a 84% increase in resale volumes.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Purchased gas, oil and NGL expense, which includes transportation expense, increased 85% in the third quarter of 2013 compared to the third quarter of 2012 due to a $40.6 million increase in resale gas purchases and a $161.9 million increase in resale oil and NGL purchases. Resale natural gas purchased increased due to a 35% increase in the resale price whereas resale purchase volumes were consistent period to period. Resale oil and NGL sales increased due to an 84% increase in resale purchase volumes and a 27% increase in resale purchase price.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Purchased gas, oil and NGL sales increased by $473.8 million, or 70%, during the first three quarters of 2013 compared to the first three quarters of 2012 due to a $152.8 million increase in resale gas sales and a $321.0 million increase in resale oil and NGL sales. Resale natural gas sales increased due to a 46% increase in the resale price while resale gas volumes increased 1% period to period. Resale oil and NGL sales increased due to a 69% increase in resale volumes and a 13% increase in resale price.</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Purchased gas, oil and NGL expense, which includes transportation expense, increased 69% in the first three quarters of 2013 compared to the first three quarters of 2012 due to a $148.6 million increase in resale gas purchases and a $320.6 million increase in resale oil and NGL purchases. Resale natural gas purchases increased due to a 50% increase in the resale price, partially offset by a 1% decrease in resale purchase volumes. Resale oil and NGL sales increased due to a 69% increase in resale purchase volumes and a 13% increase in resale purchase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CONSOLIDATED EXPENSES AND INCOME</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During the third quarter of 2013, general and administrative (G&amp;A) expense increased $7.6 million, or 18%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third quarter of 2012. The increase in G&amp;A in 2013 was primarily due to a $5.4 million increase in labor costs due to the increased number of employees and the Company's annual compensation program, and a $4.7 million increase in professional and outside services mainly related to the ongoing implementation of a new Enterprise Resource Planning system and feasibility studies. These increases were partially offset by a $2.2 million decrease in the mark-to-market value of the deferred compensation wrap plan and Cash Incentive Plan (CIP).</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first three quarters of 2013, G&amp;A expense increased $21.7 million, or 19%, compared to the first three quarters of 2012. The increase in G&amp;A in 2013 was primarily due to a $13.9 million increase in labor costs due to the increased number of employees and the Company's annual compensation program, and a $15.6 million increase in professional and outside services mainly related to the ongoing implementation of a new Enterprise Resource Planning system, QEP Midstream start up costs, feasibility studies, software maintenance costs and other contracted or professional services. These increases were partially offset by a $4.5 million decrease in restructuring costs and a $4.4 million decrease in the mark-to-market value of the deferred compensation wrap plan and CIP.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1" w:right="239" w:bottom="1440" w:gutter="0" w:footer="0" w:header="0"/>
        </w:sectPr>
      </w:pPr>
    </w:p>
    <w:bookmarkStart w:id="48" w:name="page49"/>
    <w:bookmarkEnd w:id="48"/>
    <w:p>
      <w:pPr>
        <w:ind w:right="180"/>
        <w:spacing w:after="0" w:line="342" w:lineRule="auto"/>
        <w:rPr>
          <w:sz w:val="20"/>
          <w:szCs w:val="20"/>
          <w:color w:val="auto"/>
        </w:rPr>
      </w:pPr>
      <w:r>
        <w:rPr>
          <w:rFonts w:ascii="Arial" w:cs="Arial" w:eastAsia="Arial" w:hAnsi="Arial"/>
          <w:sz w:val="16"/>
          <w:szCs w:val="16"/>
          <w:b w:val="1"/>
          <w:bCs w:val="1"/>
          <w:i w:val="1"/>
          <w:iCs w:val="1"/>
          <w:color w:val="auto"/>
        </w:rPr>
        <w:t xml:space="preserve">Net gain from asset sales. </w:t>
      </w:r>
      <w:r>
        <w:rPr>
          <w:rFonts w:ascii="Arial" w:cs="Arial" w:eastAsia="Arial" w:hAnsi="Arial"/>
          <w:sz w:val="16"/>
          <w:szCs w:val="16"/>
          <w:color w:val="auto"/>
        </w:rPr>
        <w:t>In the first nine months of 2013, QEP Energy sold its interest in several non-core oil and gas properties for total cash proceeds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$209.1 million and a pre-tax gain on sale of $114.9 million. Both the cash proceeds and gain on sale are subject to post-closing adjustments.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Realized and unrealized (losses) gain on derivative contracts. </w:t>
      </w:r>
      <w:r>
        <w:rPr>
          <w:rFonts w:ascii="Arial" w:cs="Arial" w:eastAsia="Arial" w:hAnsi="Arial"/>
          <w:sz w:val="18"/>
          <w:szCs w:val="18"/>
          <w:color w:val="auto"/>
        </w:rPr>
        <w:t>Gains and losses on derivative instruments are comprised of both realized and unrealized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losses on QEP’s commodity derivative contracts and interest rate swaps, which are marked-to-market each quarter. During the third quarter of 2013, losses on commodity derivative instruments were $25.8 million, of which $26.9 million was realized gains and $52.7 million was unrealized losses. During the third quarter of 2012, gains on commodity derivative instruments were $39.0 million, of which $93.8 million was realized gains and $54.8 million was unrealized losses. Additionally, during the third quarter of 2013, losses from interest rate swaps were $2.0 million, of which $0.6 million was realized and $1.4 million was unrealized.</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three quarters of 2013, gains on commodity derivative instruments were $50.0 million, of which $109.0 million was realized gains and $59.0 million was unrealized losses. During the first three quarters of 2012, gains on commodity derivative instruments were $341.9 million, of which $302.5 million was realized and $39.4 million was unrealized. Additionally, during the first three quarters of 2013, gains from interest rate swaps were $1.6 million, of which $1.9 million was realized losses and $3.5 million was unrealized gains.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$11.7 million, or 39%, during the third quarter of 2013 compared to the third quarter of 2012.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attributable to average debt levels that were approximately $619.8 million, or 25% higher than average debt levels in the third quarter of 2012. The increase in average debt levels is primarily related to the issuance of QEP's $650.0 million 2023 senior notes in the third quarter of 2012, which was used to fund the 2012 Acquisition, partially offset by a lower balance under our revolving credit facility for the period ended September 30, 2013 after repayment of the revolving credit facility with the net proceeds provided by the Offering.</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Interest expense increased $39.6 million, or 48%, during the first three quarters of 2013 compared to the first three quarters of 2012. The increase was attributable to average debt levels that were approximately $614.0 million, or 25%, higher than average debt levels in the first three quarters of 2012. The increase in average debt levels is primarily related to the issuance of QEP's $650.0 million 2023 senior notes in the third quarter of 2012, which was used to fund the 2012 Acquisition, partially offset by a lower balance under our revolving credit facility for the period ended September 30, 2013 after repayment of the revolving credit facility with the net proceeds provided by the Offering.</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provision was $22.4 million during the third quarter of 2013 compared to an income tax benefit of $2.3 million during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2012. The increased provision was primarily the result of higher income before income taxes for the third quarter of 2013 compared to a loss before income taxes for the third quarter of 2012.</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Income tax provision increased $38.5 million, or 45%, during the first three quarters of 2013 compared to the first three quarters of 2012. The increase was primarily the result of higher income before income taxes and a higher combined effective federal and state income tax rate of 36.5% for the first three quarters of 2013 compared to 36.0% for the first three quarters of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seeks to fund its development projects by employing a capital structure and financing strategy to provide sufficient liquidity to withstand commodity price swings. QEP maintains a commodity price derivative strategy to reduce commodity price volatility and to provide certainty to cash flows. QEP funds its operations, capital expenditures and working capital requirements with cash flow from its operating activities and borrowings under its credit facilities. Periodically, QEP accesses debt and capital markets and sells properties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differ from the Company’s estimates, QEP's liquidity could be adversely affected.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the previous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2013</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2012</w:t>
            </w:r>
          </w:p>
        </w:tc>
      </w:tr>
      <w:tr>
        <w:trPr>
          <w:trHeight w:val="34"/>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4"/>
          </w:tcPr>
          <w:p>
            <w:pPr>
              <w:spacing w:after="0"/>
              <w:rPr>
                <w:sz w:val="2"/>
                <w:szCs w:val="2"/>
                <w:color w:val="auto"/>
              </w:rPr>
            </w:pPr>
          </w:p>
        </w:tc>
      </w:tr>
      <w:tr>
        <w:trPr>
          <w:trHeight w:val="243"/>
        </w:trPr>
        <w:tc>
          <w:tcPr>
            <w:tcW w:w="6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40" w:type="dxa"/>
            <w:vAlign w:val="bottom"/>
            <w:gridSpan w:val="4"/>
          </w:tcPr>
          <w:p>
            <w:pPr>
              <w:jc w:val="right"/>
              <w:ind w:right="1370"/>
              <w:spacing w:after="0"/>
              <w:rPr>
                <w:sz w:val="20"/>
                <w:szCs w:val="20"/>
                <w:color w:val="auto"/>
              </w:rPr>
            </w:pPr>
            <w:r>
              <w:rPr>
                <w:rFonts w:ascii="Arial" w:cs="Arial" w:eastAsia="Arial" w:hAnsi="Arial"/>
                <w:sz w:val="18"/>
                <w:szCs w:val="18"/>
                <w:color w:val="auto"/>
              </w:rPr>
              <w:t>(in millions, except %)</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7"/>
        </w:trPr>
        <w:tc>
          <w:tcPr>
            <w:tcW w:w="68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QEP credit facility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1,131.3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805.9</w:t>
            </w:r>
          </w:p>
        </w:tc>
      </w:tr>
      <w:tr>
        <w:trPr>
          <w:trHeight w:val="264"/>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1,254.3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805.9</w:t>
            </w: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2,882.3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3,206.9</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3,426.1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3,266.0</w:t>
            </w:r>
          </w:p>
        </w:tc>
      </w:tr>
      <w:tr>
        <w:trPr>
          <w:trHeight w:val="252"/>
        </w:trPr>
        <w:tc>
          <w:tcPr>
            <w:tcW w:w="682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82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ind w:left="660" w:right="80" w:hanging="314"/>
        <w:spacing w:after="0" w:line="223"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See discussion of revolving credit facility below. Availability under the QEP credit facility is reduced by outstanding letters of credit of $3.7 million as of September 30, 2013, and $4.1 million as of December 31, 2012 and does not include $500.0 million available under QEP Midstream's credit facility.</w:t>
      </w:r>
    </w:p>
    <w:p>
      <w:pPr>
        <w:ind w:left="660" w:hanging="314"/>
        <w:spacing w:after="0" w:line="180"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QEP’s revolving credit facility, which matures in August 2016, provides for loan commitments of $1.5 billion from a syndicate of financial institutions. The credit facility provides for borrowings at short-term interest rates and contains customary covenants and restrictions. The credit facility also contains provisions which would allow for the amount of the facility to be increased to $2.0 billion and the maturity to be extended for two additional one-year periods. QEP’s weighted-average interest rate on borrowings from its credit facility was 2.56% during the first three quarters of 2013. At September 30, 2013, QEP was in compliance with the debt covenants under the credit agreement. At October 31, 2013, QEP had $390.5 million of borrowings and $3.8 million of letters of credit outstanding under its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Midstream's Credit Facility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14, 2013, QEP Midstream entered into a $500.0 million senior secured revolving credit facility with a group of financial institutions, which matures on August 14, 2018. The credit facility contains an accordion provision that allows for the amount of the facility to be increased to $750.0 million with the agreement of the lenders. QEP Midstream's credit facility is available for QEP Midstream's working capital, capital expenditures, permitted acquisitions and general corporate purposes, including distributions. In addition, QEP Midstream's credit facility includes a sublimit of up to $50.0 million for letters of credit and a sublimit of up to $25.0 million for swing line loans. Substantially all of QEP Midstream's assets, excluding equity in and assets of certain joint ventures and unrestricted subsidiaries, are pledged as collateral under the credit facility. In addition, the credit agreement contains restrictions and events of default customary for agreements of this nature.</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borrowings under QEP Midstream's credit facility, and at September 30, 2013, QEP Midstream was in compliance with the covenants under the QEP Midstream credit agreement.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QEP is not a borrower or guarantor of QEP Midstream's credit facility. In addition, QEP is not subject to any of the restrictions or covenants contained in QEP Midstream's credit agreement. Outstanding indebtedness under QEP Midstream's credit facility is not included in the definition of indebtedness under QEP's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QEP's $300.0 million term loan facility provides for borrowings at short-term interest rates and contains covenants, restrictions and interest rates that are substantially the same as the Company’s revolving credit facility. The term loan matures in April 2017, and the maturity date may be extended one year with the agreement of the lenders. During the first three quarters of 2013, QEP’s weighted-average interest rate on the term loan was 2.23%. In conjunction with the term loan, QEP entered into interest rate swap contracts with a combined notional principal amount of $300.0 million which will mature in March 2017. Under the swap contracts, QEP pays 1.07% for the life of the swaps and receives one-month LIBOR. The interest rate at September 30, 2013, under the term loan is one-month LIBOR, plus 2.00% (the Applicable Margin) which, when combined with the fixed interest rate swaps, results in an effective rate of 3.07% for borrowings under the term loan. To the extent that the Applicable Margin under the term loan changes, the effective fixed rate paid for borrowings under the term loan will change.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September 30, 2013, totaled $2,221.8 million principal amount and are comprised of six issuances as follows:</w:t>
      </w:r>
    </w:p>
    <w:p>
      <w:pPr>
        <w:spacing w:after="0" w:line="24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from operations are primarily affected by natural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18 months.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cash provided by operating activities during the first three quarters of 2013 increased $6.9 million compared to the first three quarters of 2012 due to increased net income and noncash net income adjustments partially offset by a decrease in the use of cash from operating assets and liabilities. Changes in operating assets and liabilities used $8.1 million of cash in the first three quarters of 2013, mainly due to a decrease in accounts payable and accrued expenses primarily due to the $115.0 million Chieftain settlement payment in the first quarter of 2013 and an increase in deferred income taxes. Changes in operating assets and liabilities provided $54.6 million of cash in the first three quarters of 2012 primarily due to decreases in accounts receivable and increases in accounts payable and accrued expenses. Net cash provided from operating activities is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from operating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978.9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972.0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first three quarters of 2013, net cash used in investing activities was $920.6 million, compared to $2,435.7 million in the first three quarters of 2012. The decrease in cash flows used in investing activities was primarily the result of the $1.4 billion of capital expenditures incurred in the third quarter of 2012 related to the 2012 Acquisition and the 2013 proceeds of $208.3 million received from the disposition of assets, mainly attributable to QEP Energy's second and third quarters 2013 oil and gas property divestitures. The capital expenditures for the 2012 Acquisition and proceeds from asset dispositions during the first three quarters of 2013 were partially offset by an increase in cash capital expenditures during the first three quarters of 2013 when compared to the first three quarters of 2012. A comparison of capital expenditures for the first three quarters of 2013 and 2012 and a forecast for calendar year 2013 are presented in the table below: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vMerge w:val="restart"/>
          </w:tcPr>
          <w:p>
            <w:pPr>
              <w:jc w:val="center"/>
              <w:ind w:right="30"/>
              <w:spacing w:after="0"/>
              <w:rPr>
                <w:sz w:val="20"/>
                <w:szCs w:val="20"/>
                <w:color w:val="auto"/>
              </w:rPr>
            </w:pPr>
            <w:r>
              <w:rPr>
                <w:rFonts w:ascii="Arial" w:cs="Arial" w:eastAsia="Arial" w:hAnsi="Arial"/>
                <w:sz w:val="18"/>
                <w:szCs w:val="18"/>
                <w:b w:val="1"/>
                <w:bCs w:val="1"/>
                <w:color w:val="auto"/>
                <w:w w:val="91"/>
              </w:rPr>
              <w:t>Nine Months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Prior Forecast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Twelve Months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Twelve Months</w:t>
            </w:r>
          </w:p>
        </w:tc>
        <w:tc>
          <w:tcPr>
            <w:tcW w:w="0" w:type="dxa"/>
            <w:vAlign w:val="bottom"/>
          </w:tcPr>
          <w:p>
            <w:pPr>
              <w:spacing w:after="0"/>
              <w:rPr>
                <w:sz w:val="1"/>
                <w:szCs w:val="1"/>
                <w:color w:val="auto"/>
              </w:rPr>
            </w:pPr>
          </w:p>
        </w:tc>
      </w:tr>
      <w:tr>
        <w:trPr>
          <w:trHeight w:val="268"/>
        </w:trPr>
        <w:tc>
          <w:tcPr>
            <w:tcW w:w="4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Ended </w:t>
            </w:r>
            <w:r>
              <w:rPr>
                <w:rFonts w:ascii="Arial" w:cs="Arial" w:eastAsia="Arial" w:hAnsi="Arial"/>
                <w:sz w:val="25"/>
                <w:szCs w:val="25"/>
                <w:b w:val="1"/>
                <w:bCs w:val="1"/>
                <w:color w:val="auto"/>
                <w:w w:val="87"/>
                <w:vertAlign w:val="superscript"/>
              </w:rPr>
              <w:t>(1)</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(2)</w:t>
            </w: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1,108.9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QEP</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accruals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the mid-point of the most recent guidance.</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Forecast as reported in the 2013 Quarterly Report on Form 10-Q, filed on July 31, 2013.</w:t>
      </w:r>
    </w:p>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three quarters of 2013, capital expenditures on a cash basis decreased 54% to $1,128.9 million, compared to $2,441.0 million during the first three quarters 2012. The decrease of $1,312.1 million in cash capital expenditures during the first three quarters of 2013 was primarily the result of QEP Energy's increased capital expenditures related to the 2012 Acquisition.</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the first three quarters of 2013, QEP Energy's capital investment, on an accrual basis, decreased $1,282.0 million over the first three quarters of 2012 to a total of $1,108.9 million. QEP Energy's capital expenditures includes $35.3 million related to property acquisitions in the Williston Basin and $4.0 million to post-closing adjustments for the 2012 Acquisition incurred in the first three quarters of 2013 compared to $1,400.3 million of property acquisitions in first three quarters of 2012 related to the 2012 Acquisition. In addition, capital expenditures increased $301.0 million in the Williston Basin due to additional drilling activity and operations in the area partially offset by a $59.2 decrease million in the Haynesville/Cotton Valley area due to the suspended drilling program, a $102.9 million decrease in Pinedale due to the reduction in the number of drilling rigs from seven to four and a $58.3 million decrease in Midcontinent capital expenditures due to reduced drilling activity.</w:t>
      </w:r>
    </w:p>
    <w:p>
      <w:pPr>
        <w:spacing w:after="0" w:line="178"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In the first three quarters of 2013 compared to the first three quarters of 2012, QEP Field Services capital investment decreased $85.7 million, on an accrual basis, due to the higher capital expenditures during the first three quarters of 2012 for the new 150 MMcfd cryogenic gas processing plant in the Uinta Basin (Iron Horse II), which was completed during the first quarter of 2013, and the expansion of the fractionation facility at the Blacks Fork processing complex. Currently, there are no processing plants under significant construction at QEP Field Services.</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At September 30, 2013, forecasted capital investments for 2013 is expected to be $1,580.0 million, comprised of $1,475.0 million at QEP Energy, $80.0 million at QEP Field Services, and $25.0 million for QEP Marketing and Resources. For the remainder of 2013, QEP intends to fund capital expenditures with cash flow from operating activities, and, if needed, borrowings under its revolving credit facility. As a result of the continued low natural gas prices, QEP plans minimal capital expenditures for the Haynesville Shale and other dry-gas development areas and to increase capital expenditures for higher return projects, including Pinedale, and oil-directed horizontal drilling in the Williston Basin and Midcontinent during the remainder of 2013. QEP Energy has allocated approximately 98% of its forecasted 2013 drilling and completion capital expenditure budget to crude oil and liquids-rich natural gas plays. QEP plans to invest a total of approximately $80.0 million in capital expenditures during 2013 to maintain and grow its midstream business including the completion of the Iron Horse II cryogenic processing plant in the Uinta Basin in the first quarter of 2013, the expansion of its gathering system in the Uinta Basin and the completion of a 10,000 Bbl/d expansion of the NGL fractionation facility located at the Blacks Fork processing complex in the second quarter of 2013. The remaining QEP Field Services' capital expenditures will be used on compressor projects, new well connections and gathering line expansion. QEP plans to invest approximately $24.0 million in capital expenditures related to corporate activities, primarily the implementation of a new Enterprise Resource Planning system. The aggregate levels of capital expenditures for 2013 and the allocation of those expenditures are dependent on a variety of factors, including drilling results, natural gas, oil and NGL prices, industry conditions, the extent to which properties or working interests are acquired, the availability of capital resources to fund the expenditures and changes in management’s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2" w:name="page53"/>
    <w:bookmarkEnd w:id="52"/>
    <w:p>
      <w:pPr>
        <w:ind w:right="360"/>
        <w:spacing w:after="0" w:line="277" w:lineRule="auto"/>
        <w:rPr>
          <w:sz w:val="20"/>
          <w:szCs w:val="20"/>
          <w:color w:val="auto"/>
        </w:rPr>
      </w:pPr>
      <w:r>
        <w:rPr>
          <w:rFonts w:ascii="Arial" w:cs="Arial" w:eastAsia="Arial" w:hAnsi="Arial"/>
          <w:sz w:val="18"/>
          <w:szCs w:val="18"/>
          <w:color w:val="auto"/>
        </w:rPr>
        <w:t>assessments as to where QEP’s capital can be most profitably deployed. Accordingly, the actual levels of capital expenditures and the allocation of those expenditures may vary materially from QEP’s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the first three quarters of 2013, net cash proceeds from financing activities were $64.7 million compared to $1,463.7 million in the first three quarters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2012. During the first three quarters of 2013, QEP had borrowings from the credit facility of $1,075.0 million and repayments on the credit facility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$1,400.0 million partially funded by the net proceeds provided from the Offering partially offset by increases to the checks outstanding in excess of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balances of $38.1 million during the first three quarters of 2013 and no debt issuances in the first three quarters of 2013. In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QEP paid $10.8 million of regular quarterly dividends.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September 30, 2013, long-term debt consisted of $365.0 million outstanding under the credit facility, $300.0 million under the term loan and $2,221.8 million in senior notes (including $4.5 million of net original issue discount). The $325.0 million decrease in borrowings under the credit facility during the first nine months of 2013 was primarily the results of repayment of the credit facility funded from the net proceeds provided by the Offering in the third quarter of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QEP’s primary market risk exposures arise from changes in the market price for natural gas, oil and NGL, and to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natural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fixed-price swaps to manage commodity price risk and periodically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However, these same arrangements typically limit future gains from favorable price movements. The types of commodity derivative instruments currently utilized by the Company are fixed-price swaps. The volume of commodity derivative instruments utilized by the Company may vary from year-to-year. The derivative instruments currently utilized by the Company do not have margin requirements or collateral provisions that would require payments prior to the scheduled cash settlement dates. As of September 30, 2013, QEP held commodity price derivative contracts totaling 98.9 million MMBtu of natural gas and 11.0 million barrels of oil. At December 31, 2012, the QEP derivative contracts covered 139.4 million MMBtu of natural gas and 6.9 million barrels of oil.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2013 derivative positions as of October 31, 2013:</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584" w:right="2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QEP Energy Commodity Derivative Positions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9"/>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Weighted-average price</w:t>
            </w:r>
          </w:p>
        </w:tc>
      </w:tr>
      <w:tr>
        <w:trPr>
          <w:trHeight w:val="234"/>
        </w:trPr>
        <w:tc>
          <w:tcPr>
            <w:tcW w:w="3580" w:type="dxa"/>
            <w:vAlign w:val="bottom"/>
            <w:gridSpan w:val="3"/>
          </w:tcPr>
          <w:p>
            <w:pPr>
              <w:ind w:left="1380"/>
              <w:spacing w:after="0"/>
              <w:rPr>
                <w:sz w:val="20"/>
                <w:szCs w:val="20"/>
                <w:color w:val="auto"/>
              </w:rPr>
            </w:pPr>
            <w:r>
              <w:rPr>
                <w:rFonts w:ascii="Arial" w:cs="Arial" w:eastAsia="Arial" w:hAnsi="Arial"/>
                <w:sz w:val="18"/>
                <w:szCs w:val="18"/>
                <w:b w:val="1"/>
                <w:bCs w:val="1"/>
                <w:color w:val="auto"/>
              </w:rPr>
              <w:t>Year</w:t>
            </w:r>
          </w:p>
        </w:tc>
        <w:tc>
          <w:tcPr>
            <w:tcW w:w="24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Type of Contract</w:t>
            </w:r>
          </w:p>
        </w:tc>
        <w:tc>
          <w:tcPr>
            <w:tcW w:w="18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Index</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Volumes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per unit</w:t>
            </w:r>
          </w:p>
        </w:tc>
      </w:tr>
      <w:tr>
        <w:trPr>
          <w:trHeight w:val="34"/>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3580" w:type="dxa"/>
            <w:vAlign w:val="bottom"/>
            <w:gridSpan w:val="3"/>
          </w:tcPr>
          <w:p>
            <w:pPr>
              <w:ind w:left="40"/>
              <w:spacing w:after="0"/>
              <w:rPr>
                <w:sz w:val="20"/>
                <w:szCs w:val="20"/>
                <w:color w:val="auto"/>
              </w:rPr>
            </w:pPr>
            <w:r>
              <w:rPr>
                <w:rFonts w:ascii="Arial" w:cs="Arial" w:eastAsia="Arial" w:hAnsi="Arial"/>
                <w:sz w:val="18"/>
                <w:szCs w:val="18"/>
                <w:b w:val="1"/>
                <w:bCs w:val="1"/>
                <w:color w:val="auto"/>
              </w:rPr>
              <w:t>Natural gas</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Crude oil</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(Bbls)</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 WTI</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98.27</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7"/>
              </w:rPr>
              <w:t>BRENT ICE</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107.80</w:t>
            </w: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 WTI</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93.63</w:t>
            </w:r>
          </w:p>
        </w:tc>
      </w:tr>
      <w:tr>
        <w:trPr>
          <w:trHeight w:val="64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QEP Marketing Commodity Derivative Positions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9"/>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Weighted-average price</w:t>
            </w:r>
          </w:p>
        </w:tc>
      </w:tr>
      <w:tr>
        <w:trPr>
          <w:trHeight w:val="234"/>
        </w:trPr>
        <w:tc>
          <w:tcPr>
            <w:tcW w:w="3580" w:type="dxa"/>
            <w:vAlign w:val="bottom"/>
            <w:gridSpan w:val="3"/>
          </w:tcPr>
          <w:p>
            <w:pPr>
              <w:ind w:left="1380"/>
              <w:spacing w:after="0"/>
              <w:rPr>
                <w:sz w:val="20"/>
                <w:szCs w:val="20"/>
                <w:color w:val="auto"/>
              </w:rPr>
            </w:pPr>
            <w:r>
              <w:rPr>
                <w:rFonts w:ascii="Arial" w:cs="Arial" w:eastAsia="Arial" w:hAnsi="Arial"/>
                <w:sz w:val="18"/>
                <w:szCs w:val="18"/>
                <w:b w:val="1"/>
                <w:bCs w:val="1"/>
                <w:color w:val="auto"/>
              </w:rPr>
              <w:t>Year</w:t>
            </w:r>
          </w:p>
        </w:tc>
        <w:tc>
          <w:tcPr>
            <w:tcW w:w="24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Type of Contract</w:t>
            </w:r>
          </w:p>
        </w:tc>
        <w:tc>
          <w:tcPr>
            <w:tcW w:w="18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Index</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Volumes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per MMBtu</w:t>
            </w:r>
          </w:p>
        </w:tc>
      </w:tr>
      <w:tr>
        <w:trPr>
          <w:trHeight w:val="34"/>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580" w:type="dxa"/>
            <w:vAlign w:val="bottom"/>
            <w:gridSpan w:val="3"/>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sales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1800" w:type="dxa"/>
            <w:vAlign w:val="bottom"/>
            <w:gridSpan w:val="3"/>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3580" w:type="dxa"/>
            <w:vAlign w:val="bottom"/>
            <w:gridSpan w:val="3"/>
          </w:tcPr>
          <w:p>
            <w:pPr>
              <w:ind w:left="40"/>
              <w:spacing w:after="0"/>
              <w:rPr>
                <w:sz w:val="20"/>
                <w:szCs w:val="20"/>
                <w:color w:val="auto"/>
              </w:rPr>
            </w:pPr>
            <w:r>
              <w:rPr>
                <w:rFonts w:ascii="Arial" w:cs="Arial" w:eastAsia="Arial" w:hAnsi="Arial"/>
                <w:sz w:val="18"/>
                <w:szCs w:val="18"/>
                <w:b w:val="1"/>
                <w:bCs w:val="1"/>
                <w:color w:val="auto"/>
              </w:rPr>
              <w:t>Natural gas purchases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1800" w:type="dxa"/>
            <w:vAlign w:val="bottom"/>
            <w:gridSpan w:val="3"/>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459"/>
        </w:trPr>
        <w:tc>
          <w:tcPr>
            <w:tcW w:w="9480" w:type="dxa"/>
            <w:vAlign w:val="bottom"/>
            <w:gridSpan w:val="11"/>
          </w:tcPr>
          <w:p>
            <w:pPr>
              <w:spacing w:after="0"/>
              <w:rPr>
                <w:sz w:val="20"/>
                <w:szCs w:val="20"/>
                <w:color w:val="auto"/>
              </w:rPr>
            </w:pPr>
            <w:r>
              <w:rPr>
                <w:rFonts w:ascii="Arial" w:cs="Arial" w:eastAsia="Arial" w:hAnsi="Arial"/>
                <w:sz w:val="18"/>
                <w:szCs w:val="18"/>
                <w:color w:val="auto"/>
                <w:w w:val="99"/>
              </w:rPr>
              <w:t>Changes in the fair value of derivative contracts from December 31, 2012 to September 30, 2013, are presented below:</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0"/>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derivative contracts</w:t>
            </w:r>
          </w:p>
        </w:tc>
      </w:tr>
      <w:tr>
        <w:trPr>
          <w:trHeight w:val="34"/>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r>
      <w:tr>
        <w:trPr>
          <w:trHeight w:val="27"/>
        </w:trPr>
        <w:tc>
          <w:tcPr>
            <w:tcW w:w="6020" w:type="dxa"/>
            <w:vAlign w:val="bottom"/>
            <w:gridSpan w:val="6"/>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0"/>
              </w:rPr>
              <w:t>Net fair value of gas and oil derivative contracts outstanding at December 31, 2012</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r>
      <w:tr>
        <w:trPr>
          <w:trHeight w:val="243"/>
        </w:trPr>
        <w:tc>
          <w:tcPr>
            <w:tcW w:w="3580" w:type="dxa"/>
            <w:vAlign w:val="bottom"/>
            <w:gridSpan w:val="3"/>
          </w:tcPr>
          <w:p>
            <w:pPr>
              <w:ind w:left="40"/>
              <w:spacing w:after="0"/>
              <w:rPr>
                <w:sz w:val="20"/>
                <w:szCs w:val="20"/>
                <w:color w:val="auto"/>
              </w:rPr>
            </w:pPr>
            <w:r>
              <w:rPr>
                <w:rFonts w:ascii="Arial" w:cs="Arial" w:eastAsia="Arial" w:hAnsi="Arial"/>
                <w:sz w:val="18"/>
                <w:szCs w:val="18"/>
                <w:color w:val="auto"/>
              </w:rPr>
              <w:t>Contracts settled</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7"/>
        </w:trPr>
        <w:tc>
          <w:tcPr>
            <w:tcW w:w="3580" w:type="dxa"/>
            <w:vAlign w:val="bottom"/>
            <w:gridSpan w:val="3"/>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Change in gas and oil prices on futures markets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84"/>
        </w:trPr>
        <w:tc>
          <w:tcPr>
            <w:tcW w:w="3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Contracts added</w:t>
            </w:r>
          </w:p>
        </w:tc>
        <w:tc>
          <w:tcPr>
            <w:tcW w:w="1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r>
      <w:tr>
        <w:trPr>
          <w:trHeight w:val="257"/>
        </w:trPr>
        <w:tc>
          <w:tcPr>
            <w:tcW w:w="7820" w:type="dxa"/>
            <w:vAlign w:val="bottom"/>
            <w:gridSpan w:val="9"/>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gas and oil derivative contracts outstanding at September 30, 2013</w:t>
            </w: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 shows sensitivity of fair value of gas and oil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September 30, 2013</w:t>
            </w:r>
          </w:p>
        </w:tc>
      </w:tr>
      <w:tr>
        <w:trPr>
          <w:trHeight w:val="34"/>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9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gas and oil and basis differentials decline by 10%</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177.0</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gas and oil and basis differentials increase by 10%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w:t>
            </w:r>
          </w:p>
        </w:tc>
      </w:tr>
      <w:tr>
        <w:trPr>
          <w:trHeight w:val="675"/>
        </w:trPr>
        <w:tc>
          <w:tcPr>
            <w:tcW w:w="9720" w:type="dxa"/>
            <w:vAlign w:val="bottom"/>
          </w:tcPr>
          <w:p>
            <w:pPr>
              <w:jc w:val="right"/>
              <w:ind w:right="383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54" w:name="page55"/>
    <w:bookmarkEnd w:id="54"/>
    <w:p>
      <w:pPr>
        <w:ind w:right="100"/>
        <w:spacing w:after="0" w:line="257" w:lineRule="auto"/>
        <w:rPr>
          <w:sz w:val="20"/>
          <w:szCs w:val="20"/>
          <w:color w:val="auto"/>
        </w:rPr>
      </w:pPr>
      <w:r>
        <w:rPr>
          <w:rFonts w:ascii="Arial" w:cs="Arial" w:eastAsia="Arial" w:hAnsi="Arial"/>
          <w:sz w:val="18"/>
          <w:szCs w:val="18"/>
          <w:color w:val="auto"/>
        </w:rPr>
        <w:t>Utilizing the actual derivative contractual volumes, a 10% increase in underlying commodity prices would reduce the fair value of these instruments by $139.5 million, while a 10% decrease in underlying commodity prices would increase the fair value of these instruments by $139.4 million as of September 30, 2013. However, a gain or loss eventually would be substantially offset by the actual sales value of the physical production covered by the derivative instruments. For additional information regarding the Company’s commodity derivative transactions, see Note 8 – Derivative Contracts under Part I, Item 1 of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as described in the risk factors in Part I, Item 1A of the Company’s Annual Report on Form 10-K for the year ended December 31, 2012. The Company’s credit facility has a floating interest rate which exposes QEP to interest rate risk. At September 30, 2013, the Company had $365.0 million outstanding under its revolving credit facility. If interest rates were to increase or decrease 10% over the nine months ended September 30, 2013, at our average level of borrowing for those same periods, our interest expense would increase or decrease by $1.3 million for both the three and nine months ended September 30, 2013 and 2012, or approximately 1% in each period.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Company’s term loan has a floating interest rate which also exposes QEP to interest rate risk. At September 30, 2013, the Company had $300.0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outstanding under the term loan. During the second quarter of 2012, QEP entered into interest rate swap contracts, with an aggregate notional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to minimize the interest rate volatility risk associated with its $300.0 million term loan. QEP pays a fixed interest rate and receives a floating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rate indexed to the one-month LIBOR. At September 30, 2013, the fair value of the interest rate swaps was a derivative liability balance of $2.5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 50 basis point decrease would cause the fair value of the interest rate swaps to decrease by $4.6 million while a 50 basis point increase would cause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interest rate swaps to increase by $5.0 million.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remaining $2,221.8 million of the Company’s debt are Senior Notes with fixed interest rates and therefore are not affected by interest rate movements.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Company’s debt instruments, see Note 10 – Debt under Part I, Item 1 of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gas, oil and NGL prices and factors affecting the volatility of such prices;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drill or participate in wells and to defer completion of wells;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QEP's low cash operating costs and ability to control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pursue acquisition opportunities;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proforma results for acquired properties;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restructuring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the reclassification of the fixed-value related to de-designated hedges;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pension legislation;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gain on sale of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estimated accrual for loss contingencies and other items;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 of recession;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enter into derivative contracts for a portion of forecasted production;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expenses and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operation of processing plants at assumed capacities;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the settlement of derivative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unrealized derivative gains and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nonperformance by trade creditors or joint venture partners;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5" w:name="page56"/>
    <w:bookmarkEnd w:id="55"/>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contributions to the Company’s pension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recently issued accounting pronouncements;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significance of Adjusted EBITDA as a measure of cash flow and liquidity;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dividends;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for future asset impairments;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estimated future purchase accounting adjustments.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2012;</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natural gas, oil and NGL prices;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available pipeline capacity;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QEP's inability to successfully integrate acquired assets or dispose of non-core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maintenance and construction costs, including possible inflationary pressures;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liabilities from legal proceedings and environmental claims;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future opportunities that QEP's board of directors may determine present greater potential value to stockholders than planned divestiture of assets;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processing margins;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costs for constructing, modifying or operating midstream facilities;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QEP's products;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584" w:right="339" w:bottom="1440" w:gutter="0" w:footer="0" w:header="0"/>
        </w:sectPr>
      </w:pPr>
    </w:p>
    <w:bookmarkStart w:id="56" w:name="page57"/>
    <w:bookmarkEnd w:id="56"/>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13a-15(e) under the Securities Exchange Act of 1934, as amended, the Exchange Act) as of September 30, 2013. Based on such evaluation, such officers have concluded that, as of September 30, 2013,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September 30, 2013, that have materially affected, or that are reasonably likely to materially affect, the Company’s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regarding legal proceedings is set forth in Note 11 - Contingencies to the Company's consolidated financial statements included in Item 1 of Part I of this Quarterly Report on Form 10-Q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2012. Below are material changes to such risk factors have occurred during the three months ended September 30, 2013.</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One of our subsidiaries acts as the general partner of a publicly traded master limited partnership, QEP Midstream, which may involve a greater exposure to legal liability than our historic business operations.</w:t>
      </w:r>
    </w:p>
    <w:p>
      <w:pPr>
        <w:spacing w:after="0" w:line="3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One of our subsidiaries acts as the general partner of QEP Midstream, a publicly traded master limited partnership. Our control of the general partner of QEP Midstream may increase the possibility of claims of breach of fiduciary duties including claims of conflicts of interest related to QEP Midstream. Any liability resulting from such claims could have a material adverse effect on our future business, financial condition, results of operations and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 may result in volatility in our operating results.</w:t>
      </w:r>
    </w:p>
    <w:p>
      <w:pPr>
        <w:spacing w:after="0" w:line="36" w:lineRule="exact"/>
        <w:rPr>
          <w:sz w:val="20"/>
          <w:szCs w:val="20"/>
          <w:color w:val="auto"/>
        </w:rPr>
      </w:pPr>
    </w:p>
    <w:p>
      <w:pPr>
        <w:ind w:right="140"/>
        <w:spacing w:after="0" w:line="318" w:lineRule="auto"/>
        <w:rPr>
          <w:sz w:val="20"/>
          <w:szCs w:val="20"/>
          <w:color w:val="auto"/>
        </w:rPr>
      </w:pPr>
      <w:r>
        <w:rPr>
          <w:rFonts w:ascii="Arial" w:cs="Arial" w:eastAsia="Arial" w:hAnsi="Arial"/>
          <w:sz w:val="18"/>
          <w:szCs w:val="18"/>
          <w:color w:val="auto"/>
        </w:rPr>
        <w:t>QEP utilized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QEP’s quarterly operating results.</w:t>
      </w:r>
    </w:p>
    <w:p>
      <w:pPr>
        <w:spacing w:after="0" w:line="1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580" w:right="279" w:bottom="1440" w:gutter="0" w:footer="0" w:header="0"/>
        </w:sectPr>
      </w:pPr>
    </w:p>
    <w:bookmarkStart w:id="57" w:name="page58"/>
    <w:bookmarkEnd w:id="57"/>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4, 2013, the Company entered into an indemnification agreement with each of its directors and officers (the “Indemnification Agreement”). The Indemnification Agreement supplements the indemnification rights provided under the Company's certificate of incorporation, bylaws, and applicable law. The Indemnification Agreement requires the Company to indemnify the officer or director to the fullest extent permitted under Delaware law against liability that may arise by reason of his or her service to the Company and to advance expenses incurred as a result of any proceeding against him or her as to which he or she could be indemnified. The Indemnification Agreement also provides procedures for the determination of an indemnitee's right to receive indemnification and the advancement of expenses. The Company anticipates that it will enter into substantially similar Indemnification Agreements with any new directors and officers. The form of indemnification agreement entered into by each officer and director of the Company’s subsidiaries is substantially similar to the Indemnification Agreement.</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is a summary of the material terms of the Indemnification Agreement. A copy of the form of Indemnification Agreement is filed as Exhibit 10.8 to this Quarterly Report on Form 10-Q and is incorporated herein by reference.</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580" w:right="319" w:bottom="1440" w:gutter="0" w:footer="0" w:header="0"/>
        </w:sectPr>
      </w:pPr>
    </w:p>
    <w:bookmarkStart w:id="58" w:name="page59"/>
    <w:bookmarkEnd w:id="58"/>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34"/>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Contribution, Conveyance and Assumption Agreement, dated as of August 14, 2013, by and among QEP Midstream Partners, LP,</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QEP Midstream Partners GP, LLC, QEP Field Services Company and QEP Midstream Partners Operating, LLC, incorporated by</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reference to Exhibit 10.1 to the QEP Resources, Inc.’s Current Report on Form 8-K, filed with the Securities and Exchange</w:t>
            </w:r>
          </w:p>
        </w:tc>
      </w:tr>
      <w:tr>
        <w:trPr>
          <w:trHeight w:val="230"/>
        </w:trPr>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Commission on August 16, 2013.</w:t>
            </w: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740" w:type="dxa"/>
            <w:vAlign w:val="bottom"/>
            <w:shd w:val="clear" w:color="auto" w:fill="CCEEFF"/>
          </w:tcPr>
          <w:p>
            <w:pPr>
              <w:spacing w:after="0"/>
              <w:rPr>
                <w:sz w:val="21"/>
                <w:szCs w:val="21"/>
                <w:color w:val="auto"/>
              </w:rPr>
            </w:pP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5"/>
              </w:rPr>
              <w:t>First Amendment to Term Loan Agreement, dated as of August 13, 2013, by and among QEP Resources, Inc., the lenders party</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thereto and Wells Fargo Bank, National Association, in its capacity as administrative agent for the lenders, incorporated by reference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to Exhibit 10.2 to QEP Resources, Inc.’s Current Report on Form 8-K, filed with the Securities and Exchange Commission on August</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16, 2013.</w:t>
            </w:r>
          </w:p>
        </w:tc>
      </w:tr>
      <w:tr>
        <w:trPr>
          <w:trHeight w:val="243"/>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740" w:type="dxa"/>
            <w:vAlign w:val="bottom"/>
          </w:tcPr>
          <w:p>
            <w:pPr>
              <w:spacing w:after="0"/>
              <w:rPr>
                <w:sz w:val="21"/>
                <w:szCs w:val="21"/>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Second Amendment to Credit Agreement, dated as of August 13, 2013, by and among QEP Resources, Inc., the lenders party thereto</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and Wells Fargo Bank, National Association, in its capacity as administrative agent for the lenders, incorporated by reference to</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Exhibit 10.3 to QEP Resources, Inc.’s Current Report on Form 8-K, filed with the Securities and Exchange Commission on August</w:t>
            </w:r>
          </w:p>
        </w:tc>
      </w:tr>
      <w:tr>
        <w:trPr>
          <w:trHeight w:val="230"/>
        </w:trPr>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16, 2013.</w:t>
            </w: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740" w:type="dxa"/>
            <w:vAlign w:val="bottom"/>
            <w:shd w:val="clear" w:color="auto" w:fill="CCEEFF"/>
          </w:tcPr>
          <w:p>
            <w:pPr>
              <w:spacing w:after="0"/>
              <w:rPr>
                <w:sz w:val="21"/>
                <w:szCs w:val="21"/>
                <w:color w:val="auto"/>
              </w:rPr>
            </w:pP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Credit Agreement, dated as of August 14, 2013, among QEP Midstream Partners Operating, LLC, as the borrower, QEP Midstream</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Partners, LP, as the parent guarantor, Wells Fargo Bank, National Association, as administrative agent, and the lenders from time to</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time party thereto.</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Midstream Partners, LP 2013 Long-Term Incentive Plan.</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Form of QEP Midstream Partners, LP 2013 Long-Term Incentive Plan Phantom Unit Award Agreement.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Omnibus Agreement, dated as of August 14, 2013, by and among QEP Midstream Partners, LP, QEP Midstream Partners GP, LLC,</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Resources, Inc., QEP Field Services Company and QEP Midstream Partners Operating, LLC.</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Form of Indemnification Agreement for directors and officers.</w:t>
            </w:r>
          </w:p>
        </w:tc>
      </w:tr>
      <w:tr>
        <w:trPr>
          <w:trHeight w:val="243"/>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740" w:type="dxa"/>
            <w:vAlign w:val="bottom"/>
          </w:tcPr>
          <w:p>
            <w:pPr>
              <w:spacing w:after="0"/>
              <w:rPr>
                <w:sz w:val="21"/>
                <w:szCs w:val="21"/>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Schema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67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428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080"/>
          </w:cols>
          <w:pgMar w:left="240" w:top="580" w:right="5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3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46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246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55"/>
        </w:trPr>
        <w:tc>
          <w:tcPr>
            <w:tcW w:w="1340" w:type="dxa"/>
            <w:vAlign w:val="bottom"/>
            <w:tcBorders>
              <w:top w:val="single" w:sz="8" w:color="auto"/>
            </w:tcBorders>
          </w:tcPr>
          <w:p>
            <w:pPr>
              <w:spacing w:after="0"/>
              <w:rPr>
                <w:sz w:val="4"/>
                <w:szCs w:val="4"/>
                <w:color w:val="auto"/>
              </w:rPr>
            </w:pPr>
          </w:p>
        </w:tc>
        <w:tc>
          <w:tcPr>
            <w:tcW w:w="2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43"/>
        </w:trPr>
        <w:tc>
          <w:tcPr>
            <w:tcW w:w="1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3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46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246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55"/>
        </w:trPr>
        <w:tc>
          <w:tcPr>
            <w:tcW w:w="1340" w:type="dxa"/>
            <w:vAlign w:val="bottom"/>
            <w:tcBorders>
              <w:top w:val="single" w:sz="8" w:color="auto"/>
            </w:tcBorders>
          </w:tcPr>
          <w:p>
            <w:pPr>
              <w:spacing w:after="0"/>
              <w:rPr>
                <w:sz w:val="4"/>
                <w:szCs w:val="4"/>
                <w:color w:val="auto"/>
              </w:rPr>
            </w:pPr>
          </w:p>
        </w:tc>
        <w:tc>
          <w:tcPr>
            <w:tcW w:w="2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43"/>
        </w:trPr>
        <w:tc>
          <w:tcPr>
            <w:tcW w:w="1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3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0"/>
        </w:trPr>
        <w:tc>
          <w:tcPr>
            <w:tcW w:w="13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74736BAB7</w:t>
      </w:r>
    </w:p>
    <w:p>
      <w:pPr>
        <w:spacing w:after="0" w:line="32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CREDIT AGREEMENT</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August 14, 2013</w:t>
      </w:r>
    </w:p>
    <w:p>
      <w:pPr>
        <w:spacing w:after="0" w:line="17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6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QEP MIDSTREAM PARTNERS OPERATING, LLC,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the Borrower</w:t>
      </w:r>
    </w:p>
    <w:p>
      <w:pPr>
        <w:spacing w:after="0" w:line="15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QEP MIDSTREAM PARTNERS, LP,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as Parent Guarantor</w:t>
      </w:r>
    </w:p>
    <w:p>
      <w:pPr>
        <w:spacing w:after="0" w:line="15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and Swing Line Lender,</w:t>
      </w:r>
    </w:p>
    <w:p>
      <w:pPr>
        <w:spacing w:after="0" w:line="15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and L/C Issuers Party Hereto</w:t>
      </w:r>
    </w:p>
    <w:p>
      <w:pPr>
        <w:spacing w:after="0" w:line="200" w:lineRule="exact"/>
        <w:rPr>
          <w:sz w:val="20"/>
          <w:szCs w:val="20"/>
          <w:color w:val="auto"/>
        </w:rPr>
      </w:pPr>
    </w:p>
    <w:p>
      <w:pPr>
        <w:spacing w:after="0" w:line="37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CITIGROUP GLOBAL MARKETS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 MORGAN SECURITIES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Joint Bookrunners</w:t>
      </w:r>
    </w:p>
    <w:p>
      <w:pPr>
        <w:spacing w:after="0" w:line="15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CITIGROUP GLOBAL MARKETS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SECURITIES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 MORGAN SECURITIES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Joint Lead Arrangers</w:t>
      </w:r>
    </w:p>
    <w:p>
      <w:pPr>
        <w:spacing w:after="0" w:line="15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Co-Syndication Agents</w:t>
      </w:r>
    </w:p>
    <w:p>
      <w:pPr>
        <w:spacing w:after="0" w:line="15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Co-Documentation Agents</w:t>
      </w:r>
    </w:p>
    <w:p>
      <w:pPr>
        <w:sectPr>
          <w:pgSz w:w="11900" w:h="16838" w:orient="portrait"/>
          <w:cols w:equalWidth="0" w:num="1">
            <w:col w:w="10220"/>
          </w:cols>
          <w:pgMar w:left="1440" w:top="58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020" w:type="dxa"/>
            <w:vAlign w:val="bottom"/>
          </w:tcPr>
          <w:p>
            <w:pPr>
              <w:ind w:left="4280"/>
              <w:spacing w:after="0"/>
              <w:rPr>
                <w:sz w:val="20"/>
                <w:szCs w:val="20"/>
                <w:color w:val="auto"/>
              </w:rPr>
            </w:pPr>
            <w:r>
              <w:rPr>
                <w:rFonts w:ascii="Arial" w:cs="Arial" w:eastAsia="Arial" w:hAnsi="Arial"/>
                <w:sz w:val="18"/>
                <w:szCs w:val="18"/>
                <w:b w:val="1"/>
                <w:bCs w:val="1"/>
                <w:color w:val="auto"/>
              </w:rPr>
              <w:t>TABLE OF CONTENTS</w:t>
            </w:r>
          </w:p>
        </w:tc>
        <w:tc>
          <w:tcPr>
            <w:tcW w:w="2820" w:type="dxa"/>
            <w:vAlign w:val="bottom"/>
          </w:tcPr>
          <w:p>
            <w:pPr>
              <w:spacing w:after="0"/>
              <w:rPr>
                <w:sz w:val="20"/>
                <w:szCs w:val="20"/>
                <w:color w:val="auto"/>
              </w:rPr>
            </w:pPr>
          </w:p>
        </w:tc>
      </w:tr>
      <w:tr>
        <w:trPr>
          <w:trHeight w:val="839"/>
        </w:trPr>
        <w:tc>
          <w:tcPr>
            <w:tcW w:w="440" w:type="dxa"/>
            <w:vAlign w:val="bottom"/>
          </w:tcPr>
          <w:p>
            <w:pPr>
              <w:spacing w:after="0"/>
              <w:rPr>
                <w:sz w:val="20"/>
                <w:szCs w:val="20"/>
                <w:color w:val="auto"/>
              </w:rPr>
            </w:pPr>
            <w:r>
              <w:rPr>
                <w:rFonts w:ascii="Arial" w:cs="Arial" w:eastAsia="Arial" w:hAnsi="Arial"/>
                <w:sz w:val="14"/>
                <w:szCs w:val="14"/>
                <w:b w:val="1"/>
                <w:bCs w:val="1"/>
                <w:color w:val="auto"/>
                <w:w w:val="82"/>
              </w:rPr>
              <w:t>Section</w:t>
            </w:r>
          </w:p>
        </w:tc>
        <w:tc>
          <w:tcPr>
            <w:tcW w:w="8020" w:type="dxa"/>
            <w:vAlign w:val="bottom"/>
          </w:tcPr>
          <w:p>
            <w:pPr>
              <w:spacing w:after="0"/>
              <w:rPr>
                <w:sz w:val="24"/>
                <w:szCs w:val="24"/>
                <w:color w:val="auto"/>
              </w:rPr>
            </w:pPr>
          </w:p>
        </w:tc>
        <w:tc>
          <w:tcPr>
            <w:tcW w:w="2820" w:type="dxa"/>
            <w:vAlign w:val="bottom"/>
          </w:tcPr>
          <w:p>
            <w:pPr>
              <w:jc w:val="right"/>
              <w:ind w:right="631"/>
              <w:spacing w:after="0"/>
              <w:rPr>
                <w:sz w:val="20"/>
                <w:szCs w:val="20"/>
                <w:color w:val="auto"/>
              </w:rPr>
            </w:pPr>
            <w:r>
              <w:rPr>
                <w:rFonts w:ascii="Arial" w:cs="Arial" w:eastAsia="Arial" w:hAnsi="Arial"/>
                <w:sz w:val="14"/>
                <w:szCs w:val="14"/>
                <w:b w:val="1"/>
                <w:bCs w:val="1"/>
                <w:color w:val="auto"/>
              </w:rPr>
              <w:t>Page</w:t>
            </w:r>
          </w:p>
        </w:tc>
      </w:tr>
      <w:tr>
        <w:trPr>
          <w:trHeight w:val="579"/>
        </w:trPr>
        <w:tc>
          <w:tcPr>
            <w:tcW w:w="8460" w:type="dxa"/>
            <w:vAlign w:val="bottom"/>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8020" w:type="dxa"/>
            <w:vAlign w:val="bottom"/>
          </w:tcPr>
          <w:p>
            <w:pPr>
              <w:ind w:left="20"/>
              <w:spacing w:after="0"/>
              <w:rPr>
                <w:sz w:val="20"/>
                <w:szCs w:val="20"/>
                <w:color w:val="auto"/>
              </w:rPr>
            </w:pPr>
            <w:r>
              <w:rPr>
                <w:rFonts w:ascii="Arial" w:cs="Arial" w:eastAsia="Arial" w:hAnsi="Arial"/>
                <w:sz w:val="18"/>
                <w:szCs w:val="18"/>
                <w:color w:val="auto"/>
              </w:rPr>
              <w:t>Defined Terms</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1.02</w:t>
            </w:r>
          </w:p>
        </w:tc>
        <w:tc>
          <w:tcPr>
            <w:tcW w:w="8020" w:type="dxa"/>
            <w:vAlign w:val="bottom"/>
          </w:tcPr>
          <w:p>
            <w:pPr>
              <w:ind w:left="20"/>
              <w:spacing w:after="0"/>
              <w:rPr>
                <w:sz w:val="20"/>
                <w:szCs w:val="20"/>
                <w:color w:val="auto"/>
              </w:rPr>
            </w:pPr>
            <w:r>
              <w:rPr>
                <w:rFonts w:ascii="Arial" w:cs="Arial" w:eastAsia="Arial" w:hAnsi="Arial"/>
                <w:sz w:val="18"/>
                <w:szCs w:val="18"/>
                <w:color w:val="auto"/>
              </w:rPr>
              <w:t>Other Interpretive Provisions</w:t>
            </w:r>
          </w:p>
        </w:tc>
        <w:tc>
          <w:tcPr>
            <w:tcW w:w="2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1.03</w:t>
            </w:r>
          </w:p>
        </w:tc>
        <w:tc>
          <w:tcPr>
            <w:tcW w:w="8020" w:type="dxa"/>
            <w:vAlign w:val="bottom"/>
          </w:tcPr>
          <w:p>
            <w:pPr>
              <w:ind w:left="20"/>
              <w:spacing w:after="0"/>
              <w:rPr>
                <w:sz w:val="20"/>
                <w:szCs w:val="20"/>
                <w:color w:val="auto"/>
              </w:rPr>
            </w:pPr>
            <w:r>
              <w:rPr>
                <w:rFonts w:ascii="Arial" w:cs="Arial" w:eastAsia="Arial" w:hAnsi="Arial"/>
                <w:sz w:val="18"/>
                <w:szCs w:val="18"/>
                <w:color w:val="auto"/>
              </w:rPr>
              <w:t>Accounting Terms</w:t>
            </w:r>
          </w:p>
        </w:tc>
        <w:tc>
          <w:tcPr>
            <w:tcW w:w="2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1.04</w:t>
            </w:r>
          </w:p>
        </w:tc>
        <w:tc>
          <w:tcPr>
            <w:tcW w:w="8020" w:type="dxa"/>
            <w:vAlign w:val="bottom"/>
          </w:tcPr>
          <w:p>
            <w:pPr>
              <w:ind w:left="20"/>
              <w:spacing w:after="0"/>
              <w:rPr>
                <w:sz w:val="20"/>
                <w:szCs w:val="20"/>
                <w:color w:val="auto"/>
              </w:rPr>
            </w:pPr>
            <w:r>
              <w:rPr>
                <w:rFonts w:ascii="Arial" w:cs="Arial" w:eastAsia="Arial" w:hAnsi="Arial"/>
                <w:sz w:val="18"/>
                <w:szCs w:val="18"/>
                <w:color w:val="auto"/>
              </w:rPr>
              <w:t>Rounding</w:t>
            </w:r>
          </w:p>
        </w:tc>
        <w:tc>
          <w:tcPr>
            <w:tcW w:w="2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1.05</w:t>
            </w:r>
          </w:p>
        </w:tc>
        <w:tc>
          <w:tcPr>
            <w:tcW w:w="8020" w:type="dxa"/>
            <w:vAlign w:val="bottom"/>
          </w:tcPr>
          <w:p>
            <w:pPr>
              <w:ind w:left="20"/>
              <w:spacing w:after="0"/>
              <w:rPr>
                <w:sz w:val="20"/>
                <w:szCs w:val="20"/>
                <w:color w:val="auto"/>
              </w:rPr>
            </w:pPr>
            <w:r>
              <w:rPr>
                <w:rFonts w:ascii="Arial" w:cs="Arial" w:eastAsia="Arial" w:hAnsi="Arial"/>
                <w:sz w:val="18"/>
                <w:szCs w:val="18"/>
                <w:color w:val="auto"/>
              </w:rPr>
              <w:t>References to Agreements and Laws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1.06</w:t>
            </w:r>
          </w:p>
        </w:tc>
        <w:tc>
          <w:tcPr>
            <w:tcW w:w="8020" w:type="dxa"/>
            <w:vAlign w:val="bottom"/>
          </w:tcPr>
          <w:p>
            <w:pPr>
              <w:ind w:left="20"/>
              <w:spacing w:after="0"/>
              <w:rPr>
                <w:sz w:val="20"/>
                <w:szCs w:val="20"/>
                <w:color w:val="auto"/>
              </w:rPr>
            </w:pPr>
            <w:r>
              <w:rPr>
                <w:rFonts w:ascii="Arial" w:cs="Arial" w:eastAsia="Arial" w:hAnsi="Arial"/>
                <w:sz w:val="18"/>
                <w:szCs w:val="18"/>
                <w:color w:val="auto"/>
              </w:rPr>
              <w:t>Times of Day</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1.07</w:t>
            </w:r>
          </w:p>
        </w:tc>
        <w:tc>
          <w:tcPr>
            <w:tcW w:w="8020" w:type="dxa"/>
            <w:vAlign w:val="bottom"/>
          </w:tcPr>
          <w:p>
            <w:pPr>
              <w:ind w:left="20"/>
              <w:spacing w:after="0"/>
              <w:rPr>
                <w:sz w:val="20"/>
                <w:szCs w:val="20"/>
                <w:color w:val="auto"/>
              </w:rPr>
            </w:pPr>
            <w:r>
              <w:rPr>
                <w:rFonts w:ascii="Arial" w:cs="Arial" w:eastAsia="Arial" w:hAnsi="Arial"/>
                <w:sz w:val="18"/>
                <w:szCs w:val="18"/>
                <w:color w:val="auto"/>
              </w:rPr>
              <w:t>Letter of Credit Amounts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94"/>
        </w:trPr>
        <w:tc>
          <w:tcPr>
            <w:tcW w:w="846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2.01</w:t>
            </w:r>
          </w:p>
        </w:tc>
        <w:tc>
          <w:tcPr>
            <w:tcW w:w="8020" w:type="dxa"/>
            <w:vAlign w:val="bottom"/>
          </w:tcPr>
          <w:p>
            <w:pPr>
              <w:ind w:left="20"/>
              <w:spacing w:after="0"/>
              <w:rPr>
                <w:sz w:val="20"/>
                <w:szCs w:val="20"/>
                <w:color w:val="auto"/>
              </w:rPr>
            </w:pPr>
            <w:r>
              <w:rPr>
                <w:rFonts w:ascii="Arial" w:cs="Arial" w:eastAsia="Arial" w:hAnsi="Arial"/>
                <w:sz w:val="18"/>
                <w:szCs w:val="18"/>
                <w:color w:val="auto"/>
              </w:rPr>
              <w:t>Loans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2.02</w:t>
            </w:r>
          </w:p>
        </w:tc>
        <w:tc>
          <w:tcPr>
            <w:tcW w:w="8020" w:type="dxa"/>
            <w:vAlign w:val="bottom"/>
          </w:tcPr>
          <w:p>
            <w:pPr>
              <w:ind w:left="20"/>
              <w:spacing w:after="0"/>
              <w:rPr>
                <w:sz w:val="20"/>
                <w:szCs w:val="20"/>
                <w:color w:val="auto"/>
              </w:rPr>
            </w:pPr>
            <w:r>
              <w:rPr>
                <w:rFonts w:ascii="Arial" w:cs="Arial" w:eastAsia="Arial" w:hAnsi="Arial"/>
                <w:sz w:val="18"/>
                <w:szCs w:val="18"/>
                <w:color w:val="auto"/>
              </w:rPr>
              <w:t>Borrowings, Conversions and Continuations of Loans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2.03</w:t>
            </w:r>
          </w:p>
        </w:tc>
        <w:tc>
          <w:tcPr>
            <w:tcW w:w="8020" w:type="dxa"/>
            <w:vAlign w:val="bottom"/>
          </w:tcPr>
          <w:p>
            <w:pPr>
              <w:ind w:left="20"/>
              <w:spacing w:after="0"/>
              <w:rPr>
                <w:sz w:val="20"/>
                <w:szCs w:val="20"/>
                <w:color w:val="auto"/>
              </w:rPr>
            </w:pPr>
            <w:r>
              <w:rPr>
                <w:rFonts w:ascii="Arial" w:cs="Arial" w:eastAsia="Arial" w:hAnsi="Arial"/>
                <w:sz w:val="18"/>
                <w:szCs w:val="18"/>
                <w:color w:val="auto"/>
              </w:rPr>
              <w:t>Letters of Credit</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2.04</w:t>
            </w:r>
          </w:p>
        </w:tc>
        <w:tc>
          <w:tcPr>
            <w:tcW w:w="8020" w:type="dxa"/>
            <w:vAlign w:val="bottom"/>
          </w:tcPr>
          <w:p>
            <w:pPr>
              <w:ind w:left="20"/>
              <w:spacing w:after="0"/>
              <w:rPr>
                <w:sz w:val="20"/>
                <w:szCs w:val="20"/>
                <w:color w:val="auto"/>
              </w:rPr>
            </w:pPr>
            <w:r>
              <w:rPr>
                <w:rFonts w:ascii="Arial" w:cs="Arial" w:eastAsia="Arial" w:hAnsi="Arial"/>
                <w:sz w:val="18"/>
                <w:szCs w:val="18"/>
                <w:color w:val="auto"/>
              </w:rPr>
              <w:t>Swing Line Loans</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2.05</w:t>
            </w:r>
          </w:p>
        </w:tc>
        <w:tc>
          <w:tcPr>
            <w:tcW w:w="8020" w:type="dxa"/>
            <w:vAlign w:val="bottom"/>
          </w:tcPr>
          <w:p>
            <w:pPr>
              <w:ind w:left="20"/>
              <w:spacing w:after="0"/>
              <w:rPr>
                <w:sz w:val="20"/>
                <w:szCs w:val="20"/>
                <w:color w:val="auto"/>
              </w:rPr>
            </w:pPr>
            <w:r>
              <w:rPr>
                <w:rFonts w:ascii="Arial" w:cs="Arial" w:eastAsia="Arial" w:hAnsi="Arial"/>
                <w:sz w:val="18"/>
                <w:szCs w:val="18"/>
                <w:color w:val="auto"/>
              </w:rPr>
              <w:t>Prepayments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2.06</w:t>
            </w:r>
          </w:p>
        </w:tc>
        <w:tc>
          <w:tcPr>
            <w:tcW w:w="8020" w:type="dxa"/>
            <w:vAlign w:val="bottom"/>
          </w:tcPr>
          <w:p>
            <w:pPr>
              <w:ind w:left="20"/>
              <w:spacing w:after="0"/>
              <w:rPr>
                <w:sz w:val="20"/>
                <w:szCs w:val="20"/>
                <w:color w:val="auto"/>
              </w:rPr>
            </w:pPr>
            <w:r>
              <w:rPr>
                <w:rFonts w:ascii="Arial" w:cs="Arial" w:eastAsia="Arial" w:hAnsi="Arial"/>
                <w:sz w:val="18"/>
                <w:szCs w:val="18"/>
                <w:color w:val="auto"/>
              </w:rPr>
              <w:t>Termination or Reduction of Commitments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2.07</w:t>
            </w:r>
          </w:p>
        </w:tc>
        <w:tc>
          <w:tcPr>
            <w:tcW w:w="8020" w:type="dxa"/>
            <w:vAlign w:val="bottom"/>
          </w:tcPr>
          <w:p>
            <w:pPr>
              <w:ind w:left="20"/>
              <w:spacing w:after="0"/>
              <w:rPr>
                <w:sz w:val="20"/>
                <w:szCs w:val="20"/>
                <w:color w:val="auto"/>
              </w:rPr>
            </w:pPr>
            <w:r>
              <w:rPr>
                <w:rFonts w:ascii="Arial" w:cs="Arial" w:eastAsia="Arial" w:hAnsi="Arial"/>
                <w:sz w:val="18"/>
                <w:szCs w:val="18"/>
                <w:color w:val="auto"/>
              </w:rPr>
              <w:t>Repayment of Loans and Swing Line Loans</w:t>
            </w:r>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2.08</w:t>
            </w:r>
          </w:p>
        </w:tc>
        <w:tc>
          <w:tcPr>
            <w:tcW w:w="8020" w:type="dxa"/>
            <w:vAlign w:val="bottom"/>
          </w:tcPr>
          <w:p>
            <w:pPr>
              <w:ind w:left="20"/>
              <w:spacing w:after="0"/>
              <w:rPr>
                <w:sz w:val="20"/>
                <w:szCs w:val="20"/>
                <w:color w:val="auto"/>
              </w:rPr>
            </w:pPr>
            <w:r>
              <w:rPr>
                <w:rFonts w:ascii="Arial" w:cs="Arial" w:eastAsia="Arial" w:hAnsi="Arial"/>
                <w:sz w:val="18"/>
                <w:szCs w:val="18"/>
                <w:color w:val="auto"/>
              </w:rPr>
              <w:t>Interest</w:t>
            </w:r>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2.09</w:t>
            </w:r>
          </w:p>
        </w:tc>
        <w:tc>
          <w:tcPr>
            <w:tcW w:w="8020" w:type="dxa"/>
            <w:vAlign w:val="bottom"/>
          </w:tcPr>
          <w:p>
            <w:pPr>
              <w:ind w:left="20"/>
              <w:spacing w:after="0"/>
              <w:rPr>
                <w:sz w:val="20"/>
                <w:szCs w:val="20"/>
                <w:color w:val="auto"/>
              </w:rPr>
            </w:pPr>
            <w:r>
              <w:rPr>
                <w:rFonts w:ascii="Arial" w:cs="Arial" w:eastAsia="Arial" w:hAnsi="Arial"/>
                <w:sz w:val="18"/>
                <w:szCs w:val="18"/>
                <w:color w:val="auto"/>
              </w:rPr>
              <w:t>Fees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2.10</w:t>
            </w:r>
          </w:p>
        </w:tc>
        <w:tc>
          <w:tcPr>
            <w:tcW w:w="8020" w:type="dxa"/>
            <w:vAlign w:val="bottom"/>
          </w:tcPr>
          <w:p>
            <w:pPr>
              <w:ind w:left="20"/>
              <w:spacing w:after="0"/>
              <w:rPr>
                <w:sz w:val="20"/>
                <w:szCs w:val="20"/>
                <w:color w:val="auto"/>
              </w:rPr>
            </w:pPr>
            <w:r>
              <w:rPr>
                <w:rFonts w:ascii="Arial" w:cs="Arial" w:eastAsia="Arial" w:hAnsi="Arial"/>
                <w:sz w:val="18"/>
                <w:szCs w:val="18"/>
                <w:color w:val="auto"/>
              </w:rPr>
              <w:t>Computation of Interest and Fees</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2.11</w:t>
            </w:r>
          </w:p>
        </w:tc>
        <w:tc>
          <w:tcPr>
            <w:tcW w:w="8020" w:type="dxa"/>
            <w:vAlign w:val="bottom"/>
          </w:tcPr>
          <w:p>
            <w:pPr>
              <w:ind w:left="20"/>
              <w:spacing w:after="0"/>
              <w:rPr>
                <w:sz w:val="20"/>
                <w:szCs w:val="20"/>
                <w:color w:val="auto"/>
              </w:rPr>
            </w:pPr>
            <w:r>
              <w:rPr>
                <w:rFonts w:ascii="Arial" w:cs="Arial" w:eastAsia="Arial" w:hAnsi="Arial"/>
                <w:sz w:val="18"/>
                <w:szCs w:val="18"/>
                <w:color w:val="auto"/>
              </w:rPr>
              <w:t>Evidence of Debt</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2.12</w:t>
            </w:r>
          </w:p>
        </w:tc>
        <w:tc>
          <w:tcPr>
            <w:tcW w:w="8020" w:type="dxa"/>
            <w:vAlign w:val="bottom"/>
          </w:tcPr>
          <w:p>
            <w:pPr>
              <w:ind w:left="20"/>
              <w:spacing w:after="0"/>
              <w:rPr>
                <w:sz w:val="20"/>
                <w:szCs w:val="20"/>
                <w:color w:val="auto"/>
              </w:rPr>
            </w:pPr>
            <w:r>
              <w:rPr>
                <w:rFonts w:ascii="Arial" w:cs="Arial" w:eastAsia="Arial" w:hAnsi="Arial"/>
                <w:sz w:val="18"/>
                <w:szCs w:val="18"/>
                <w:color w:val="auto"/>
              </w:rPr>
              <w:t>Payments Generally</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2.13</w:t>
            </w:r>
          </w:p>
        </w:tc>
        <w:tc>
          <w:tcPr>
            <w:tcW w:w="8020" w:type="dxa"/>
            <w:vAlign w:val="bottom"/>
          </w:tcPr>
          <w:p>
            <w:pPr>
              <w:ind w:left="20"/>
              <w:spacing w:after="0"/>
              <w:rPr>
                <w:sz w:val="20"/>
                <w:szCs w:val="20"/>
                <w:color w:val="auto"/>
              </w:rPr>
            </w:pPr>
            <w:r>
              <w:rPr>
                <w:rFonts w:ascii="Arial" w:cs="Arial" w:eastAsia="Arial" w:hAnsi="Arial"/>
                <w:sz w:val="18"/>
                <w:szCs w:val="18"/>
                <w:color w:val="auto"/>
              </w:rPr>
              <w:t>Sharing of Payments by Lenders</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2.14</w:t>
            </w:r>
          </w:p>
        </w:tc>
        <w:tc>
          <w:tcPr>
            <w:tcW w:w="8020" w:type="dxa"/>
            <w:vAlign w:val="bottom"/>
          </w:tcPr>
          <w:p>
            <w:pPr>
              <w:ind w:left="20"/>
              <w:spacing w:after="0"/>
              <w:rPr>
                <w:sz w:val="20"/>
                <w:szCs w:val="20"/>
                <w:color w:val="auto"/>
              </w:rPr>
            </w:pPr>
            <w:r>
              <w:rPr>
                <w:rFonts w:ascii="Arial" w:cs="Arial" w:eastAsia="Arial" w:hAnsi="Arial"/>
                <w:sz w:val="18"/>
                <w:szCs w:val="18"/>
                <w:color w:val="auto"/>
              </w:rPr>
              <w:t>Increase in Commitments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w w:val="96"/>
              </w:rPr>
              <w:t>2.15</w:t>
            </w:r>
          </w:p>
        </w:tc>
        <w:tc>
          <w:tcPr>
            <w:tcW w:w="8020" w:type="dxa"/>
            <w:vAlign w:val="bottom"/>
          </w:tcPr>
          <w:p>
            <w:pPr>
              <w:ind w:left="20"/>
              <w:spacing w:after="0"/>
              <w:rPr>
                <w:sz w:val="20"/>
                <w:szCs w:val="20"/>
                <w:color w:val="auto"/>
              </w:rPr>
            </w:pPr>
            <w:r>
              <w:rPr>
                <w:rFonts w:ascii="Arial" w:cs="Arial" w:eastAsia="Arial" w:hAnsi="Arial"/>
                <w:sz w:val="18"/>
                <w:szCs w:val="18"/>
                <w:color w:val="auto"/>
              </w:rPr>
              <w:t>Defaulting Lenders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594"/>
        </w:trPr>
        <w:tc>
          <w:tcPr>
            <w:tcW w:w="846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2820" w:type="dxa"/>
            <w:vAlign w:val="bottom"/>
          </w:tcPr>
          <w:p>
            <w:pPr>
              <w:jc w:val="right"/>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280"/>
          </w:cols>
          <w:pgMar w:left="280" w:top="797"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96"/>
              </w:rPr>
              <w:t>3.01</w:t>
            </w:r>
          </w:p>
        </w:tc>
        <w:tc>
          <w:tcPr>
            <w:tcW w:w="8680" w:type="dxa"/>
            <w:vAlign w:val="bottom"/>
          </w:tcPr>
          <w:p>
            <w:pPr>
              <w:ind w:left="60"/>
              <w:spacing w:after="0"/>
              <w:rPr>
                <w:sz w:val="20"/>
                <w:szCs w:val="20"/>
                <w:color w:val="auto"/>
              </w:rPr>
            </w:pPr>
            <w:r>
              <w:rPr>
                <w:rFonts w:ascii="Arial" w:cs="Arial" w:eastAsia="Arial" w:hAnsi="Arial"/>
                <w:sz w:val="18"/>
                <w:szCs w:val="18"/>
                <w:color w:val="auto"/>
              </w:rPr>
              <w:t>Taxes</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3.02</w:t>
            </w:r>
          </w:p>
        </w:tc>
        <w:tc>
          <w:tcPr>
            <w:tcW w:w="868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2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3.03</w:t>
            </w:r>
          </w:p>
        </w:tc>
        <w:tc>
          <w:tcPr>
            <w:tcW w:w="8680" w:type="dxa"/>
            <w:vAlign w:val="bottom"/>
          </w:tcPr>
          <w:p>
            <w:pPr>
              <w:ind w:left="60"/>
              <w:spacing w:after="0"/>
              <w:rPr>
                <w:sz w:val="20"/>
                <w:szCs w:val="20"/>
                <w:color w:val="auto"/>
              </w:rPr>
            </w:pPr>
            <w:r>
              <w:rPr>
                <w:rFonts w:ascii="Arial" w:cs="Arial" w:eastAsia="Arial" w:hAnsi="Arial"/>
                <w:sz w:val="18"/>
                <w:szCs w:val="18"/>
                <w:color w:val="auto"/>
              </w:rPr>
              <w:t>Inability to Determine Rates</w:t>
            </w:r>
          </w:p>
        </w:tc>
        <w:tc>
          <w:tcPr>
            <w:tcW w:w="2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3.04</w:t>
            </w:r>
          </w:p>
        </w:tc>
        <w:tc>
          <w:tcPr>
            <w:tcW w:w="8680" w:type="dxa"/>
            <w:vAlign w:val="bottom"/>
          </w:tcPr>
          <w:p>
            <w:pPr>
              <w:ind w:left="60"/>
              <w:spacing w:after="0"/>
              <w:rPr>
                <w:sz w:val="20"/>
                <w:szCs w:val="20"/>
                <w:color w:val="auto"/>
              </w:rPr>
            </w:pPr>
            <w:r>
              <w:rPr>
                <w:rFonts w:ascii="Arial" w:cs="Arial" w:eastAsia="Arial" w:hAnsi="Arial"/>
                <w:sz w:val="18"/>
                <w:szCs w:val="18"/>
                <w:color w:val="auto"/>
              </w:rPr>
              <w:t>Increased Cost and Reduced Return; Capital Adequacy; Reserves on Eurodollar Rate Loans</w:t>
            </w:r>
          </w:p>
        </w:tc>
        <w:tc>
          <w:tcPr>
            <w:tcW w:w="2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3.05</w:t>
            </w:r>
          </w:p>
        </w:tc>
        <w:tc>
          <w:tcPr>
            <w:tcW w:w="8680" w:type="dxa"/>
            <w:vAlign w:val="bottom"/>
          </w:tcPr>
          <w:p>
            <w:pPr>
              <w:ind w:left="60"/>
              <w:spacing w:after="0"/>
              <w:rPr>
                <w:sz w:val="20"/>
                <w:szCs w:val="20"/>
                <w:color w:val="auto"/>
              </w:rPr>
            </w:pPr>
            <w:r>
              <w:rPr>
                <w:rFonts w:ascii="Arial" w:cs="Arial" w:eastAsia="Arial" w:hAnsi="Arial"/>
                <w:sz w:val="18"/>
                <w:szCs w:val="18"/>
                <w:color w:val="auto"/>
              </w:rPr>
              <w:t>Compensation for Losses</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3.06</w:t>
            </w:r>
          </w:p>
        </w:tc>
        <w:tc>
          <w:tcPr>
            <w:tcW w:w="8680" w:type="dxa"/>
            <w:vAlign w:val="bottom"/>
          </w:tcPr>
          <w:p>
            <w:pPr>
              <w:ind w:left="60"/>
              <w:spacing w:after="0"/>
              <w:rPr>
                <w:sz w:val="20"/>
                <w:szCs w:val="20"/>
                <w:color w:val="auto"/>
              </w:rPr>
            </w:pPr>
            <w:r>
              <w:rPr>
                <w:rFonts w:ascii="Arial" w:cs="Arial" w:eastAsia="Arial" w:hAnsi="Arial"/>
                <w:sz w:val="18"/>
                <w:szCs w:val="18"/>
                <w:color w:val="auto"/>
              </w:rPr>
              <w:t>Matters Applicable to all Requests for Compensation.</w:t>
            </w:r>
          </w:p>
        </w:tc>
        <w:tc>
          <w:tcPr>
            <w:tcW w:w="2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3.07</w:t>
            </w:r>
          </w:p>
        </w:tc>
        <w:tc>
          <w:tcPr>
            <w:tcW w:w="8680" w:type="dxa"/>
            <w:vAlign w:val="bottom"/>
          </w:tcPr>
          <w:p>
            <w:pPr>
              <w:ind w:left="60"/>
              <w:spacing w:after="0"/>
              <w:rPr>
                <w:sz w:val="20"/>
                <w:szCs w:val="20"/>
                <w:color w:val="auto"/>
              </w:rPr>
            </w:pPr>
            <w:r>
              <w:rPr>
                <w:rFonts w:ascii="Arial" w:cs="Arial" w:eastAsia="Arial" w:hAnsi="Arial"/>
                <w:sz w:val="18"/>
                <w:szCs w:val="18"/>
                <w:color w:val="auto"/>
              </w:rPr>
              <w:t>Survival</w:t>
            </w:r>
          </w:p>
        </w:tc>
        <w:tc>
          <w:tcPr>
            <w:tcW w:w="2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594"/>
        </w:trPr>
        <w:tc>
          <w:tcPr>
            <w:tcW w:w="9080" w:type="dxa"/>
            <w:vAlign w:val="bottom"/>
            <w:gridSpan w:val="2"/>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2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4.01</w:t>
            </w:r>
          </w:p>
        </w:tc>
        <w:tc>
          <w:tcPr>
            <w:tcW w:w="8680" w:type="dxa"/>
            <w:vAlign w:val="bottom"/>
          </w:tcPr>
          <w:p>
            <w:pPr>
              <w:ind w:left="60"/>
              <w:spacing w:after="0"/>
              <w:rPr>
                <w:sz w:val="20"/>
                <w:szCs w:val="20"/>
                <w:color w:val="auto"/>
              </w:rPr>
            </w:pPr>
            <w:r>
              <w:rPr>
                <w:rFonts w:ascii="Arial" w:cs="Arial" w:eastAsia="Arial" w:hAnsi="Arial"/>
                <w:sz w:val="18"/>
                <w:szCs w:val="18"/>
                <w:color w:val="auto"/>
              </w:rPr>
              <w:t>Conditions to Effectiveness of this Agreement (Execution Date)</w:t>
            </w:r>
          </w:p>
        </w:tc>
        <w:tc>
          <w:tcPr>
            <w:tcW w:w="2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4.02</w:t>
            </w:r>
          </w:p>
        </w:tc>
        <w:tc>
          <w:tcPr>
            <w:tcW w:w="8680" w:type="dxa"/>
            <w:vAlign w:val="bottom"/>
          </w:tcPr>
          <w:p>
            <w:pPr>
              <w:ind w:left="60"/>
              <w:spacing w:after="0"/>
              <w:rPr>
                <w:sz w:val="20"/>
                <w:szCs w:val="20"/>
                <w:color w:val="auto"/>
              </w:rPr>
            </w:pPr>
            <w:r>
              <w:rPr>
                <w:rFonts w:ascii="Arial" w:cs="Arial" w:eastAsia="Arial" w:hAnsi="Arial"/>
                <w:sz w:val="18"/>
                <w:szCs w:val="18"/>
                <w:color w:val="auto"/>
              </w:rPr>
              <w:t>Conditions of the Closing Date</w:t>
            </w:r>
          </w:p>
        </w:tc>
        <w:tc>
          <w:tcPr>
            <w:tcW w:w="2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4.03</w:t>
            </w:r>
          </w:p>
        </w:tc>
        <w:tc>
          <w:tcPr>
            <w:tcW w:w="8680" w:type="dxa"/>
            <w:vAlign w:val="bottom"/>
          </w:tcPr>
          <w:p>
            <w:pPr>
              <w:ind w:left="60"/>
              <w:spacing w:after="0"/>
              <w:rPr>
                <w:sz w:val="20"/>
                <w:szCs w:val="20"/>
                <w:color w:val="auto"/>
              </w:rPr>
            </w:pPr>
            <w:r>
              <w:rPr>
                <w:rFonts w:ascii="Arial" w:cs="Arial" w:eastAsia="Arial" w:hAnsi="Arial"/>
                <w:sz w:val="18"/>
                <w:szCs w:val="18"/>
                <w:color w:val="auto"/>
              </w:rPr>
              <w:t>Conditions to all Credit Extensions</w:t>
            </w: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594"/>
        </w:trPr>
        <w:tc>
          <w:tcPr>
            <w:tcW w:w="908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5.01</w:t>
            </w:r>
          </w:p>
        </w:tc>
        <w:tc>
          <w:tcPr>
            <w:tcW w:w="8680" w:type="dxa"/>
            <w:vAlign w:val="bottom"/>
          </w:tcPr>
          <w:p>
            <w:pPr>
              <w:ind w:left="60"/>
              <w:spacing w:after="0"/>
              <w:rPr>
                <w:sz w:val="20"/>
                <w:szCs w:val="20"/>
                <w:color w:val="auto"/>
              </w:rPr>
            </w:pPr>
            <w:r>
              <w:rPr>
                <w:rFonts w:ascii="Arial" w:cs="Arial" w:eastAsia="Arial" w:hAnsi="Arial"/>
                <w:sz w:val="18"/>
                <w:szCs w:val="18"/>
                <w:color w:val="auto"/>
              </w:rPr>
              <w:t>No Default</w:t>
            </w: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5.02</w:t>
            </w:r>
          </w:p>
        </w:tc>
        <w:tc>
          <w:tcPr>
            <w:tcW w:w="8680" w:type="dxa"/>
            <w:vAlign w:val="bottom"/>
          </w:tcPr>
          <w:p>
            <w:pPr>
              <w:ind w:left="60"/>
              <w:spacing w:after="0"/>
              <w:rPr>
                <w:sz w:val="20"/>
                <w:szCs w:val="20"/>
                <w:color w:val="auto"/>
              </w:rPr>
            </w:pPr>
            <w:r>
              <w:rPr>
                <w:rFonts w:ascii="Arial" w:cs="Arial" w:eastAsia="Arial" w:hAnsi="Arial"/>
                <w:sz w:val="18"/>
                <w:szCs w:val="18"/>
                <w:color w:val="auto"/>
              </w:rPr>
              <w:t>Organization and Good Standing</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5.03</w:t>
            </w:r>
          </w:p>
        </w:tc>
        <w:tc>
          <w:tcPr>
            <w:tcW w:w="8680" w:type="dxa"/>
            <w:vAlign w:val="bottom"/>
          </w:tcPr>
          <w:p>
            <w:pPr>
              <w:ind w:left="60"/>
              <w:spacing w:after="0"/>
              <w:rPr>
                <w:sz w:val="20"/>
                <w:szCs w:val="20"/>
                <w:color w:val="auto"/>
              </w:rPr>
            </w:pPr>
            <w:r>
              <w:rPr>
                <w:rFonts w:ascii="Arial" w:cs="Arial" w:eastAsia="Arial" w:hAnsi="Arial"/>
                <w:sz w:val="18"/>
                <w:szCs w:val="18"/>
                <w:color w:val="auto"/>
              </w:rPr>
              <w:t>Authorization</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5.04</w:t>
            </w:r>
          </w:p>
        </w:tc>
        <w:tc>
          <w:tcPr>
            <w:tcW w:w="8680" w:type="dxa"/>
            <w:vAlign w:val="bottom"/>
          </w:tcPr>
          <w:p>
            <w:pPr>
              <w:ind w:left="60"/>
              <w:spacing w:after="0"/>
              <w:rPr>
                <w:sz w:val="20"/>
                <w:szCs w:val="20"/>
                <w:color w:val="auto"/>
              </w:rPr>
            </w:pPr>
            <w:r>
              <w:rPr>
                <w:rFonts w:ascii="Arial" w:cs="Arial" w:eastAsia="Arial" w:hAnsi="Arial"/>
                <w:sz w:val="18"/>
                <w:szCs w:val="18"/>
                <w:color w:val="auto"/>
              </w:rPr>
              <w:t>No Conflicts or Consents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5.05</w:t>
            </w:r>
          </w:p>
        </w:tc>
        <w:tc>
          <w:tcPr>
            <w:tcW w:w="8680" w:type="dxa"/>
            <w:vAlign w:val="bottom"/>
          </w:tcPr>
          <w:p>
            <w:pPr>
              <w:ind w:left="60"/>
              <w:spacing w:after="0"/>
              <w:rPr>
                <w:sz w:val="20"/>
                <w:szCs w:val="20"/>
                <w:color w:val="auto"/>
              </w:rPr>
            </w:pPr>
            <w:r>
              <w:rPr>
                <w:rFonts w:ascii="Arial" w:cs="Arial" w:eastAsia="Arial" w:hAnsi="Arial"/>
                <w:sz w:val="18"/>
                <w:szCs w:val="18"/>
                <w:color w:val="auto"/>
              </w:rPr>
              <w:t>Enforceable Obligations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5.06</w:t>
            </w:r>
          </w:p>
        </w:tc>
        <w:tc>
          <w:tcPr>
            <w:tcW w:w="868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5.07</w:t>
            </w:r>
          </w:p>
        </w:tc>
        <w:tc>
          <w:tcPr>
            <w:tcW w:w="8680" w:type="dxa"/>
            <w:vAlign w:val="bottom"/>
          </w:tcPr>
          <w:p>
            <w:pPr>
              <w:ind w:left="60"/>
              <w:spacing w:after="0"/>
              <w:rPr>
                <w:sz w:val="20"/>
                <w:szCs w:val="20"/>
                <w:color w:val="auto"/>
              </w:rPr>
            </w:pPr>
            <w:r>
              <w:rPr>
                <w:rFonts w:ascii="Arial" w:cs="Arial" w:eastAsia="Arial" w:hAnsi="Arial"/>
                <w:sz w:val="18"/>
                <w:szCs w:val="18"/>
                <w:color w:val="auto"/>
              </w:rPr>
              <w:t>Full Disclosure</w:t>
            </w:r>
          </w:p>
        </w:tc>
        <w:tc>
          <w:tcPr>
            <w:tcW w:w="220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746" w:right="339" w:bottom="1440" w:gutter="0" w:footer="0" w:header="0"/>
        </w:sectPr>
      </w:pPr>
    </w:p>
    <w:bookmarkStart w:id="63" w:name="page64"/>
    <w:bookmarkEnd w:id="63"/>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5.08</w:t>
            </w:r>
          </w:p>
        </w:tc>
        <w:tc>
          <w:tcPr>
            <w:tcW w:w="884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5.09</w:t>
            </w:r>
          </w:p>
        </w:tc>
        <w:tc>
          <w:tcPr>
            <w:tcW w:w="8840" w:type="dxa"/>
            <w:vAlign w:val="bottom"/>
          </w:tcPr>
          <w:p>
            <w:pPr>
              <w:ind w:left="60"/>
              <w:spacing w:after="0"/>
              <w:rPr>
                <w:sz w:val="20"/>
                <w:szCs w:val="20"/>
                <w:color w:val="auto"/>
              </w:rPr>
            </w:pPr>
            <w:r>
              <w:rPr>
                <w:rFonts w:ascii="Arial" w:cs="Arial" w:eastAsia="Arial" w:hAnsi="Arial"/>
                <w:sz w:val="18"/>
                <w:szCs w:val="18"/>
                <w:color w:val="auto"/>
              </w:rPr>
              <w:t>Labor Disputes and Acts of God</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5.10</w:t>
            </w:r>
          </w:p>
        </w:tc>
        <w:tc>
          <w:tcPr>
            <w:tcW w:w="8840" w:type="dxa"/>
            <w:vAlign w:val="bottom"/>
          </w:tcPr>
          <w:p>
            <w:pPr>
              <w:ind w:left="60"/>
              <w:spacing w:after="0"/>
              <w:rPr>
                <w:sz w:val="20"/>
                <w:szCs w:val="20"/>
                <w:color w:val="auto"/>
              </w:rPr>
            </w:pPr>
            <w:r>
              <w:rPr>
                <w:rFonts w:ascii="Arial" w:cs="Arial" w:eastAsia="Arial" w:hAnsi="Arial"/>
                <w:sz w:val="18"/>
                <w:szCs w:val="18"/>
                <w:color w:val="auto"/>
              </w:rPr>
              <w:t>ERISA</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5.11</w:t>
            </w:r>
          </w:p>
        </w:tc>
        <w:tc>
          <w:tcPr>
            <w:tcW w:w="8840" w:type="dxa"/>
            <w:vAlign w:val="bottom"/>
          </w:tcPr>
          <w:p>
            <w:pPr>
              <w:ind w:left="60"/>
              <w:spacing w:after="0"/>
              <w:rPr>
                <w:sz w:val="20"/>
                <w:szCs w:val="20"/>
                <w:color w:val="auto"/>
              </w:rPr>
            </w:pPr>
            <w:r>
              <w:rPr>
                <w:rFonts w:ascii="Arial" w:cs="Arial" w:eastAsia="Arial" w:hAnsi="Arial"/>
                <w:sz w:val="18"/>
                <w:szCs w:val="18"/>
                <w:color w:val="auto"/>
              </w:rPr>
              <w:t>Environmental and Other Laws</w:t>
            </w:r>
          </w:p>
        </w:tc>
        <w:tc>
          <w:tcPr>
            <w:tcW w:w="2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5.12</w:t>
            </w:r>
          </w:p>
        </w:tc>
        <w:tc>
          <w:tcPr>
            <w:tcW w:w="8840" w:type="dxa"/>
            <w:vAlign w:val="bottom"/>
          </w:tcPr>
          <w:p>
            <w:pPr>
              <w:ind w:left="60"/>
              <w:spacing w:after="0"/>
              <w:rPr>
                <w:sz w:val="20"/>
                <w:szCs w:val="20"/>
                <w:color w:val="auto"/>
              </w:rPr>
            </w:pPr>
            <w:r>
              <w:rPr>
                <w:rFonts w:ascii="Arial" w:cs="Arial" w:eastAsia="Arial" w:hAnsi="Arial"/>
                <w:sz w:val="18"/>
                <w:szCs w:val="18"/>
                <w:color w:val="auto"/>
              </w:rPr>
              <w:t>Borrower’s Subsidiaries; Equity Investments</w:t>
            </w:r>
          </w:p>
        </w:tc>
        <w:tc>
          <w:tcPr>
            <w:tcW w:w="2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5.13</w:t>
            </w:r>
          </w:p>
        </w:tc>
        <w:tc>
          <w:tcPr>
            <w:tcW w:w="8840" w:type="dxa"/>
            <w:vAlign w:val="bottom"/>
          </w:tcPr>
          <w:p>
            <w:pPr>
              <w:ind w:left="60"/>
              <w:spacing w:after="0"/>
              <w:rPr>
                <w:sz w:val="20"/>
                <w:szCs w:val="20"/>
                <w:color w:val="auto"/>
              </w:rPr>
            </w:pPr>
            <w:r>
              <w:rPr>
                <w:rFonts w:ascii="Arial" w:cs="Arial" w:eastAsia="Arial" w:hAnsi="Arial"/>
                <w:sz w:val="18"/>
                <w:szCs w:val="18"/>
                <w:color w:val="auto"/>
              </w:rPr>
              <w:t>Title to Properties; Licenses</w:t>
            </w:r>
          </w:p>
        </w:tc>
        <w:tc>
          <w:tcPr>
            <w:tcW w:w="2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5.14</w:t>
            </w:r>
          </w:p>
        </w:tc>
        <w:tc>
          <w:tcPr>
            <w:tcW w:w="8840" w:type="dxa"/>
            <w:vAlign w:val="bottom"/>
          </w:tcPr>
          <w:p>
            <w:pPr>
              <w:ind w:left="60"/>
              <w:spacing w:after="0"/>
              <w:rPr>
                <w:sz w:val="20"/>
                <w:szCs w:val="20"/>
                <w:color w:val="auto"/>
              </w:rPr>
            </w:pPr>
            <w:r>
              <w:rPr>
                <w:rFonts w:ascii="Arial" w:cs="Arial" w:eastAsia="Arial" w:hAnsi="Arial"/>
                <w:sz w:val="18"/>
                <w:szCs w:val="18"/>
                <w:color w:val="auto"/>
              </w:rPr>
              <w:t>Government Regulation</w:t>
            </w:r>
          </w:p>
        </w:tc>
        <w:tc>
          <w:tcPr>
            <w:tcW w:w="2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5.15</w:t>
            </w:r>
          </w:p>
        </w:tc>
        <w:tc>
          <w:tcPr>
            <w:tcW w:w="8840" w:type="dxa"/>
            <w:vAlign w:val="bottom"/>
          </w:tcPr>
          <w:p>
            <w:pPr>
              <w:ind w:left="60"/>
              <w:spacing w:after="0"/>
              <w:rPr>
                <w:sz w:val="20"/>
                <w:szCs w:val="20"/>
                <w:color w:val="auto"/>
              </w:rPr>
            </w:pPr>
            <w:r>
              <w:rPr>
                <w:rFonts w:ascii="Arial" w:cs="Arial" w:eastAsia="Arial" w:hAnsi="Arial"/>
                <w:sz w:val="18"/>
                <w:szCs w:val="18"/>
                <w:color w:val="auto"/>
              </w:rPr>
              <w:t>Solvency</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5.16</w:t>
            </w:r>
          </w:p>
        </w:tc>
        <w:tc>
          <w:tcPr>
            <w:tcW w:w="8840" w:type="dxa"/>
            <w:vAlign w:val="bottom"/>
          </w:tcPr>
          <w:p>
            <w:pPr>
              <w:ind w:left="60"/>
              <w:spacing w:after="0"/>
              <w:rPr>
                <w:sz w:val="20"/>
                <w:szCs w:val="20"/>
                <w:color w:val="auto"/>
              </w:rPr>
            </w:pPr>
            <w:r>
              <w:rPr>
                <w:rFonts w:ascii="Arial" w:cs="Arial" w:eastAsia="Arial" w:hAnsi="Arial"/>
                <w:sz w:val="18"/>
                <w:szCs w:val="18"/>
                <w:color w:val="auto"/>
              </w:rPr>
              <w:t>Compliance with Laws and Material Agreements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5.17</w:t>
            </w:r>
          </w:p>
        </w:tc>
        <w:tc>
          <w:tcPr>
            <w:tcW w:w="8840" w:type="dxa"/>
            <w:vAlign w:val="bottom"/>
          </w:tcPr>
          <w:p>
            <w:pPr>
              <w:ind w:left="60"/>
              <w:spacing w:after="0"/>
              <w:rPr>
                <w:sz w:val="20"/>
                <w:szCs w:val="20"/>
                <w:color w:val="auto"/>
              </w:rPr>
            </w:pPr>
            <w:r>
              <w:rPr>
                <w:rFonts w:ascii="Arial" w:cs="Arial" w:eastAsia="Arial" w:hAnsi="Arial"/>
                <w:sz w:val="18"/>
                <w:szCs w:val="18"/>
                <w:color w:val="auto"/>
              </w:rPr>
              <w:t>Taxes</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5.18</w:t>
            </w:r>
          </w:p>
        </w:tc>
        <w:tc>
          <w:tcPr>
            <w:tcW w:w="8840" w:type="dxa"/>
            <w:vAlign w:val="bottom"/>
          </w:tcPr>
          <w:p>
            <w:pPr>
              <w:ind w:left="60"/>
              <w:spacing w:after="0"/>
              <w:rPr>
                <w:sz w:val="20"/>
                <w:szCs w:val="20"/>
                <w:color w:val="auto"/>
              </w:rPr>
            </w:pPr>
            <w:r>
              <w:rPr>
                <w:rFonts w:ascii="Arial" w:cs="Arial" w:eastAsia="Arial" w:hAnsi="Arial"/>
                <w:sz w:val="18"/>
                <w:szCs w:val="18"/>
                <w:color w:val="auto"/>
              </w:rPr>
              <w:t>OFAC</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5.19</w:t>
            </w:r>
          </w:p>
        </w:tc>
        <w:tc>
          <w:tcPr>
            <w:tcW w:w="884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5.20</w:t>
            </w:r>
          </w:p>
        </w:tc>
        <w:tc>
          <w:tcPr>
            <w:tcW w:w="8840" w:type="dxa"/>
            <w:vAlign w:val="bottom"/>
          </w:tcPr>
          <w:p>
            <w:pPr>
              <w:ind w:left="60"/>
              <w:spacing w:after="0"/>
              <w:rPr>
                <w:sz w:val="20"/>
                <w:szCs w:val="20"/>
                <w:color w:val="auto"/>
              </w:rPr>
            </w:pPr>
            <w:r>
              <w:rPr>
                <w:rFonts w:ascii="Arial" w:cs="Arial" w:eastAsia="Arial" w:hAnsi="Arial"/>
                <w:sz w:val="18"/>
                <w:szCs w:val="18"/>
                <w:color w:val="auto"/>
              </w:rPr>
              <w:t>Collateral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594"/>
        </w:trPr>
        <w:tc>
          <w:tcPr>
            <w:tcW w:w="924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6.01</w:t>
            </w:r>
          </w:p>
        </w:tc>
        <w:tc>
          <w:tcPr>
            <w:tcW w:w="8840" w:type="dxa"/>
            <w:vAlign w:val="bottom"/>
          </w:tcPr>
          <w:p>
            <w:pPr>
              <w:ind w:left="60"/>
              <w:spacing w:after="0"/>
              <w:rPr>
                <w:sz w:val="20"/>
                <w:szCs w:val="20"/>
                <w:color w:val="auto"/>
              </w:rPr>
            </w:pPr>
            <w:r>
              <w:rPr>
                <w:rFonts w:ascii="Arial" w:cs="Arial" w:eastAsia="Arial" w:hAnsi="Arial"/>
                <w:sz w:val="18"/>
                <w:szCs w:val="18"/>
                <w:color w:val="auto"/>
              </w:rPr>
              <w:t>Books, Financial Statements and Reports</w:t>
            </w:r>
          </w:p>
        </w:tc>
        <w:tc>
          <w:tcPr>
            <w:tcW w:w="2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6.02</w:t>
            </w:r>
          </w:p>
        </w:tc>
        <w:tc>
          <w:tcPr>
            <w:tcW w:w="8840" w:type="dxa"/>
            <w:vAlign w:val="bottom"/>
          </w:tcPr>
          <w:p>
            <w:pPr>
              <w:ind w:left="60"/>
              <w:spacing w:after="0"/>
              <w:rPr>
                <w:sz w:val="20"/>
                <w:szCs w:val="20"/>
                <w:color w:val="auto"/>
              </w:rPr>
            </w:pPr>
            <w:r>
              <w:rPr>
                <w:rFonts w:ascii="Arial" w:cs="Arial" w:eastAsia="Arial" w:hAnsi="Arial"/>
                <w:sz w:val="18"/>
                <w:szCs w:val="18"/>
                <w:color w:val="auto"/>
              </w:rPr>
              <w:t>Other Information and Financial Records; Inspections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6.03</w:t>
            </w:r>
          </w:p>
        </w:tc>
        <w:tc>
          <w:tcPr>
            <w:tcW w:w="8840" w:type="dxa"/>
            <w:vAlign w:val="bottom"/>
          </w:tcPr>
          <w:p>
            <w:pPr>
              <w:ind w:left="60"/>
              <w:spacing w:after="0"/>
              <w:rPr>
                <w:sz w:val="20"/>
                <w:szCs w:val="20"/>
                <w:color w:val="auto"/>
              </w:rPr>
            </w:pPr>
            <w:r>
              <w:rPr>
                <w:rFonts w:ascii="Arial" w:cs="Arial" w:eastAsia="Arial" w:hAnsi="Arial"/>
                <w:sz w:val="18"/>
                <w:szCs w:val="18"/>
                <w:color w:val="auto"/>
              </w:rPr>
              <w:t>Notice of Material Events; Notice of Changes in Certain Information Pertaining to the Collateral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6.04</w:t>
            </w:r>
          </w:p>
        </w:tc>
        <w:tc>
          <w:tcPr>
            <w:tcW w:w="8840" w:type="dxa"/>
            <w:vAlign w:val="bottom"/>
          </w:tcPr>
          <w:p>
            <w:pPr>
              <w:ind w:left="60"/>
              <w:spacing w:after="0"/>
              <w:rPr>
                <w:sz w:val="20"/>
                <w:szCs w:val="20"/>
                <w:color w:val="auto"/>
              </w:rPr>
            </w:pPr>
            <w:r>
              <w:rPr>
                <w:rFonts w:ascii="Arial" w:cs="Arial" w:eastAsia="Arial" w:hAnsi="Arial"/>
                <w:sz w:val="18"/>
                <w:szCs w:val="18"/>
                <w:color w:val="auto"/>
              </w:rPr>
              <w:t>Maintenance of Properties</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6.05</w:t>
            </w:r>
          </w:p>
        </w:tc>
        <w:tc>
          <w:tcPr>
            <w:tcW w:w="8840" w:type="dxa"/>
            <w:vAlign w:val="bottom"/>
          </w:tcPr>
          <w:p>
            <w:pPr>
              <w:ind w:left="60"/>
              <w:spacing w:after="0"/>
              <w:rPr>
                <w:sz w:val="20"/>
                <w:szCs w:val="20"/>
                <w:color w:val="auto"/>
              </w:rPr>
            </w:pPr>
            <w:r>
              <w:rPr>
                <w:rFonts w:ascii="Arial" w:cs="Arial" w:eastAsia="Arial" w:hAnsi="Arial"/>
                <w:sz w:val="18"/>
                <w:szCs w:val="18"/>
                <w:color w:val="auto"/>
              </w:rPr>
              <w:t>Maintenance of Existence and Qualifications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6.06</w:t>
            </w:r>
          </w:p>
        </w:tc>
        <w:tc>
          <w:tcPr>
            <w:tcW w:w="8840" w:type="dxa"/>
            <w:vAlign w:val="bottom"/>
          </w:tcPr>
          <w:p>
            <w:pPr>
              <w:ind w:left="60"/>
              <w:spacing w:after="0"/>
              <w:rPr>
                <w:sz w:val="20"/>
                <w:szCs w:val="20"/>
                <w:color w:val="auto"/>
              </w:rPr>
            </w:pPr>
            <w:r>
              <w:rPr>
                <w:rFonts w:ascii="Arial" w:cs="Arial" w:eastAsia="Arial" w:hAnsi="Arial"/>
                <w:sz w:val="18"/>
                <w:szCs w:val="18"/>
                <w:color w:val="auto"/>
              </w:rPr>
              <w:t>Payment of Obligations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6.07</w:t>
            </w:r>
          </w:p>
        </w:tc>
        <w:tc>
          <w:tcPr>
            <w:tcW w:w="884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6.08</w:t>
            </w:r>
          </w:p>
        </w:tc>
        <w:tc>
          <w:tcPr>
            <w:tcW w:w="8840" w:type="dxa"/>
            <w:vAlign w:val="bottom"/>
          </w:tcPr>
          <w:p>
            <w:pPr>
              <w:ind w:left="60"/>
              <w:spacing w:after="0"/>
              <w:rPr>
                <w:sz w:val="20"/>
                <w:szCs w:val="20"/>
                <w:color w:val="auto"/>
              </w:rPr>
            </w:pPr>
            <w:r>
              <w:rPr>
                <w:rFonts w:ascii="Arial" w:cs="Arial" w:eastAsia="Arial" w:hAnsi="Arial"/>
                <w:sz w:val="18"/>
                <w:szCs w:val="18"/>
                <w:color w:val="auto"/>
              </w:rPr>
              <w:t>Compliance with Law</w:t>
            </w:r>
          </w:p>
        </w:tc>
        <w:tc>
          <w:tcPr>
            <w:tcW w:w="2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6.09</w:t>
            </w:r>
          </w:p>
        </w:tc>
        <w:tc>
          <w:tcPr>
            <w:tcW w:w="884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2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6.10</w:t>
            </w:r>
          </w:p>
        </w:tc>
        <w:tc>
          <w:tcPr>
            <w:tcW w:w="8840" w:type="dxa"/>
            <w:vAlign w:val="bottom"/>
          </w:tcPr>
          <w:p>
            <w:pPr>
              <w:ind w:left="60"/>
              <w:spacing w:after="0"/>
              <w:rPr>
                <w:sz w:val="20"/>
                <w:szCs w:val="20"/>
                <w:color w:val="auto"/>
              </w:rPr>
            </w:pPr>
            <w:r>
              <w:rPr>
                <w:rFonts w:ascii="Arial" w:cs="Arial" w:eastAsia="Arial" w:hAnsi="Arial"/>
                <w:sz w:val="18"/>
                <w:szCs w:val="18"/>
                <w:color w:val="auto"/>
              </w:rPr>
              <w:t>Subordination of Intercompany Indebtedness</w:t>
            </w:r>
          </w:p>
        </w:tc>
        <w:tc>
          <w:tcPr>
            <w:tcW w:w="2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6.11</w:t>
            </w:r>
          </w:p>
        </w:tc>
        <w:tc>
          <w:tcPr>
            <w:tcW w:w="8840" w:type="dxa"/>
            <w:vAlign w:val="bottom"/>
          </w:tcPr>
          <w:p>
            <w:pPr>
              <w:ind w:left="60"/>
              <w:spacing w:after="0"/>
              <w:rPr>
                <w:sz w:val="20"/>
                <w:szCs w:val="20"/>
                <w:color w:val="auto"/>
              </w:rPr>
            </w:pPr>
            <w:r>
              <w:rPr>
                <w:rFonts w:ascii="Arial" w:cs="Arial" w:eastAsia="Arial" w:hAnsi="Arial"/>
                <w:sz w:val="18"/>
                <w:szCs w:val="18"/>
                <w:color w:val="auto"/>
              </w:rPr>
              <w:t>Additional Material Subsidiaries; Collateral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6.12</w:t>
            </w:r>
          </w:p>
        </w:tc>
        <w:tc>
          <w:tcPr>
            <w:tcW w:w="884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6.13</w:t>
            </w:r>
          </w:p>
        </w:tc>
        <w:tc>
          <w:tcPr>
            <w:tcW w:w="8840" w:type="dxa"/>
            <w:vAlign w:val="bottom"/>
          </w:tcPr>
          <w:p>
            <w:pPr>
              <w:ind w:left="60"/>
              <w:spacing w:after="0"/>
              <w:rPr>
                <w:sz w:val="20"/>
                <w:szCs w:val="20"/>
                <w:color w:val="auto"/>
              </w:rPr>
            </w:pPr>
            <w:r>
              <w:rPr>
                <w:rFonts w:ascii="Arial" w:cs="Arial" w:eastAsia="Arial" w:hAnsi="Arial"/>
                <w:sz w:val="18"/>
                <w:szCs w:val="18"/>
                <w:color w:val="auto"/>
              </w:rPr>
              <w:t>Keepwell Requirements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280"/>
          </w:cols>
          <w:pgMar w:left="280" w:top="1440"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1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7.01</w:t>
            </w:r>
          </w:p>
        </w:tc>
        <w:tc>
          <w:tcPr>
            <w:tcW w:w="9200" w:type="dxa"/>
            <w:vAlign w:val="bottom"/>
          </w:tcPr>
          <w:p>
            <w:pPr>
              <w:ind w:left="60"/>
              <w:spacing w:after="0"/>
              <w:rPr>
                <w:sz w:val="20"/>
                <w:szCs w:val="20"/>
                <w:color w:val="auto"/>
              </w:rPr>
            </w:pPr>
            <w:r>
              <w:rPr>
                <w:rFonts w:ascii="Arial" w:cs="Arial" w:eastAsia="Arial" w:hAnsi="Arial"/>
                <w:sz w:val="18"/>
                <w:szCs w:val="18"/>
                <w:color w:val="auto"/>
              </w:rPr>
              <w:t>Indebtedness</w:t>
            </w:r>
          </w:p>
        </w:tc>
        <w:tc>
          <w:tcPr>
            <w:tcW w:w="16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7.02</w:t>
            </w:r>
          </w:p>
        </w:tc>
        <w:tc>
          <w:tcPr>
            <w:tcW w:w="9200" w:type="dxa"/>
            <w:vAlign w:val="bottom"/>
          </w:tcPr>
          <w:p>
            <w:pPr>
              <w:ind w:left="60"/>
              <w:spacing w:after="0"/>
              <w:rPr>
                <w:sz w:val="20"/>
                <w:szCs w:val="20"/>
                <w:color w:val="auto"/>
              </w:rPr>
            </w:pPr>
            <w:r>
              <w:rPr>
                <w:rFonts w:ascii="Arial" w:cs="Arial" w:eastAsia="Arial" w:hAnsi="Arial"/>
                <w:sz w:val="18"/>
                <w:szCs w:val="18"/>
                <w:color w:val="auto"/>
              </w:rPr>
              <w:t>Limitation on Liens</w:t>
            </w:r>
          </w:p>
        </w:tc>
        <w:tc>
          <w:tcPr>
            <w:tcW w:w="1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7.03</w:t>
            </w:r>
          </w:p>
        </w:tc>
        <w:tc>
          <w:tcPr>
            <w:tcW w:w="9200" w:type="dxa"/>
            <w:vAlign w:val="bottom"/>
          </w:tcPr>
          <w:p>
            <w:pPr>
              <w:ind w:left="60"/>
              <w:spacing w:after="0"/>
              <w:rPr>
                <w:sz w:val="20"/>
                <w:szCs w:val="20"/>
                <w:color w:val="auto"/>
              </w:rPr>
            </w:pPr>
            <w:r>
              <w:rPr>
                <w:rFonts w:ascii="Arial" w:cs="Arial" w:eastAsia="Arial" w:hAnsi="Arial"/>
                <w:sz w:val="18"/>
                <w:szCs w:val="18"/>
                <w:color w:val="auto"/>
              </w:rPr>
              <w:t>Sale Lease-back Transactions</w:t>
            </w:r>
          </w:p>
        </w:tc>
        <w:tc>
          <w:tcPr>
            <w:tcW w:w="1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7.04</w:t>
            </w:r>
          </w:p>
        </w:tc>
        <w:tc>
          <w:tcPr>
            <w:tcW w:w="9200" w:type="dxa"/>
            <w:vAlign w:val="bottom"/>
          </w:tcPr>
          <w:p>
            <w:pPr>
              <w:ind w:left="60"/>
              <w:spacing w:after="0"/>
              <w:rPr>
                <w:sz w:val="20"/>
                <w:szCs w:val="20"/>
                <w:color w:val="auto"/>
              </w:rPr>
            </w:pPr>
            <w:r>
              <w:rPr>
                <w:rFonts w:ascii="Arial" w:cs="Arial" w:eastAsia="Arial" w:hAnsi="Arial"/>
                <w:sz w:val="18"/>
                <w:szCs w:val="18"/>
                <w:color w:val="auto"/>
              </w:rPr>
              <w:t>Line of Businesses</w:t>
            </w:r>
          </w:p>
        </w:tc>
        <w:tc>
          <w:tcPr>
            <w:tcW w:w="1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7.05</w:t>
            </w:r>
          </w:p>
        </w:tc>
        <w:tc>
          <w:tcPr>
            <w:tcW w:w="9200" w:type="dxa"/>
            <w:vAlign w:val="bottom"/>
          </w:tcPr>
          <w:p>
            <w:pPr>
              <w:ind w:left="60"/>
              <w:spacing w:after="0"/>
              <w:rPr>
                <w:sz w:val="20"/>
                <w:szCs w:val="20"/>
                <w:color w:val="auto"/>
              </w:rPr>
            </w:pPr>
            <w:r>
              <w:rPr>
                <w:rFonts w:ascii="Arial" w:cs="Arial" w:eastAsia="Arial" w:hAnsi="Arial"/>
                <w:sz w:val="18"/>
                <w:szCs w:val="18"/>
                <w:color w:val="auto"/>
              </w:rPr>
              <w:t>Investments.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7.06</w:t>
            </w:r>
          </w:p>
        </w:tc>
        <w:tc>
          <w:tcPr>
            <w:tcW w:w="9200" w:type="dxa"/>
            <w:vAlign w:val="bottom"/>
          </w:tcPr>
          <w:p>
            <w:pPr>
              <w:ind w:left="60"/>
              <w:spacing w:after="0"/>
              <w:rPr>
                <w:sz w:val="20"/>
                <w:szCs w:val="20"/>
                <w:color w:val="auto"/>
              </w:rPr>
            </w:pPr>
            <w:r>
              <w:rPr>
                <w:rFonts w:ascii="Arial" w:cs="Arial" w:eastAsia="Arial" w:hAnsi="Arial"/>
                <w:sz w:val="18"/>
                <w:szCs w:val="18"/>
                <w:color w:val="auto"/>
              </w:rPr>
              <w:t>Material Subsidiaries and Immaterial Subsidiaries; Unrestricted Subsidiaries</w:t>
            </w:r>
          </w:p>
        </w:tc>
        <w:tc>
          <w:tcPr>
            <w:tcW w:w="16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7.07</w:t>
            </w:r>
          </w:p>
        </w:tc>
        <w:tc>
          <w:tcPr>
            <w:tcW w:w="9200" w:type="dxa"/>
            <w:vAlign w:val="bottom"/>
          </w:tcPr>
          <w:p>
            <w:pPr>
              <w:ind w:left="60"/>
              <w:spacing w:after="0"/>
              <w:rPr>
                <w:sz w:val="20"/>
                <w:szCs w:val="20"/>
                <w:color w:val="auto"/>
              </w:rPr>
            </w:pPr>
            <w:r>
              <w:rPr>
                <w:rFonts w:ascii="Arial" w:cs="Arial" w:eastAsia="Arial" w:hAnsi="Arial"/>
                <w:sz w:val="18"/>
                <w:szCs w:val="18"/>
                <w:color w:val="auto"/>
              </w:rPr>
              <w:t>Mergers, Consolidations and Sales of All or Substantially All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7.08</w:t>
            </w:r>
          </w:p>
        </w:tc>
        <w:tc>
          <w:tcPr>
            <w:tcW w:w="920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16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7.09</w:t>
            </w:r>
          </w:p>
        </w:tc>
        <w:tc>
          <w:tcPr>
            <w:tcW w:w="9200" w:type="dxa"/>
            <w:vAlign w:val="bottom"/>
          </w:tcPr>
          <w:p>
            <w:pPr>
              <w:ind w:left="60"/>
              <w:spacing w:after="0"/>
              <w:rPr>
                <w:sz w:val="20"/>
                <w:szCs w:val="20"/>
                <w:color w:val="auto"/>
              </w:rPr>
            </w:pPr>
            <w:r>
              <w:rPr>
                <w:rFonts w:ascii="Arial" w:cs="Arial" w:eastAsia="Arial" w:hAnsi="Arial"/>
                <w:sz w:val="18"/>
                <w:szCs w:val="18"/>
                <w:color w:val="auto"/>
              </w:rPr>
              <w:t>Restrictive Agreements</w:t>
            </w:r>
          </w:p>
        </w:tc>
        <w:tc>
          <w:tcPr>
            <w:tcW w:w="16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7.10</w:t>
            </w:r>
          </w:p>
        </w:tc>
        <w:tc>
          <w:tcPr>
            <w:tcW w:w="9200" w:type="dxa"/>
            <w:vAlign w:val="bottom"/>
          </w:tcPr>
          <w:p>
            <w:pPr>
              <w:ind w:left="60"/>
              <w:spacing w:after="0"/>
              <w:rPr>
                <w:sz w:val="20"/>
                <w:szCs w:val="20"/>
                <w:color w:val="auto"/>
              </w:rPr>
            </w:pPr>
            <w:r>
              <w:rPr>
                <w:rFonts w:ascii="Arial" w:cs="Arial" w:eastAsia="Arial" w:hAnsi="Arial"/>
                <w:sz w:val="18"/>
                <w:szCs w:val="18"/>
                <w:color w:val="auto"/>
              </w:rPr>
              <w:t>ERISA</w:t>
            </w: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7.11</w:t>
            </w:r>
          </w:p>
        </w:tc>
        <w:tc>
          <w:tcPr>
            <w:tcW w:w="9200" w:type="dxa"/>
            <w:vAlign w:val="bottom"/>
          </w:tcPr>
          <w:p>
            <w:pPr>
              <w:ind w:left="60"/>
              <w:spacing w:after="0"/>
              <w:rPr>
                <w:sz w:val="20"/>
                <w:szCs w:val="20"/>
                <w:color w:val="auto"/>
              </w:rPr>
            </w:pPr>
            <w:r>
              <w:rPr>
                <w:rFonts w:ascii="Arial" w:cs="Arial" w:eastAsia="Arial" w:hAnsi="Arial"/>
                <w:sz w:val="18"/>
                <w:szCs w:val="18"/>
                <w:color w:val="auto"/>
              </w:rPr>
              <w:t>Dispositions of Property</w:t>
            </w: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7.12</w:t>
            </w:r>
          </w:p>
        </w:tc>
        <w:tc>
          <w:tcPr>
            <w:tcW w:w="9200" w:type="dxa"/>
            <w:vAlign w:val="bottom"/>
          </w:tcPr>
          <w:p>
            <w:pPr>
              <w:ind w:left="60"/>
              <w:spacing w:after="0"/>
              <w:rPr>
                <w:sz w:val="20"/>
                <w:szCs w:val="20"/>
                <w:color w:val="auto"/>
              </w:rPr>
            </w:pPr>
            <w:r>
              <w:rPr>
                <w:rFonts w:ascii="Arial" w:cs="Arial" w:eastAsia="Arial" w:hAnsi="Arial"/>
                <w:sz w:val="18"/>
                <w:szCs w:val="18"/>
                <w:color w:val="auto"/>
              </w:rPr>
              <w:t>Swap Contracts</w:t>
            </w:r>
          </w:p>
        </w:tc>
        <w:tc>
          <w:tcPr>
            <w:tcW w:w="1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7.13</w:t>
            </w:r>
          </w:p>
        </w:tc>
        <w:tc>
          <w:tcPr>
            <w:tcW w:w="9200" w:type="dxa"/>
            <w:vAlign w:val="bottom"/>
          </w:tcPr>
          <w:p>
            <w:pPr>
              <w:ind w:left="60"/>
              <w:spacing w:after="0"/>
              <w:rPr>
                <w:sz w:val="20"/>
                <w:szCs w:val="20"/>
                <w:color w:val="auto"/>
              </w:rPr>
            </w:pPr>
            <w:r>
              <w:rPr>
                <w:rFonts w:ascii="Arial" w:cs="Arial" w:eastAsia="Arial" w:hAnsi="Arial"/>
                <w:sz w:val="18"/>
                <w:szCs w:val="18"/>
                <w:color w:val="auto"/>
              </w:rPr>
              <w:t>Financial Covenants</w:t>
            </w:r>
          </w:p>
        </w:tc>
        <w:tc>
          <w:tcPr>
            <w:tcW w:w="1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7.14</w:t>
            </w:r>
          </w:p>
        </w:tc>
        <w:tc>
          <w:tcPr>
            <w:tcW w:w="9200" w:type="dxa"/>
            <w:vAlign w:val="bottom"/>
          </w:tcPr>
          <w:p>
            <w:pPr>
              <w:ind w:left="60"/>
              <w:spacing w:after="0"/>
              <w:rPr>
                <w:sz w:val="20"/>
                <w:szCs w:val="20"/>
                <w:color w:val="auto"/>
              </w:rPr>
            </w:pPr>
            <w:r>
              <w:rPr>
                <w:rFonts w:ascii="Arial" w:cs="Arial" w:eastAsia="Arial" w:hAnsi="Arial"/>
                <w:sz w:val="18"/>
                <w:szCs w:val="18"/>
                <w:color w:val="auto"/>
              </w:rPr>
              <w:t>Restricted Payments</w:t>
            </w:r>
          </w:p>
        </w:tc>
        <w:tc>
          <w:tcPr>
            <w:tcW w:w="1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7.15</w:t>
            </w:r>
          </w:p>
        </w:tc>
        <w:tc>
          <w:tcPr>
            <w:tcW w:w="9200" w:type="dxa"/>
            <w:vAlign w:val="bottom"/>
          </w:tcPr>
          <w:p>
            <w:pPr>
              <w:ind w:left="60"/>
              <w:spacing w:after="0"/>
              <w:rPr>
                <w:sz w:val="20"/>
                <w:szCs w:val="20"/>
                <w:color w:val="auto"/>
              </w:rPr>
            </w:pPr>
            <w:r>
              <w:rPr>
                <w:rFonts w:ascii="Arial" w:cs="Arial" w:eastAsia="Arial" w:hAnsi="Arial"/>
                <w:sz w:val="18"/>
                <w:szCs w:val="18"/>
                <w:color w:val="auto"/>
              </w:rPr>
              <w:t>Negative Pledge on Pipeline Real Property</w:t>
            </w:r>
          </w:p>
        </w:tc>
        <w:tc>
          <w:tcPr>
            <w:tcW w:w="16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7.16</w:t>
            </w:r>
          </w:p>
        </w:tc>
        <w:tc>
          <w:tcPr>
            <w:tcW w:w="9200" w:type="dxa"/>
            <w:vAlign w:val="bottom"/>
          </w:tcPr>
          <w:p>
            <w:pPr>
              <w:ind w:left="60"/>
              <w:spacing w:after="0"/>
              <w:rPr>
                <w:sz w:val="20"/>
                <w:szCs w:val="20"/>
                <w:color w:val="auto"/>
              </w:rPr>
            </w:pPr>
            <w:r>
              <w:rPr>
                <w:rFonts w:ascii="Arial" w:cs="Arial" w:eastAsia="Arial" w:hAnsi="Arial"/>
                <w:sz w:val="18"/>
                <w:szCs w:val="18"/>
                <w:color w:val="auto"/>
              </w:rPr>
              <w:t>Modification, Terminations, etc. of Certain Other Indebtedness, Agreements and Organization Documents</w:t>
            </w:r>
          </w:p>
        </w:tc>
        <w:tc>
          <w:tcPr>
            <w:tcW w:w="16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7.17</w:t>
            </w:r>
          </w:p>
        </w:tc>
        <w:tc>
          <w:tcPr>
            <w:tcW w:w="920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16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400" w:type="dxa"/>
            <w:vAlign w:val="bottom"/>
          </w:tcPr>
          <w:p>
            <w:pPr>
              <w:jc w:val="right"/>
              <w:spacing w:after="0"/>
              <w:rPr>
                <w:sz w:val="20"/>
                <w:szCs w:val="20"/>
                <w:color w:val="auto"/>
              </w:rPr>
            </w:pPr>
            <w:r>
              <w:rPr>
                <w:rFonts w:ascii="Arial" w:cs="Arial" w:eastAsia="Arial" w:hAnsi="Arial"/>
                <w:sz w:val="18"/>
                <w:szCs w:val="18"/>
                <w:color w:val="auto"/>
                <w:w w:val="96"/>
              </w:rPr>
              <w:t>7.18</w:t>
            </w:r>
          </w:p>
        </w:tc>
        <w:tc>
          <w:tcPr>
            <w:tcW w:w="9200" w:type="dxa"/>
            <w:vAlign w:val="bottom"/>
          </w:tcPr>
          <w:p>
            <w:pPr>
              <w:ind w:left="60"/>
              <w:spacing w:after="0"/>
              <w:rPr>
                <w:sz w:val="20"/>
                <w:szCs w:val="20"/>
                <w:color w:val="auto"/>
              </w:rPr>
            </w:pPr>
            <w:r>
              <w:rPr>
                <w:rFonts w:ascii="Arial" w:cs="Arial" w:eastAsia="Arial" w:hAnsi="Arial"/>
                <w:sz w:val="18"/>
                <w:szCs w:val="18"/>
                <w:color w:val="auto"/>
              </w:rPr>
              <w:t>Certain Covenants Pertaining to Rendezvous Gas</w:t>
            </w:r>
          </w:p>
        </w:tc>
        <w:tc>
          <w:tcPr>
            <w:tcW w:w="168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280" w:top="1071" w:right="339" w:bottom="1440" w:gutter="0" w:footer="0" w:header="0"/>
        </w:sectPr>
      </w:pPr>
    </w:p>
    <w:bookmarkStart w:id="65" w:name="page66"/>
    <w:bookmarkEnd w:id="65"/>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2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8.01</w:t>
            </w:r>
          </w:p>
        </w:tc>
        <w:tc>
          <w:tcPr>
            <w:tcW w:w="790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8.02</w:t>
            </w:r>
          </w:p>
        </w:tc>
        <w:tc>
          <w:tcPr>
            <w:tcW w:w="7900" w:type="dxa"/>
            <w:vAlign w:val="bottom"/>
          </w:tcPr>
          <w:p>
            <w:pPr>
              <w:ind w:left="60"/>
              <w:spacing w:after="0"/>
              <w:rPr>
                <w:sz w:val="20"/>
                <w:szCs w:val="20"/>
                <w:color w:val="auto"/>
              </w:rPr>
            </w:pPr>
            <w:r>
              <w:rPr>
                <w:rFonts w:ascii="Arial" w:cs="Arial" w:eastAsia="Arial" w:hAnsi="Arial"/>
                <w:sz w:val="18"/>
                <w:szCs w:val="18"/>
                <w:color w:val="auto"/>
              </w:rPr>
              <w:t>Remedies upon Event of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8.03</w:t>
            </w:r>
          </w:p>
        </w:tc>
        <w:tc>
          <w:tcPr>
            <w:tcW w:w="7900" w:type="dxa"/>
            <w:vAlign w:val="bottom"/>
          </w:tcPr>
          <w:p>
            <w:pPr>
              <w:ind w:left="60"/>
              <w:spacing w:after="0"/>
              <w:rPr>
                <w:sz w:val="20"/>
                <w:szCs w:val="20"/>
                <w:color w:val="auto"/>
              </w:rPr>
            </w:pPr>
            <w:r>
              <w:rPr>
                <w:rFonts w:ascii="Arial" w:cs="Arial" w:eastAsia="Arial" w:hAnsi="Arial"/>
                <w:sz w:val="18"/>
                <w:szCs w:val="18"/>
                <w:color w:val="auto"/>
              </w:rPr>
              <w:t>Application of Funds</w:t>
            </w:r>
          </w:p>
        </w:tc>
        <w:tc>
          <w:tcPr>
            <w:tcW w:w="2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594"/>
        </w:trPr>
        <w:tc>
          <w:tcPr>
            <w:tcW w:w="842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2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9.01</w:t>
            </w:r>
          </w:p>
        </w:tc>
        <w:tc>
          <w:tcPr>
            <w:tcW w:w="7900" w:type="dxa"/>
            <w:vAlign w:val="bottom"/>
          </w:tcPr>
          <w:p>
            <w:pPr>
              <w:ind w:left="60"/>
              <w:spacing w:after="0"/>
              <w:rPr>
                <w:sz w:val="20"/>
                <w:szCs w:val="20"/>
                <w:color w:val="auto"/>
              </w:rPr>
            </w:pPr>
            <w:r>
              <w:rPr>
                <w:rFonts w:ascii="Arial" w:cs="Arial" w:eastAsia="Arial" w:hAnsi="Arial"/>
                <w:sz w:val="18"/>
                <w:szCs w:val="18"/>
                <w:color w:val="auto"/>
              </w:rPr>
              <w:t>Appointment and Authority</w:t>
            </w:r>
          </w:p>
        </w:tc>
        <w:tc>
          <w:tcPr>
            <w:tcW w:w="2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9.02</w:t>
            </w:r>
          </w:p>
        </w:tc>
        <w:tc>
          <w:tcPr>
            <w:tcW w:w="7900" w:type="dxa"/>
            <w:vAlign w:val="bottom"/>
          </w:tcPr>
          <w:p>
            <w:pPr>
              <w:ind w:left="60"/>
              <w:spacing w:after="0"/>
              <w:rPr>
                <w:sz w:val="20"/>
                <w:szCs w:val="20"/>
                <w:color w:val="auto"/>
              </w:rPr>
            </w:pPr>
            <w:r>
              <w:rPr>
                <w:rFonts w:ascii="Arial" w:cs="Arial" w:eastAsia="Arial" w:hAnsi="Arial"/>
                <w:sz w:val="18"/>
                <w:szCs w:val="18"/>
                <w:color w:val="auto"/>
              </w:rPr>
              <w:t>Rights as a Lender</w:t>
            </w:r>
          </w:p>
        </w:tc>
        <w:tc>
          <w:tcPr>
            <w:tcW w:w="2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9.03</w:t>
            </w:r>
          </w:p>
        </w:tc>
        <w:tc>
          <w:tcPr>
            <w:tcW w:w="790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2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9.04</w:t>
            </w:r>
          </w:p>
        </w:tc>
        <w:tc>
          <w:tcPr>
            <w:tcW w:w="7900" w:type="dxa"/>
            <w:vAlign w:val="bottom"/>
          </w:tcPr>
          <w:p>
            <w:pPr>
              <w:ind w:left="60"/>
              <w:spacing w:after="0"/>
              <w:rPr>
                <w:sz w:val="20"/>
                <w:szCs w:val="20"/>
                <w:color w:val="auto"/>
              </w:rPr>
            </w:pPr>
            <w:r>
              <w:rPr>
                <w:rFonts w:ascii="Arial" w:cs="Arial" w:eastAsia="Arial" w:hAnsi="Arial"/>
                <w:sz w:val="18"/>
                <w:szCs w:val="18"/>
                <w:color w:val="auto"/>
              </w:rPr>
              <w:t>Reliance by Administrative Agent</w:t>
            </w:r>
          </w:p>
        </w:tc>
        <w:tc>
          <w:tcPr>
            <w:tcW w:w="2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9.05</w:t>
            </w:r>
          </w:p>
        </w:tc>
        <w:tc>
          <w:tcPr>
            <w:tcW w:w="790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2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9.06</w:t>
            </w:r>
          </w:p>
        </w:tc>
        <w:tc>
          <w:tcPr>
            <w:tcW w:w="7900" w:type="dxa"/>
            <w:vAlign w:val="bottom"/>
          </w:tcPr>
          <w:p>
            <w:pPr>
              <w:ind w:left="60"/>
              <w:spacing w:after="0"/>
              <w:rPr>
                <w:sz w:val="20"/>
                <w:szCs w:val="20"/>
                <w:color w:val="auto"/>
              </w:rPr>
            </w:pPr>
            <w:r>
              <w:rPr>
                <w:rFonts w:ascii="Arial" w:cs="Arial" w:eastAsia="Arial" w:hAnsi="Arial"/>
                <w:sz w:val="18"/>
                <w:szCs w:val="18"/>
                <w:color w:val="auto"/>
              </w:rPr>
              <w:t>Resignation of Administrative Agent</w:t>
            </w:r>
          </w:p>
        </w:tc>
        <w:tc>
          <w:tcPr>
            <w:tcW w:w="2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9.07</w:t>
            </w:r>
          </w:p>
        </w:tc>
        <w:tc>
          <w:tcPr>
            <w:tcW w:w="7900" w:type="dxa"/>
            <w:vAlign w:val="bottom"/>
          </w:tcPr>
          <w:p>
            <w:pPr>
              <w:ind w:left="60"/>
              <w:spacing w:after="0"/>
              <w:rPr>
                <w:sz w:val="20"/>
                <w:szCs w:val="20"/>
                <w:color w:val="auto"/>
              </w:rPr>
            </w:pPr>
            <w:r>
              <w:rPr>
                <w:rFonts w:ascii="Arial" w:cs="Arial" w:eastAsia="Arial" w:hAnsi="Arial"/>
                <w:sz w:val="18"/>
                <w:szCs w:val="18"/>
                <w:color w:val="auto"/>
              </w:rPr>
              <w:t>Non-Reliance on Administrative Agent and Other Lenders</w:t>
            </w:r>
          </w:p>
        </w:tc>
        <w:tc>
          <w:tcPr>
            <w:tcW w:w="2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9.08</w:t>
            </w:r>
          </w:p>
        </w:tc>
        <w:tc>
          <w:tcPr>
            <w:tcW w:w="7900" w:type="dxa"/>
            <w:vAlign w:val="bottom"/>
          </w:tcPr>
          <w:p>
            <w:pPr>
              <w:ind w:left="60"/>
              <w:spacing w:after="0"/>
              <w:rPr>
                <w:sz w:val="20"/>
                <w:szCs w:val="20"/>
                <w:color w:val="auto"/>
              </w:rPr>
            </w:pPr>
            <w:r>
              <w:rPr>
                <w:rFonts w:ascii="Arial" w:cs="Arial" w:eastAsia="Arial" w:hAnsi="Arial"/>
                <w:sz w:val="18"/>
                <w:szCs w:val="18"/>
                <w:color w:val="auto"/>
              </w:rPr>
              <w:t>Administrative Agent May File Proofs of Claim</w:t>
            </w:r>
          </w:p>
        </w:tc>
        <w:tc>
          <w:tcPr>
            <w:tcW w:w="2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9.09</w:t>
            </w:r>
          </w:p>
        </w:tc>
        <w:tc>
          <w:tcPr>
            <w:tcW w:w="7900" w:type="dxa"/>
            <w:vAlign w:val="bottom"/>
          </w:tcPr>
          <w:p>
            <w:pPr>
              <w:ind w:left="60"/>
              <w:spacing w:after="0"/>
              <w:rPr>
                <w:sz w:val="20"/>
                <w:szCs w:val="20"/>
                <w:color w:val="auto"/>
              </w:rPr>
            </w:pPr>
            <w:r>
              <w:rPr>
                <w:rFonts w:ascii="Arial" w:cs="Arial" w:eastAsia="Arial" w:hAnsi="Arial"/>
                <w:sz w:val="18"/>
                <w:szCs w:val="18"/>
                <w:color w:val="auto"/>
              </w:rPr>
              <w:t>Other Agents; Arrangers and Managers</w:t>
            </w:r>
          </w:p>
        </w:tc>
        <w:tc>
          <w:tcPr>
            <w:tcW w:w="2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9.10</w:t>
            </w:r>
          </w:p>
        </w:tc>
        <w:tc>
          <w:tcPr>
            <w:tcW w:w="790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91"/>
              </w:rPr>
              <w:t>9.11</w:t>
            </w:r>
          </w:p>
        </w:tc>
        <w:tc>
          <w:tcPr>
            <w:tcW w:w="7900" w:type="dxa"/>
            <w:vAlign w:val="bottom"/>
          </w:tcPr>
          <w:p>
            <w:pPr>
              <w:ind w:left="60"/>
              <w:spacing w:after="0"/>
              <w:rPr>
                <w:sz w:val="20"/>
                <w:szCs w:val="20"/>
                <w:color w:val="auto"/>
              </w:rPr>
            </w:pPr>
            <w:r>
              <w:rPr>
                <w:rFonts w:ascii="Arial" w:cs="Arial" w:eastAsia="Arial" w:hAnsi="Arial"/>
                <w:sz w:val="18"/>
                <w:szCs w:val="18"/>
                <w:color w:val="auto"/>
              </w:rPr>
              <w:t>Secured Hedge Agreements and Secured Cash Management Agreements</w:t>
            </w:r>
          </w:p>
        </w:tc>
        <w:tc>
          <w:tcPr>
            <w:tcW w:w="2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594"/>
        </w:trPr>
        <w:tc>
          <w:tcPr>
            <w:tcW w:w="8420" w:type="dxa"/>
            <w:vAlign w:val="bottom"/>
            <w:gridSpan w:val="2"/>
          </w:tcPr>
          <w:p>
            <w:pPr>
              <w:spacing w:after="0"/>
              <w:rPr>
                <w:sz w:val="20"/>
                <w:szCs w:val="20"/>
                <w:color w:val="auto"/>
              </w:rPr>
            </w:pPr>
            <w:r>
              <w:rPr>
                <w:rFonts w:ascii="Arial" w:cs="Arial" w:eastAsia="Arial" w:hAnsi="Arial"/>
                <w:sz w:val="18"/>
                <w:szCs w:val="18"/>
                <w:color w:val="auto"/>
              </w:rPr>
              <w:t>Article X. Continuing Guaranty OF THE PARENT GUARANTOR</w:t>
            </w:r>
          </w:p>
        </w:tc>
        <w:tc>
          <w:tcPr>
            <w:tcW w:w="2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10.01</w:t>
            </w:r>
          </w:p>
        </w:tc>
        <w:tc>
          <w:tcPr>
            <w:tcW w:w="7900" w:type="dxa"/>
            <w:vAlign w:val="bottom"/>
          </w:tcPr>
          <w:p>
            <w:pPr>
              <w:ind w:left="60"/>
              <w:spacing w:after="0"/>
              <w:rPr>
                <w:sz w:val="20"/>
                <w:szCs w:val="20"/>
                <w:color w:val="auto"/>
              </w:rPr>
            </w:pPr>
            <w:r>
              <w:rPr>
                <w:rFonts w:ascii="Arial" w:cs="Arial" w:eastAsia="Arial" w:hAnsi="Arial"/>
                <w:sz w:val="18"/>
                <w:szCs w:val="18"/>
                <w:color w:val="auto"/>
              </w:rPr>
              <w:t>Guaranty</w:t>
            </w:r>
          </w:p>
        </w:tc>
        <w:tc>
          <w:tcPr>
            <w:tcW w:w="2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10.02</w:t>
            </w:r>
          </w:p>
        </w:tc>
        <w:tc>
          <w:tcPr>
            <w:tcW w:w="7900" w:type="dxa"/>
            <w:vAlign w:val="bottom"/>
          </w:tcPr>
          <w:p>
            <w:pPr>
              <w:ind w:left="60"/>
              <w:spacing w:after="0"/>
              <w:rPr>
                <w:sz w:val="20"/>
                <w:szCs w:val="20"/>
                <w:color w:val="auto"/>
              </w:rPr>
            </w:pPr>
            <w:r>
              <w:rPr>
                <w:rFonts w:ascii="Arial" w:cs="Arial" w:eastAsia="Arial" w:hAnsi="Arial"/>
                <w:sz w:val="18"/>
                <w:szCs w:val="18"/>
                <w:color w:val="auto"/>
              </w:rPr>
              <w:t>Rights of Lenders</w:t>
            </w:r>
          </w:p>
        </w:tc>
        <w:tc>
          <w:tcPr>
            <w:tcW w:w="2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10.03</w:t>
            </w:r>
          </w:p>
        </w:tc>
        <w:tc>
          <w:tcPr>
            <w:tcW w:w="7900" w:type="dxa"/>
            <w:vAlign w:val="bottom"/>
          </w:tcPr>
          <w:p>
            <w:pPr>
              <w:ind w:left="60"/>
              <w:spacing w:after="0"/>
              <w:rPr>
                <w:sz w:val="20"/>
                <w:szCs w:val="20"/>
                <w:color w:val="auto"/>
              </w:rPr>
            </w:pPr>
            <w:r>
              <w:rPr>
                <w:rFonts w:ascii="Arial" w:cs="Arial" w:eastAsia="Arial" w:hAnsi="Arial"/>
                <w:sz w:val="18"/>
                <w:szCs w:val="18"/>
                <w:color w:val="auto"/>
              </w:rPr>
              <w:t>Certain Waivers</w:t>
            </w:r>
          </w:p>
        </w:tc>
        <w:tc>
          <w:tcPr>
            <w:tcW w:w="2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10.04</w:t>
            </w:r>
          </w:p>
        </w:tc>
        <w:tc>
          <w:tcPr>
            <w:tcW w:w="7900" w:type="dxa"/>
            <w:vAlign w:val="bottom"/>
          </w:tcPr>
          <w:p>
            <w:pPr>
              <w:ind w:left="60"/>
              <w:spacing w:after="0"/>
              <w:rPr>
                <w:sz w:val="20"/>
                <w:szCs w:val="20"/>
                <w:color w:val="auto"/>
              </w:rPr>
            </w:pPr>
            <w:r>
              <w:rPr>
                <w:rFonts w:ascii="Arial" w:cs="Arial" w:eastAsia="Arial" w:hAnsi="Arial"/>
                <w:sz w:val="18"/>
                <w:szCs w:val="18"/>
                <w:color w:val="auto"/>
              </w:rPr>
              <w:t>Obligations Independent</w:t>
            </w:r>
          </w:p>
        </w:tc>
        <w:tc>
          <w:tcPr>
            <w:tcW w:w="2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10.05</w:t>
            </w:r>
          </w:p>
        </w:tc>
        <w:tc>
          <w:tcPr>
            <w:tcW w:w="7900" w:type="dxa"/>
            <w:vAlign w:val="bottom"/>
          </w:tcPr>
          <w:p>
            <w:pPr>
              <w:ind w:left="60"/>
              <w:spacing w:after="0"/>
              <w:rPr>
                <w:sz w:val="20"/>
                <w:szCs w:val="20"/>
                <w:color w:val="auto"/>
              </w:rPr>
            </w:pPr>
            <w:r>
              <w:rPr>
                <w:rFonts w:ascii="Arial" w:cs="Arial" w:eastAsia="Arial" w:hAnsi="Arial"/>
                <w:sz w:val="18"/>
                <w:szCs w:val="18"/>
                <w:color w:val="auto"/>
              </w:rPr>
              <w:t>Subrogation</w:t>
            </w:r>
          </w:p>
        </w:tc>
        <w:tc>
          <w:tcPr>
            <w:tcW w:w="2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10.06</w:t>
            </w:r>
          </w:p>
        </w:tc>
        <w:tc>
          <w:tcPr>
            <w:tcW w:w="7900" w:type="dxa"/>
            <w:vAlign w:val="bottom"/>
          </w:tcPr>
          <w:p>
            <w:pPr>
              <w:ind w:left="60"/>
              <w:spacing w:after="0"/>
              <w:rPr>
                <w:sz w:val="20"/>
                <w:szCs w:val="20"/>
                <w:color w:val="auto"/>
              </w:rPr>
            </w:pPr>
            <w:r>
              <w:rPr>
                <w:rFonts w:ascii="Arial" w:cs="Arial" w:eastAsia="Arial" w:hAnsi="Arial"/>
                <w:sz w:val="18"/>
                <w:szCs w:val="18"/>
                <w:color w:val="auto"/>
              </w:rPr>
              <w:t>Termination; Reinstatement</w:t>
            </w:r>
          </w:p>
        </w:tc>
        <w:tc>
          <w:tcPr>
            <w:tcW w:w="2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10.07</w:t>
            </w:r>
          </w:p>
        </w:tc>
        <w:tc>
          <w:tcPr>
            <w:tcW w:w="7900" w:type="dxa"/>
            <w:vAlign w:val="bottom"/>
          </w:tcPr>
          <w:p>
            <w:pPr>
              <w:ind w:left="60"/>
              <w:spacing w:after="0"/>
              <w:rPr>
                <w:sz w:val="20"/>
                <w:szCs w:val="20"/>
                <w:color w:val="auto"/>
              </w:rPr>
            </w:pPr>
            <w:r>
              <w:rPr>
                <w:rFonts w:ascii="Arial" w:cs="Arial" w:eastAsia="Arial" w:hAnsi="Arial"/>
                <w:sz w:val="18"/>
                <w:szCs w:val="18"/>
                <w:color w:val="auto"/>
              </w:rPr>
              <w:t>Subordination</w:t>
            </w:r>
          </w:p>
        </w:tc>
        <w:tc>
          <w:tcPr>
            <w:tcW w:w="2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10.08</w:t>
            </w:r>
          </w:p>
        </w:tc>
        <w:tc>
          <w:tcPr>
            <w:tcW w:w="7900" w:type="dxa"/>
            <w:vAlign w:val="bottom"/>
          </w:tcPr>
          <w:p>
            <w:pPr>
              <w:ind w:left="60"/>
              <w:spacing w:after="0"/>
              <w:rPr>
                <w:sz w:val="20"/>
                <w:szCs w:val="20"/>
                <w:color w:val="auto"/>
              </w:rPr>
            </w:pPr>
            <w:r>
              <w:rPr>
                <w:rFonts w:ascii="Arial" w:cs="Arial" w:eastAsia="Arial" w:hAnsi="Arial"/>
                <w:sz w:val="18"/>
                <w:szCs w:val="18"/>
                <w:color w:val="auto"/>
              </w:rPr>
              <w:t>Stay of Acceleration</w:t>
            </w:r>
          </w:p>
        </w:tc>
        <w:tc>
          <w:tcPr>
            <w:tcW w:w="2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594"/>
        </w:trPr>
        <w:tc>
          <w:tcPr>
            <w:tcW w:w="842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8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11.01</w:t>
            </w:r>
          </w:p>
        </w:tc>
        <w:tc>
          <w:tcPr>
            <w:tcW w:w="7900" w:type="dxa"/>
            <w:vAlign w:val="bottom"/>
          </w:tcPr>
          <w:p>
            <w:pPr>
              <w:ind w:left="60"/>
              <w:spacing w:after="0"/>
              <w:rPr>
                <w:sz w:val="20"/>
                <w:szCs w:val="20"/>
                <w:color w:val="auto"/>
              </w:rPr>
            </w:pPr>
            <w:r>
              <w:rPr>
                <w:rFonts w:ascii="Arial" w:cs="Arial" w:eastAsia="Arial" w:hAnsi="Arial"/>
                <w:sz w:val="18"/>
                <w:szCs w:val="18"/>
                <w:color w:val="auto"/>
              </w:rPr>
              <w:t>Amendments, Etc.</w:t>
            </w:r>
          </w:p>
        </w:tc>
        <w:tc>
          <w:tcPr>
            <w:tcW w:w="28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11.02</w:t>
            </w:r>
          </w:p>
        </w:tc>
        <w:tc>
          <w:tcPr>
            <w:tcW w:w="7900" w:type="dxa"/>
            <w:vAlign w:val="bottom"/>
          </w:tcPr>
          <w:p>
            <w:pPr>
              <w:ind w:left="60"/>
              <w:spacing w:after="0"/>
              <w:rPr>
                <w:sz w:val="20"/>
                <w:szCs w:val="20"/>
                <w:color w:val="auto"/>
              </w:rPr>
            </w:pPr>
            <w:r>
              <w:rPr>
                <w:rFonts w:ascii="Arial" w:cs="Arial" w:eastAsia="Arial" w:hAnsi="Arial"/>
                <w:sz w:val="18"/>
                <w:szCs w:val="18"/>
                <w:color w:val="auto"/>
              </w:rPr>
              <w:t>Notices; Electronic Communications</w:t>
            </w:r>
          </w:p>
        </w:tc>
        <w:tc>
          <w:tcPr>
            <w:tcW w:w="28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11.03</w:t>
            </w:r>
          </w:p>
        </w:tc>
        <w:tc>
          <w:tcPr>
            <w:tcW w:w="7900" w:type="dxa"/>
            <w:vAlign w:val="bottom"/>
          </w:tcPr>
          <w:p>
            <w:pPr>
              <w:ind w:left="60"/>
              <w:spacing w:after="0"/>
              <w:rPr>
                <w:sz w:val="20"/>
                <w:szCs w:val="20"/>
                <w:color w:val="auto"/>
              </w:rPr>
            </w:pPr>
            <w:r>
              <w:rPr>
                <w:rFonts w:ascii="Arial" w:cs="Arial" w:eastAsia="Arial" w:hAnsi="Arial"/>
                <w:sz w:val="18"/>
                <w:szCs w:val="18"/>
                <w:color w:val="auto"/>
              </w:rPr>
              <w:t>No Waiver; Cumulative Remedies; Enforcement</w:t>
            </w:r>
          </w:p>
        </w:tc>
        <w:tc>
          <w:tcPr>
            <w:tcW w:w="2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11.04</w:t>
            </w:r>
          </w:p>
        </w:tc>
        <w:tc>
          <w:tcPr>
            <w:tcW w:w="7900" w:type="dxa"/>
            <w:vAlign w:val="bottom"/>
          </w:tcPr>
          <w:p>
            <w:pPr>
              <w:ind w:left="60"/>
              <w:spacing w:after="0"/>
              <w:rPr>
                <w:sz w:val="20"/>
                <w:szCs w:val="20"/>
                <w:color w:val="auto"/>
              </w:rPr>
            </w:pPr>
            <w:r>
              <w:rPr>
                <w:rFonts w:ascii="Arial" w:cs="Arial" w:eastAsia="Arial" w:hAnsi="Arial"/>
                <w:sz w:val="18"/>
                <w:szCs w:val="18"/>
                <w:color w:val="auto"/>
              </w:rPr>
              <w:t>Expenses; Indemnity; Damage Waiver</w:t>
            </w:r>
          </w:p>
        </w:tc>
        <w:tc>
          <w:tcPr>
            <w:tcW w:w="28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11.05</w:t>
            </w:r>
          </w:p>
        </w:tc>
        <w:tc>
          <w:tcPr>
            <w:tcW w:w="7900" w:type="dxa"/>
            <w:vAlign w:val="bottom"/>
          </w:tcPr>
          <w:p>
            <w:pPr>
              <w:ind w:left="60"/>
              <w:spacing w:after="0"/>
              <w:rPr>
                <w:sz w:val="20"/>
                <w:szCs w:val="20"/>
                <w:color w:val="auto"/>
              </w:rPr>
            </w:pPr>
            <w:r>
              <w:rPr>
                <w:rFonts w:ascii="Arial" w:cs="Arial" w:eastAsia="Arial" w:hAnsi="Arial"/>
                <w:sz w:val="18"/>
                <w:szCs w:val="18"/>
                <w:color w:val="auto"/>
              </w:rPr>
              <w:t>Payments Set Aside</w:t>
            </w:r>
          </w:p>
        </w:tc>
        <w:tc>
          <w:tcPr>
            <w:tcW w:w="28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11.06</w:t>
            </w:r>
          </w:p>
        </w:tc>
        <w:tc>
          <w:tcPr>
            <w:tcW w:w="790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860" w:type="dxa"/>
            <w:vAlign w:val="bottom"/>
          </w:tcPr>
          <w:p>
            <w:pPr>
              <w:jc w:val="right"/>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280"/>
          </w:cols>
          <w:pgMar w:left="280" w:top="1440"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11.07</w:t>
            </w:r>
          </w:p>
        </w:tc>
        <w:tc>
          <w:tcPr>
            <w:tcW w:w="77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3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11.08</w:t>
            </w:r>
          </w:p>
        </w:tc>
        <w:tc>
          <w:tcPr>
            <w:tcW w:w="7720" w:type="dxa"/>
            <w:vAlign w:val="bottom"/>
          </w:tcPr>
          <w:p>
            <w:pPr>
              <w:ind w:left="60"/>
              <w:spacing w:after="0"/>
              <w:rPr>
                <w:sz w:val="20"/>
                <w:szCs w:val="20"/>
                <w:color w:val="auto"/>
              </w:rPr>
            </w:pPr>
            <w:r>
              <w:rPr>
                <w:rFonts w:ascii="Arial" w:cs="Arial" w:eastAsia="Arial" w:hAnsi="Arial"/>
                <w:sz w:val="18"/>
                <w:szCs w:val="18"/>
                <w:color w:val="auto"/>
              </w:rPr>
              <w:t>Set-off</w:t>
            </w:r>
          </w:p>
        </w:tc>
        <w:tc>
          <w:tcPr>
            <w:tcW w:w="3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11.09</w:t>
            </w:r>
          </w:p>
        </w:tc>
        <w:tc>
          <w:tcPr>
            <w:tcW w:w="7720" w:type="dxa"/>
            <w:vAlign w:val="bottom"/>
          </w:tcPr>
          <w:p>
            <w:pPr>
              <w:ind w:left="60"/>
              <w:spacing w:after="0"/>
              <w:rPr>
                <w:sz w:val="20"/>
                <w:szCs w:val="20"/>
                <w:color w:val="auto"/>
              </w:rPr>
            </w:pPr>
            <w:r>
              <w:rPr>
                <w:rFonts w:ascii="Arial" w:cs="Arial" w:eastAsia="Arial" w:hAnsi="Arial"/>
                <w:sz w:val="18"/>
                <w:szCs w:val="18"/>
                <w:color w:val="auto"/>
              </w:rPr>
              <w:t>Interest Rate Limitation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11.10</w:t>
            </w:r>
          </w:p>
        </w:tc>
        <w:tc>
          <w:tcPr>
            <w:tcW w:w="77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11.11</w:t>
            </w:r>
          </w:p>
        </w:tc>
        <w:tc>
          <w:tcPr>
            <w:tcW w:w="7720" w:type="dxa"/>
            <w:vAlign w:val="bottom"/>
          </w:tcPr>
          <w:p>
            <w:pPr>
              <w:ind w:left="60"/>
              <w:spacing w:after="0"/>
              <w:rPr>
                <w:sz w:val="20"/>
                <w:szCs w:val="20"/>
                <w:color w:val="auto"/>
              </w:rPr>
            </w:pPr>
            <w:r>
              <w:rPr>
                <w:rFonts w:ascii="Arial" w:cs="Arial" w:eastAsia="Arial" w:hAnsi="Arial"/>
                <w:sz w:val="18"/>
                <w:szCs w:val="18"/>
                <w:color w:val="auto"/>
              </w:rPr>
              <w:t>Integration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11.12</w:t>
            </w:r>
          </w:p>
        </w:tc>
        <w:tc>
          <w:tcPr>
            <w:tcW w:w="7720" w:type="dxa"/>
            <w:vAlign w:val="bottom"/>
          </w:tcPr>
          <w:p>
            <w:pPr>
              <w:ind w:left="60"/>
              <w:spacing w:after="0"/>
              <w:rPr>
                <w:sz w:val="20"/>
                <w:szCs w:val="20"/>
                <w:color w:val="auto"/>
              </w:rPr>
            </w:pPr>
            <w:r>
              <w:rPr>
                <w:rFonts w:ascii="Arial" w:cs="Arial" w:eastAsia="Arial" w:hAnsi="Arial"/>
                <w:sz w:val="18"/>
                <w:szCs w:val="18"/>
                <w:color w:val="auto"/>
              </w:rPr>
              <w:t>Survival of Representations and Warranties</w:t>
            </w:r>
          </w:p>
        </w:tc>
        <w:tc>
          <w:tcPr>
            <w:tcW w:w="3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11.13</w:t>
            </w:r>
          </w:p>
        </w:tc>
        <w:tc>
          <w:tcPr>
            <w:tcW w:w="77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11.14</w:t>
            </w:r>
          </w:p>
        </w:tc>
        <w:tc>
          <w:tcPr>
            <w:tcW w:w="7720" w:type="dxa"/>
            <w:vAlign w:val="bottom"/>
          </w:tcPr>
          <w:p>
            <w:pPr>
              <w:ind w:left="60"/>
              <w:spacing w:after="0"/>
              <w:rPr>
                <w:sz w:val="20"/>
                <w:szCs w:val="20"/>
                <w:color w:val="auto"/>
              </w:rPr>
            </w:pPr>
            <w:r>
              <w:rPr>
                <w:rFonts w:ascii="Arial" w:cs="Arial" w:eastAsia="Arial" w:hAnsi="Arial"/>
                <w:sz w:val="18"/>
                <w:szCs w:val="18"/>
                <w:color w:val="auto"/>
              </w:rPr>
              <w:t>Replacement of Lenders</w:t>
            </w:r>
          </w:p>
        </w:tc>
        <w:tc>
          <w:tcPr>
            <w:tcW w:w="3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11.15</w:t>
            </w:r>
          </w:p>
        </w:tc>
        <w:tc>
          <w:tcPr>
            <w:tcW w:w="77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0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11.16</w:t>
            </w:r>
          </w:p>
        </w:tc>
        <w:tc>
          <w:tcPr>
            <w:tcW w:w="7720" w:type="dxa"/>
            <w:vAlign w:val="bottom"/>
          </w:tcPr>
          <w:p>
            <w:pPr>
              <w:ind w:left="60"/>
              <w:spacing w:after="0"/>
              <w:rPr>
                <w:sz w:val="20"/>
                <w:szCs w:val="20"/>
                <w:color w:val="auto"/>
              </w:rPr>
            </w:pPr>
            <w:r>
              <w:rPr>
                <w:rFonts w:ascii="Arial" w:cs="Arial" w:eastAsia="Arial" w:hAnsi="Arial"/>
                <w:sz w:val="18"/>
                <w:szCs w:val="18"/>
                <w:color w:val="auto"/>
              </w:rPr>
              <w:t>Waiver of Right to Trial by Jury</w:t>
            </w:r>
          </w:p>
        </w:tc>
        <w:tc>
          <w:tcPr>
            <w:tcW w:w="30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11.17</w:t>
            </w:r>
          </w:p>
        </w:tc>
        <w:tc>
          <w:tcPr>
            <w:tcW w:w="7720" w:type="dxa"/>
            <w:vAlign w:val="bottom"/>
          </w:tcPr>
          <w:p>
            <w:pPr>
              <w:ind w:left="60"/>
              <w:spacing w:after="0"/>
              <w:rPr>
                <w:sz w:val="20"/>
                <w:szCs w:val="20"/>
                <w:color w:val="auto"/>
              </w:rPr>
            </w:pPr>
            <w:r>
              <w:rPr>
                <w:rFonts w:ascii="Arial" w:cs="Arial" w:eastAsia="Arial" w:hAnsi="Arial"/>
                <w:sz w:val="18"/>
                <w:szCs w:val="18"/>
                <w:color w:val="auto"/>
              </w:rPr>
              <w:t>No Advisory or Fiduciary Responsibility</w:t>
            </w:r>
          </w:p>
        </w:tc>
        <w:tc>
          <w:tcPr>
            <w:tcW w:w="30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11.18</w:t>
            </w:r>
          </w:p>
        </w:tc>
        <w:tc>
          <w:tcPr>
            <w:tcW w:w="7720" w:type="dxa"/>
            <w:vAlign w:val="bottom"/>
          </w:tcPr>
          <w:p>
            <w:pPr>
              <w:ind w:left="60"/>
              <w:spacing w:after="0"/>
              <w:rPr>
                <w:sz w:val="20"/>
                <w:szCs w:val="20"/>
                <w:color w:val="auto"/>
              </w:rPr>
            </w:pPr>
            <w:r>
              <w:rPr>
                <w:rFonts w:ascii="Arial" w:cs="Arial" w:eastAsia="Arial" w:hAnsi="Arial"/>
                <w:sz w:val="18"/>
                <w:szCs w:val="18"/>
                <w:color w:val="auto"/>
              </w:rPr>
              <w:t>Electronic Execution of Assignments and Certain Other Documents</w:t>
            </w:r>
          </w:p>
        </w:tc>
        <w:tc>
          <w:tcPr>
            <w:tcW w:w="30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11.19</w:t>
            </w:r>
          </w:p>
        </w:tc>
        <w:tc>
          <w:tcPr>
            <w:tcW w:w="7720" w:type="dxa"/>
            <w:vAlign w:val="bottom"/>
          </w:tcPr>
          <w:p>
            <w:pPr>
              <w:ind w:left="60"/>
              <w:spacing w:after="0"/>
              <w:rPr>
                <w:sz w:val="20"/>
                <w:szCs w:val="20"/>
                <w:color w:val="auto"/>
              </w:rPr>
            </w:pPr>
            <w:r>
              <w:rPr>
                <w:rFonts w:ascii="Arial" w:cs="Arial" w:eastAsia="Arial" w:hAnsi="Arial"/>
                <w:sz w:val="18"/>
                <w:szCs w:val="18"/>
                <w:color w:val="auto"/>
              </w:rPr>
              <w:t>USA PATRIOT Act Notice</w:t>
            </w:r>
          </w:p>
        </w:tc>
        <w:tc>
          <w:tcPr>
            <w:tcW w:w="30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11.20</w:t>
            </w:r>
          </w:p>
        </w:tc>
        <w:tc>
          <w:tcPr>
            <w:tcW w:w="77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04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40" w:top="74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SCHEDULES</w:t>
      </w:r>
    </w:p>
    <w:p>
      <w:pPr>
        <w:sectPr>
          <w:pgSz w:w="11900" w:h="16838" w:orient="portrait"/>
          <w:cols w:equalWidth="0" w:num="1">
            <w:col w:w="11260"/>
          </w:cols>
          <w:pgMar w:left="280" w:top="1283"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SCHEDULE 2.01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2.04</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5.09</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5.12</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5.19</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7.05</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SCHEDULE 11.02</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Pro Rata Shares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Swing Line Rate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Labor Disputes and Acts of God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Subsidiaries and Equity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Investments on the Execution Date and Closing Date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Agent’s Office, Certain Addresses for Notices</w:t>
      </w:r>
    </w:p>
    <w:p>
      <w:pPr>
        <w:spacing w:after="0" w:line="200" w:lineRule="exact"/>
        <w:rPr>
          <w:sz w:val="20"/>
          <w:szCs w:val="20"/>
          <w:color w:val="auto"/>
        </w:rPr>
      </w:pPr>
    </w:p>
    <w:p>
      <w:pPr>
        <w:sectPr>
          <w:pgSz w:w="11900" w:h="16838" w:orient="portrait"/>
          <w:cols w:equalWidth="0" w:num="2">
            <w:col w:w="1440" w:space="720"/>
            <w:col w:w="9100"/>
          </w:cols>
          <w:pgMar w:left="280" w:top="1283" w:right="35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260"/>
          </w:cols>
          <w:pgMar w:left="280" w:top="1283" w:right="359"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EXHIBIT A-1: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A-2: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EXHIBIT E-1:</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EXHIBIT E-2:</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EXHIBIT E-3:</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EXHIBIT E-4:</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Form of Loan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Swing Line Loan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Assumption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Form of U.S. Tax Compliance Certificate (For Foreign Lenders That Are Not Partnerships for U.S. Federal Income Tax</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Form of U.S. Tax Compliance Certificate (For Foreign Participants That Are Not Partnerships for U.S. Federal Income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Form of U.S. Tax Compliance Certificate (For Foreign Participants That Are Partnerships For U.S. Federal Income Tax</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Form of U.S. Tax Compliance Certificate (For Foreign Lenders That Are Partnerships For U.S. Federal Income Tax Purposes)</w:t>
      </w:r>
    </w:p>
    <w:p>
      <w:pPr>
        <w:spacing w:after="0" w:line="211" w:lineRule="exact"/>
        <w:rPr>
          <w:sz w:val="20"/>
          <w:szCs w:val="20"/>
          <w:color w:val="auto"/>
        </w:rPr>
      </w:pPr>
    </w:p>
    <w:p>
      <w:pPr>
        <w:sectPr>
          <w:pgSz w:w="11900" w:h="16838" w:orient="portrait"/>
          <w:cols w:equalWidth="0" w:num="2">
            <w:col w:w="1440" w:space="720"/>
            <w:col w:w="9100"/>
          </w:cols>
          <w:pgMar w:left="280" w:top="1283" w:right="359" w:bottom="1440" w:gutter="0" w:footer="0" w:header="0"/>
          <w:type w:val="continuous"/>
        </w:sectPr>
      </w:pP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60"/>
          </w:cols>
          <w:pgMar w:left="280" w:top="1283" w:right="35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CREDIT AGREEMENT</w:t>
      </w:r>
    </w:p>
    <w:p>
      <w:pPr>
        <w:spacing w:after="0" w:line="17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This 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August 14, 2013, among QEP MIDSTREAM PARTNERS OPERATING,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QEP MIDSTREAM PARTNERS, LP, a Delaware limited partnership (“</w:t>
      </w:r>
      <w:r>
        <w:rPr>
          <w:rFonts w:ascii="Arial" w:cs="Arial" w:eastAsia="Arial" w:hAnsi="Arial"/>
          <w:sz w:val="17"/>
          <w:szCs w:val="17"/>
          <w:u w:val="single" w:color="auto"/>
          <w:color w:val="auto"/>
        </w:rPr>
        <w:t>Parent Guarantor</w:t>
      </w:r>
      <w:r>
        <w:rPr>
          <w:rFonts w:ascii="Arial" w:cs="Arial" w:eastAsia="Arial" w:hAnsi="Arial"/>
          <w:sz w:val="17"/>
          <w:szCs w:val="17"/>
          <w:color w:val="auto"/>
        </w:rPr>
        <w:t>”),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WELLS FARGO BANK, NATIONAL ASSOCIATION, as Administrative Agent, L/C Issuer and Swing Line Lender, and the other L/C Issuers from time to time party hereto.</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Borrower has requested that the Lenders provide a revolving credit facility, and the Lenders are willing to do so on the terms and conditions set forth herein.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ACCOUNTING TERMS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Defined Terms</w:t>
      </w:r>
      <w:r>
        <w:rPr>
          <w:rFonts w:ascii="Arial" w:cs="Arial" w:eastAsia="Arial" w:hAnsi="Arial"/>
          <w:sz w:val="18"/>
          <w:szCs w:val="18"/>
          <w:color w:val="auto"/>
        </w:rPr>
        <w:t>. As used in this Agreement, the following terms shall have the meanings set forth below:</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Changes</w:t>
      </w:r>
      <w:r>
        <w:rPr>
          <w:rFonts w:ascii="Arial" w:cs="Arial" w:eastAsia="Arial" w:hAnsi="Arial"/>
          <w:sz w:val="16"/>
          <w:szCs w:val="16"/>
          <w:color w:val="auto"/>
        </w:rPr>
        <w:t>” when used with respect to the Registration Statement means amendments, supplements and other changes thereto that are either</w:t>
      </w:r>
    </w:p>
    <w:p>
      <w:pPr>
        <w:spacing w:after="0" w:line="46" w:lineRule="exact"/>
        <w:rPr>
          <w:sz w:val="20"/>
          <w:szCs w:val="20"/>
          <w:color w:val="auto"/>
        </w:rPr>
      </w:pPr>
    </w:p>
    <w:p>
      <w:pPr>
        <w:ind w:right="1000" w:firstLine="8"/>
        <w:spacing w:after="0" w:line="261"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material and adverse to the Lenders as determined by the Joint Bookrunners in their reasonable judgment or (b) are agreed to by the Joint Bookrunners, such agreement not to be unreasonably withheld or delayed.</w:t>
      </w:r>
    </w:p>
    <w:p>
      <w:pPr>
        <w:spacing w:after="0" w:line="1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Businesses</w:t>
      </w:r>
      <w:r>
        <w:rPr>
          <w:rFonts w:ascii="Arial" w:cs="Arial" w:eastAsia="Arial" w:hAnsi="Arial"/>
          <w:sz w:val="18"/>
          <w:szCs w:val="18"/>
          <w:color w:val="auto"/>
        </w:rPr>
        <w:t>” means the businesses, and interests in businesses, described in the Registration Statement acquired by the Borrower on or before the first day of the Availability Period.</w:t>
      </w:r>
    </w:p>
    <w:p>
      <w:pPr>
        <w:spacing w:after="0" w:line="11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Permitted Acquisition, a Permitted Affiliate Acquisition or any other acquisition of any assets by a Loan Party or a Restricted Subsidiary that is not prohibited by this Agreement.</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Period</w:t>
      </w:r>
      <w:r>
        <w:rPr>
          <w:rFonts w:ascii="Arial" w:cs="Arial" w:eastAsia="Arial" w:hAnsi="Arial"/>
          <w:sz w:val="18"/>
          <w:szCs w:val="18"/>
          <w:color w:val="auto"/>
        </w:rPr>
        <w:t xml:space="preserve">” means the period from and after a Qualifying Acquisition to and including the last day of the second full fiscal quarter following the fiscal quarter in which such Qualifying Acquisition occurred; provided, that during any Acquisition Period, no additional Acquisition Period shall commence, nor shall such Acquisition Period be extended by any subsequent Qualifying Acquisition until the current Acquisition Period shall have terminated and the Parent Guarantor shall be in compliance with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133"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Wells Fargo Bank in its capacity as administrative agent under any of the Loan Documents, or any successor administrative agent.</w:t>
      </w:r>
    </w:p>
    <w:p>
      <w:pPr>
        <w:spacing w:after="0" w:line="116" w:lineRule="exact"/>
        <w:rPr>
          <w:sz w:val="20"/>
          <w:szCs w:val="20"/>
          <w:color w:val="auto"/>
        </w:rPr>
      </w:pPr>
    </w:p>
    <w:p>
      <w:pPr>
        <w:ind w:right="800"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Agent’s Office</w:t>
      </w:r>
      <w:r>
        <w:rPr>
          <w:rFonts w:ascii="Arial" w:cs="Arial" w:eastAsia="Arial" w:hAnsi="Arial"/>
          <w:sz w:val="16"/>
          <w:szCs w:val="16"/>
          <w:color w:val="auto"/>
        </w:rPr>
        <w:t xml:space="preserve">” means the Administrative Agent’s address as set forth on </w:t>
      </w:r>
      <w:r>
        <w:rPr>
          <w:rFonts w:ascii="Arial" w:cs="Arial" w:eastAsia="Arial" w:hAnsi="Arial"/>
          <w:sz w:val="16"/>
          <w:szCs w:val="16"/>
          <w:u w:val="single" w:color="auto"/>
          <w:color w:val="auto"/>
        </w:rPr>
        <w:t>Schedule 11.02</w:t>
      </w:r>
      <w:r>
        <w:rPr>
          <w:rFonts w:ascii="Arial" w:cs="Arial" w:eastAsia="Arial" w:hAnsi="Arial"/>
          <w:sz w:val="16"/>
          <w:szCs w:val="16"/>
          <w:color w:val="auto"/>
        </w:rPr>
        <w:t>, and the account designated by the Administrative Agent or such other address or account as the Administrative Agent may from time to time notify the Borrower and the Lenders.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ectPr>
          <w:pgSz w:w="11900" w:h="16838" w:orient="portrait"/>
          <w:cols w:equalWidth="0" w:num="1">
            <w:col w:w="11400"/>
          </w:cols>
          <w:pgMar w:left="240" w:top="797" w:right="259" w:bottom="1440" w:gutter="0" w:footer="0" w:header="0"/>
        </w:sectPr>
      </w:pPr>
    </w:p>
    <w:bookmarkStart w:id="69" w:name="page70"/>
    <w:bookmarkEnd w:id="69"/>
    <w:p>
      <w:pPr>
        <w:ind w:right="2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each other Person that directly or indirectly (through one or more intermediaries or otherwise) controls, is controlled by, or is under common control with, such Person. A Person shall be deemed to be “controlled by” any other Person if such other Person possesses, directly or indirectly, the power to direct or cause the direction of the management or policies of such Person, whether through the ability to exercise voting power, by contract or otherwise.</w:t>
      </w:r>
    </w:p>
    <w:p>
      <w:pPr>
        <w:spacing w:after="0" w:line="13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Non-Wholly Owned Subsidiary</w:t>
      </w:r>
      <w:r>
        <w:rPr>
          <w:rFonts w:ascii="Arial" w:cs="Arial" w:eastAsia="Arial" w:hAnsi="Arial"/>
          <w:sz w:val="18"/>
          <w:szCs w:val="18"/>
          <w:color w:val="auto"/>
        </w:rPr>
        <w:t>” means each Non-Wholly Owned Subsidiary of the Parent Guarantor of which all the Equity Interests are owned by (x) one or more Loan Parties and/or Restricted Subsidiaries and (y) QRI and/or its Subsidiaries.</w:t>
      </w:r>
    </w:p>
    <w:p>
      <w:pPr>
        <w:spacing w:after="0" w:line="11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the Administrative Agent, together with its Affiliates, the Arrangers, and the officers, directors, employees, agents and attorneys-in-fact of such Persons and Affiliates.</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xml:space="preserve">” means the Commitments of all the Lenders in an amount not to exceed $500,000,000, except as such amount may be increased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Agreement.</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from time to time, the following percentages per annum, based upon the Consolidated Leverage Ratio as set forth in the most recent Compliance Certificate received by the Administrative Agent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Rate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Eurodollar Spread</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for Eurodollar</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Consolidated Leverage</w:t>
            </w: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Commitment</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Loans and+</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Margin for</w:t>
            </w:r>
          </w:p>
        </w:tc>
        <w:tc>
          <w:tcPr>
            <w:tcW w:w="0" w:type="dxa"/>
            <w:vAlign w:val="bottom"/>
          </w:tcPr>
          <w:p>
            <w:pPr>
              <w:spacing w:after="0"/>
              <w:rPr>
                <w:sz w:val="1"/>
                <w:szCs w:val="1"/>
                <w:color w:val="auto"/>
              </w:rPr>
            </w:pPr>
          </w:p>
        </w:tc>
      </w:tr>
      <w:tr>
        <w:trPr>
          <w:trHeight w:val="149"/>
        </w:trPr>
        <w:tc>
          <w:tcPr>
            <w:tcW w:w="4080" w:type="dxa"/>
            <w:vAlign w:val="bottom"/>
            <w:vMerge w:val="restart"/>
          </w:tcPr>
          <w:p>
            <w:pPr>
              <w:jc w:val="right"/>
              <w:ind w:right="3134"/>
              <w:spacing w:after="0"/>
              <w:rPr>
                <w:sz w:val="20"/>
                <w:szCs w:val="20"/>
                <w:color w:val="auto"/>
              </w:rPr>
            </w:pPr>
            <w:r>
              <w:rPr>
                <w:rFonts w:ascii="Arial" w:cs="Arial" w:eastAsia="Arial" w:hAnsi="Arial"/>
                <w:sz w:val="14"/>
                <w:szCs w:val="14"/>
                <w:b w:val="1"/>
                <w:bCs w:val="1"/>
                <w:color w:val="auto"/>
                <w:w w:val="96"/>
              </w:rPr>
              <w:t>Pricing Level</w:t>
            </w:r>
          </w:p>
        </w:tc>
        <w:tc>
          <w:tcPr>
            <w:tcW w:w="182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Letter of Credit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Rate</w:t>
            </w:r>
          </w:p>
        </w:tc>
        <w:tc>
          <w:tcPr>
            <w:tcW w:w="0" w:type="dxa"/>
            <w:vAlign w:val="bottom"/>
          </w:tcPr>
          <w:p>
            <w:pPr>
              <w:spacing w:after="0"/>
              <w:rPr>
                <w:sz w:val="1"/>
                <w:szCs w:val="1"/>
                <w:color w:val="auto"/>
              </w:rPr>
            </w:pPr>
          </w:p>
        </w:tc>
      </w:tr>
      <w:tr>
        <w:trPr>
          <w:trHeight w:val="192"/>
        </w:trPr>
        <w:tc>
          <w:tcPr>
            <w:tcW w:w="4080" w:type="dxa"/>
            <w:vAlign w:val="bottom"/>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Ratio</w:t>
            </w: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Fee</w:t>
            </w: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Fees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w:t>
            </w:r>
          </w:p>
        </w:tc>
        <w:tc>
          <w:tcPr>
            <w:tcW w:w="170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&lt; 3.00:1.00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0.750%</w:t>
            </w:r>
          </w:p>
        </w:tc>
        <w:tc>
          <w:tcPr>
            <w:tcW w:w="0" w:type="dxa"/>
            <w:vAlign w:val="bottom"/>
          </w:tcPr>
          <w:p>
            <w:pPr>
              <w:spacing w:after="0"/>
              <w:rPr>
                <w:sz w:val="1"/>
                <w:szCs w:val="1"/>
                <w:color w:val="auto"/>
              </w:rPr>
            </w:pPr>
          </w:p>
        </w:tc>
      </w:tr>
      <w:tr>
        <w:trPr>
          <w:trHeight w:val="243"/>
        </w:trPr>
        <w:tc>
          <w:tcPr>
            <w:tcW w:w="408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³ 3.00 and &lt; 3.50:1.00</w:t>
            </w:r>
          </w:p>
        </w:tc>
        <w:tc>
          <w:tcPr>
            <w:tcW w:w="1760" w:type="dxa"/>
            <w:vAlign w:val="bottom"/>
          </w:tcPr>
          <w:p>
            <w:pPr>
              <w:jc w:val="right"/>
              <w:spacing w:after="0"/>
              <w:rPr>
                <w:sz w:val="20"/>
                <w:szCs w:val="20"/>
                <w:color w:val="auto"/>
              </w:rPr>
            </w:pPr>
            <w:r>
              <w:rPr>
                <w:rFonts w:ascii="Arial" w:cs="Arial" w:eastAsia="Arial" w:hAnsi="Arial"/>
                <w:sz w:val="18"/>
                <w:szCs w:val="18"/>
                <w:color w:val="auto"/>
              </w:rPr>
              <w:t>0.350%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³ 3.50 and &lt; 4.00:1.00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408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1700" w:type="dxa"/>
            <w:vAlign w:val="bottom"/>
          </w:tcPr>
          <w:p>
            <w:pPr>
              <w:jc w:val="right"/>
              <w:ind w:right="556"/>
              <w:spacing w:after="0"/>
              <w:rPr>
                <w:sz w:val="20"/>
                <w:szCs w:val="20"/>
                <w:color w:val="auto"/>
              </w:rPr>
            </w:pPr>
            <w:r>
              <w:rPr>
                <w:rFonts w:ascii="Arial" w:cs="Arial" w:eastAsia="Arial" w:hAnsi="Arial"/>
                <w:sz w:val="18"/>
                <w:szCs w:val="18"/>
                <w:color w:val="auto"/>
              </w:rPr>
              <w:t>³ 4.00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Compliance Certificate is not delivered when due in accordance with such Section, then Pricing Level 4 shall apply as of the first Business Day after the date on which such Compliance Certificate was required to have been delivered and shall remain in effect until the date on which such Compliance Certificate is delivered. The Applicable Rate in effect on the Closing Date shall be determined based upon Pricing Level 1.</w:t>
      </w:r>
    </w:p>
    <w:p>
      <w:pPr>
        <w:spacing w:after="0" w:line="11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11.06(h)</w:t>
      </w:r>
      <w:r>
        <w:rPr>
          <w:rFonts w:ascii="Arial" w:cs="Arial" w:eastAsia="Arial" w:hAnsi="Arial"/>
          <w:sz w:val="18"/>
          <w:szCs w:val="18"/>
          <w:color w:val="auto"/>
        </w:rPr>
        <w:t>.</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Wells Fargo Securities LLC, Citigroup Global Markets, Inc., Deutsche Bank Securities Inc., J.P. Morgan Securities LLC, Morgan Stanley Senior Funding, Inc. and U.S. Bank National Association, in their respective capacities as joint lead arrangers.</w:t>
      </w:r>
    </w:p>
    <w:p>
      <w:pPr>
        <w:spacing w:after="0" w:line="1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62" w:right="239" w:bottom="1440" w:gutter="0" w:footer="0" w:header="0"/>
        </w:sectPr>
      </w:pPr>
    </w:p>
    <w:bookmarkStart w:id="70" w:name="page71"/>
    <w:bookmarkEnd w:id="70"/>
    <w:p>
      <w:pPr>
        <w:ind w:firstLine="43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 Sale</w:t>
      </w:r>
      <w:r>
        <w:rPr>
          <w:rFonts w:ascii="Arial" w:cs="Arial" w:eastAsia="Arial" w:hAnsi="Arial"/>
          <w:sz w:val="17"/>
          <w:szCs w:val="17"/>
          <w:color w:val="auto"/>
        </w:rPr>
        <w:t xml:space="preserve">” means (a) the sale, transfer or other disposition (by way of merger or otherwise) of any Equity Interests by the Parent Guarantor, the Borrower or any Restricted Subsidiary, including the issuance of Equity Interests by any Restricted Subsidiary, to any Person other than the Parent Guarantor, the Borrower or a Wholly Owned Restricted Subsidiary and (b) the sale, transfer or other disposition (by way of merger or otherwise) of any other property or assets by the Parent Guarantor, the Borrower or any Restricted Subsidiary to any Person other than the Parent Guarantor, the Borrower or any Wholly Owned Restricted Subsidiary (in each case other than any Disposition permitted under clauses (a) through (h) of </w:t>
      </w:r>
      <w:r>
        <w:rPr>
          <w:rFonts w:ascii="Arial" w:cs="Arial" w:eastAsia="Arial" w:hAnsi="Arial"/>
          <w:sz w:val="17"/>
          <w:szCs w:val="17"/>
          <w:u w:val="single" w:color="auto"/>
          <w:color w:val="auto"/>
        </w:rPr>
        <w:t>Section 7.11</w:t>
      </w:r>
      <w:r>
        <w:rPr>
          <w:rFonts w:ascii="Arial" w:cs="Arial" w:eastAsia="Arial" w:hAnsi="Arial"/>
          <w:sz w:val="17"/>
          <w:szCs w:val="17"/>
          <w:color w:val="auto"/>
        </w:rPr>
        <w:t>).</w:t>
      </w:r>
    </w:p>
    <w:p>
      <w:pPr>
        <w:spacing w:after="0" w:line="119"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fees, expenses and disbursements of any law firm or other external counsel.</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3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2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plus 1/2 of 1%, (b) the rate of interest in effect for such day as publicly announced from time to time by Wells Fargo Bank as its “prime rate”, and (c) the Eurodollar Rate for a one month Interest Period for such day (or if such day is not a Business Day, the immediately preceding Business Day) plus 1%. The “prime rate” is a rate set by Wells Fargo Bank based upon various factors including Wells Fargo Bank’s costs and desired return, general economic conditions and other factors, and is used as a reference point for pricing some loans, which may be priced at, above, or below such announced rate. Any change in such rate announced by Wells Fargo Bank shall take effect at the opening of business on the day specified in the public announcement of such change.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consisting of simultaneous Loans of the same Type and, in the case of Eurodollar Rate Loans, having the same Interest Period made by each of the Lenders pursuant to </w:t>
      </w:r>
      <w:r>
        <w:rPr>
          <w:rFonts w:ascii="Arial" w:cs="Arial" w:eastAsia="Arial" w:hAnsi="Arial"/>
          <w:sz w:val="18"/>
          <w:szCs w:val="18"/>
          <w:u w:val="single" w:color="auto"/>
          <w:color w:val="auto"/>
        </w:rPr>
        <w:t>Section 2.0.</w:t>
      </w:r>
    </w:p>
    <w:p>
      <w:pPr>
        <w:spacing w:after="0" w:line="1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963" w:right="259" w:bottom="1440" w:gutter="0" w:footer="0" w:header="0"/>
        </w:sectPr>
      </w:pPr>
    </w:p>
    <w:bookmarkStart w:id="71" w:name="page72"/>
    <w:bookmarkEnd w:id="71"/>
    <w:p>
      <w:pPr>
        <w:ind w:right="20"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on which dealings in Dollar deposits are conducted by and between banks in the London interbank eurodollar market.</w:t>
      </w:r>
    </w:p>
    <w:p>
      <w:pPr>
        <w:spacing w:after="0" w:line="11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L/C Issuer or Lenders, as collateral for L/C Obligations or obligations of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applicable L/C Issuers. “</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3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between or among one or more Loan Parties or Restricted Subsidiaries and a Cash Management Bank, to provide cash management services, including treasury, depository, overdraft, credit or debit card, electronic funds transfer and other cash management arrangements.</w:t>
      </w:r>
    </w:p>
    <w:p>
      <w:pPr>
        <w:spacing w:after="0" w:line="12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Lender, an Affiliate of a Lender, the Administrative Agent and any Affiliate of the Administrative Agent, in its capacity as a party to such Cash Management Agreement.</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loss of or damage to or destruction of, or any condemnation or other taking of, any property of a Loan Party or a Restricted Subsidiary.</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with any request, guideline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herein to the contrary, (i) the Dodd-Frank Wall Street Reform and Consumer Protection Act and all requests, rules, guidelines or directives thereunder or issued in connection therewith and (ii) all requests, rules, guidelines or directives promulgated by any Bank for International Settlements, the Basel Committee on Banking Supervision (or any successor or similar authority) or the United States or foreign regulatory authorities, in each case pursuant to Basel III, shall in each case be deemed to be a “</w:t>
      </w:r>
      <w:r>
        <w:rPr>
          <w:rFonts w:ascii="Arial" w:cs="Arial" w:eastAsia="Arial" w:hAnsi="Arial"/>
          <w:sz w:val="16"/>
          <w:szCs w:val="16"/>
          <w:u w:val="single" w:color="auto"/>
          <w:color w:val="auto"/>
        </w:rPr>
        <w:t>Change in Law</w:t>
      </w:r>
      <w:r>
        <w:rPr>
          <w:rFonts w:ascii="Arial" w:cs="Arial" w:eastAsia="Arial" w:hAnsi="Arial"/>
          <w:sz w:val="16"/>
          <w:szCs w:val="16"/>
          <w:color w:val="auto"/>
        </w:rPr>
        <w:t>”, regardless of the date enacted, adopted or issued.</w:t>
      </w:r>
    </w:p>
    <w:p>
      <w:pPr>
        <w:spacing w:after="0" w:line="113"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as of any date, any of the following shall occur: (a) the Parent Guarantor fails to own and control 100% of the Equity Interests of the Borrower, (b) QRI fails to own and Control Equity Interests representing more than 50% of the outstanding Equity Interests of the General Partner, (c) QRI fails to have the right or ability by voting power, contract or otherwise to elect or designate for election more than 50% of the board of directors or equivalent governing body of the General Partner, (d) the General Partner fails to be the sole general partner of and Control the Parent Guarantor,</w:t>
      </w:r>
    </w:p>
    <w:p>
      <w:pPr>
        <w:spacing w:after="0" w:line="2" w:lineRule="exact"/>
        <w:rPr>
          <w:sz w:val="20"/>
          <w:szCs w:val="20"/>
          <w:color w:val="auto"/>
        </w:rPr>
      </w:pPr>
    </w:p>
    <w:p>
      <w:pPr>
        <w:ind w:right="440" w:firstLine="8"/>
        <w:spacing w:after="0" w:line="261"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a “Change of Control” as defined in the QRI Credit Agreement as in effect on the date hereof, or (f) the occurrence of a “change of control” or similar event under documentation governing any Qualified Notes Offering.</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63" w:right="23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collateral under or as defined in any Collateral Document.</w:t>
      </w:r>
    </w:p>
    <w:p>
      <w:pPr>
        <w:spacing w:after="0" w:line="171" w:lineRule="exact"/>
        <w:rPr>
          <w:sz w:val="20"/>
          <w:szCs w:val="20"/>
          <w:color w:val="auto"/>
        </w:rPr>
      </w:pPr>
    </w:p>
    <w:p>
      <w:pPr>
        <w:jc w:val="both"/>
        <w:ind w:right="280" w:firstLine="43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means, collectively, the Guaranty, the Security Agreements, and other similar documents now or hereafter delivered to the Administrative Agent pursuant to </w:t>
      </w:r>
      <w:r>
        <w:rPr>
          <w:rFonts w:ascii="Arial" w:cs="Arial" w:eastAsia="Arial" w:hAnsi="Arial"/>
          <w:sz w:val="16"/>
          <w:szCs w:val="16"/>
          <w:u w:val="single" w:color="auto"/>
          <w:color w:val="auto"/>
        </w:rPr>
        <w:t>Section 6.11</w:t>
      </w:r>
      <w:r>
        <w:rPr>
          <w:rFonts w:ascii="Arial" w:cs="Arial" w:eastAsia="Arial" w:hAnsi="Arial"/>
          <w:sz w:val="16"/>
          <w:szCs w:val="16"/>
          <w:color w:val="auto"/>
        </w:rPr>
        <w:t>, and each other agreement, document or instrument that now or hereafter creates or perfects or purports to create or perfect, or that governs the terms of, a Lien in favor of the Administrative Agent for the ratable benefit of the Secured Parties.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Operation Date</w:t>
      </w:r>
      <w:r>
        <w:rPr>
          <w:rFonts w:ascii="Arial" w:cs="Arial" w:eastAsia="Arial" w:hAnsi="Arial"/>
          <w:sz w:val="18"/>
          <w:szCs w:val="18"/>
          <w:color w:val="auto"/>
        </w:rPr>
        <w:t>” means the date on which a Material Project achieves commercial operation.</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as to each Lender, its obligation to (a) make Loans 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 as such amount may be adjusted from time to time in accordance with this Agreement.</w:t>
      </w:r>
    </w:p>
    <w:p>
      <w:pPr>
        <w:spacing w:after="0" w:line="11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any rule, regulation or order of the Commodity Futures Trading Commission (or the application or official interpretation of any thereof).</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p>
    <w:p>
      <w:pPr>
        <w:spacing w:after="0" w:line="17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or “consolidated</w:t>
      </w:r>
      <w:r>
        <w:rPr>
          <w:rFonts w:ascii="Arial" w:cs="Arial" w:eastAsia="Arial" w:hAnsi="Arial"/>
          <w:sz w:val="18"/>
          <w:szCs w:val="18"/>
          <w:color w:val="auto"/>
        </w:rPr>
        <w:t>” means (a) when used with reference to a Subsidiary of a Person, a Subsidiary of such Person the financial statements of which are (or should be) consolidated with the financial statement of such Person in accordance with GAAP, and (b) when used with respect to financial statements or financial statement items of any Person, such statements or items on a consolidated basis in accordance with applicable principles of consolidation under GAAP.</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 of the Parent Guarantor</w:t>
      </w:r>
      <w:r>
        <w:rPr>
          <w:rFonts w:ascii="Arial" w:cs="Arial" w:eastAsia="Arial" w:hAnsi="Arial"/>
          <w:sz w:val="16"/>
          <w:szCs w:val="16"/>
          <w:color w:val="auto"/>
        </w:rPr>
        <w:t>” means, for any period, an amount equal to Consolidated Net Income of the Parent Guarantor plus</w:t>
      </w:r>
    </w:p>
    <w:p>
      <w:pPr>
        <w:spacing w:after="0" w:line="46" w:lineRule="exact"/>
        <w:rPr>
          <w:sz w:val="20"/>
          <w:szCs w:val="20"/>
          <w:color w:val="auto"/>
        </w:rPr>
      </w:pPr>
    </w:p>
    <w:p>
      <w:pPr>
        <w:ind w:right="320" w:firstLine="8"/>
        <w:spacing w:after="0" w:line="281" w:lineRule="auto"/>
        <w:tabs>
          <w:tab w:leader="none" w:pos="2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following to the extent deducted in calculating such Consolidated Net Income of the Parent Guarantor: (i) Consolidated Interest Charges for such period, (ii) Federal, state, local and foreign income taxes payable for such period, (iii) depreciation, depletion and amortization expense, (iv) any extraordinary losses (including losses on sales of assets outside of the ordinary course of business), and (v) unrealized losses under Swap Contracts, </w:t>
      </w:r>
      <w:r>
        <w:rPr>
          <w:rFonts w:ascii="Arial" w:cs="Arial" w:eastAsia="Arial" w:hAnsi="Arial"/>
          <w:sz w:val="16"/>
          <w:szCs w:val="16"/>
          <w:u w:val="single" w:color="auto"/>
          <w:color w:val="auto"/>
        </w:rPr>
        <w:t>plus</w:t>
      </w:r>
    </w:p>
    <w:p>
      <w:pPr>
        <w:spacing w:after="0" w:line="2" w:lineRule="exact"/>
        <w:rPr>
          <w:rFonts w:ascii="Arial" w:cs="Arial" w:eastAsia="Arial" w:hAnsi="Arial"/>
          <w:sz w:val="16"/>
          <w:szCs w:val="16"/>
          <w:color w:val="auto"/>
        </w:rPr>
      </w:pPr>
    </w:p>
    <w:p>
      <w:pPr>
        <w:ind w:right="80"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amount of cash dividends and other distributions actually received during such period by the Parent Guarantor, the Borrower and Restricted Subsidiaries from (i) Specified Non-Wholly Owned Subsidiaries, (ii) Unrestricted Subsidiaries and (iii) Joint Ventures,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following to the extent included in calculating such Consolidated Net Income of the Parent Guarantor: (i) Consolidated Net Income of Specified Non-Wholly Owned Subsidiaries and any amounts added pursuant to clauses (a)(i) through (v) of this definition that are attributable to Specified Non-Wholly Owned Subsidiaries,</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Net Income of Unrestricted Subsidiaries and any amounts added pursuant to</w:t>
      </w:r>
    </w:p>
    <w:p>
      <w:pPr>
        <w:spacing w:after="0" w:line="7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963" w:right="339" w:bottom="1440" w:gutter="0" w:footer="0" w:header="0"/>
        </w:sectPr>
      </w:pPr>
    </w:p>
    <w:bookmarkStart w:id="73" w:name="page74"/>
    <w:bookmarkEnd w:id="73"/>
    <w:p>
      <w:pPr>
        <w:ind w:right="180" w:firstLine="216"/>
        <w:spacing w:after="0" w:line="291" w:lineRule="auto"/>
        <w:rPr>
          <w:sz w:val="20"/>
          <w:szCs w:val="20"/>
          <w:color w:val="auto"/>
        </w:rPr>
      </w:pPr>
      <w:r>
        <w:rPr>
          <w:rFonts w:ascii="Arial" w:cs="Arial" w:eastAsia="Arial" w:hAnsi="Arial"/>
          <w:sz w:val="16"/>
          <w:szCs w:val="16"/>
          <w:u w:val="single" w:color="auto"/>
          <w:color w:val="auto"/>
        </w:rPr>
        <w:t>clauses (a)(i)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this definition that are attributable to Unrestricted Subsidiaries, (iii) any amount included in Consolidated Net Income that is attributable to Joint Ventures and any amounts added pursuant to clauses (a)(i) through (v) of this definition that are attributable to Joint Ventures,</w:t>
      </w:r>
    </w:p>
    <w:p>
      <w:pPr>
        <w:ind w:right="80" w:firstLine="8"/>
        <w:spacing w:after="0" w:line="261" w:lineRule="auto"/>
        <w:tabs>
          <w:tab w:leader="none" w:pos="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state, local and foreign income tax credits for such period, (v) all non-cash items increasing Consolidated Net Income for such period, (vi) gains on sales of assets outside the ordinary course of business, and (vii) unrealized gains under Swap Contracts.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of any Person other than the Parent Guarantor means, for any period, an amount equal to Consolidated Net Income of such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Person and its Consolidated Subsidiaries plus (a) the following to the extent deducted in calculating the Consolidated Net Income of such Person:</w:t>
      </w:r>
    </w:p>
    <w:p>
      <w:pPr>
        <w:spacing w:after="0" w:line="21" w:lineRule="exact"/>
        <w:rPr>
          <w:sz w:val="20"/>
          <w:szCs w:val="20"/>
          <w:color w:val="auto"/>
        </w:rPr>
      </w:pPr>
    </w:p>
    <w:p>
      <w:pPr>
        <w:ind w:right="160" w:firstLine="8"/>
        <w:spacing w:after="0" w:line="252"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Consolidated Interest Charges for such period, (ii) Federal, state, local and foreign income taxes payable for such period, (iii) depreciation, depletion and amortization expense, (iv) any extraordinary losses (including losses on sales of assets outside of the ordinary course of business), and (v) unrealized losses under Swap Contracts,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following, to the extent not included in Consolidated Net Income (b) the amount of cash dividends and other distributions actually received during such period by such Person and its Consolidated Subsidiaries from Joint Ventures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following to the extent included in calculating such Consolidated Net Income: (i) Federal, state, local and foreign income tax credits for such period, (ii) all non-cash items increasing Consolidated Net Income for such period, (iii) gains on sales of assets outside the ordinary course of business, and (vi) unrealized gains under Swap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specifically stated herein, references to “</w:t>
      </w:r>
      <w:r>
        <w:rPr>
          <w:rFonts w:ascii="Arial" w:cs="Arial" w:eastAsia="Arial" w:hAnsi="Arial"/>
          <w:sz w:val="18"/>
          <w:szCs w:val="18"/>
          <w:u w:val="single" w:color="auto"/>
          <w:color w:val="auto"/>
        </w:rPr>
        <w:t>Consolidated EBITDA</w:t>
      </w:r>
      <w:r>
        <w:rPr>
          <w:rFonts w:ascii="Arial" w:cs="Arial" w:eastAsia="Arial" w:hAnsi="Arial"/>
          <w:sz w:val="18"/>
          <w:szCs w:val="18"/>
          <w:color w:val="auto"/>
        </w:rPr>
        <w:t>” shall mean “</w:t>
      </w:r>
      <w:r>
        <w:rPr>
          <w:rFonts w:ascii="Arial" w:cs="Arial" w:eastAsia="Arial" w:hAnsi="Arial"/>
          <w:sz w:val="18"/>
          <w:szCs w:val="18"/>
          <w:u w:val="single" w:color="auto"/>
          <w:color w:val="auto"/>
        </w:rPr>
        <w:t>Consolidated EBITDA of the Parent Guarantor</w:t>
      </w:r>
      <w:r>
        <w:rPr>
          <w:rFonts w:ascii="Arial" w:cs="Arial" w:eastAsia="Arial" w:hAnsi="Arial"/>
          <w:sz w:val="18"/>
          <w:szCs w:val="18"/>
          <w:color w:val="auto"/>
        </w:rPr>
        <w:t>”.</w:t>
      </w:r>
    </w:p>
    <w:p>
      <w:pPr>
        <w:spacing w:after="0" w:line="17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In the calculation of Consolidated EBITDA of the Parent Guarantor, Consolidated Net Income of the Parent Guarantor, and the other items in clauses (a), (b) and (c) of the calculation above, shall be adjusted with respect to Non-Wholly Owned Subsidiaries to reflect the Parent Guarantor’s pro rata ownership interest therein. In the calculation of Consolidated EBITDA, Consolidated Net Income, and the other items in clauses (a), (b) and (c) of the calculation above, shall be adjusted with respect to Non-Wholly Owned Subsidiaries to reflect such Person’s pro rata ownership interest therein.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calculating Consolidated EBITDA of the Parent Guarantor or Consolidated EBITDA, as applicable:</w:t>
      </w:r>
    </w:p>
    <w:p>
      <w:pPr>
        <w:spacing w:after="0" w:line="90" w:lineRule="exact"/>
        <w:rPr>
          <w:sz w:val="20"/>
          <w:szCs w:val="20"/>
          <w:color w:val="auto"/>
        </w:rPr>
      </w:pPr>
    </w:p>
    <w:p>
      <w:pPr>
        <w:ind w:firstLine="670"/>
        <w:spacing w:after="0" w:line="273" w:lineRule="auto"/>
        <w:tabs>
          <w:tab w:leader="none" w:pos="917"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Consolidated EBITDA of the Parent Guarantor, and Consolidated EBITDA, for any relevant period shall be calculated to give pro forma effect to any Acquisition and any Disposition of assets, in each case for a purchase price or sale price, as the case may be, equal to $10,000,000 or more, consummated at any time after the first day of the relevant period as if each such Permitted Acquisition and each such Disposition had occurred on the first day of such period, provided that any such pro forma adjustments shall be (A) calculated by the Parent Guarantor in good faith, (B) supported by reasonably detailed calculations presented by the Parent Guarantor together with the Compliance Certificate for the applicable period, and (C) subject to the approval of the Administrative Agent (such approval not to be unreasonably withheld or delayed);</w:t>
      </w:r>
    </w:p>
    <w:p>
      <w:pPr>
        <w:spacing w:after="0" w:line="43" w:lineRule="exact"/>
        <w:rPr>
          <w:rFonts w:ascii="Arial" w:cs="Arial" w:eastAsia="Arial" w:hAnsi="Arial"/>
          <w:sz w:val="17"/>
          <w:szCs w:val="17"/>
          <w:color w:val="auto"/>
        </w:rPr>
      </w:pPr>
    </w:p>
    <w:p>
      <w:pPr>
        <w:ind w:right="160" w:firstLine="670"/>
        <w:spacing w:after="0" w:line="334" w:lineRule="auto"/>
        <w:tabs>
          <w:tab w:leader="none" w:pos="917"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Consolidated EBITDA of the Parent Guarantor, and Consolidated EBITDA, for the first twelve months subsequent to the Closing Date shall be calculated on an annualized 365 day basis for the number of days actually elapsed since the Closing Date until the date of determination</w:t>
      </w:r>
      <w:r>
        <w:rPr>
          <w:rFonts w:ascii="Arial" w:cs="Arial" w:eastAsia="Arial" w:hAnsi="Arial"/>
          <w:sz w:val="16"/>
          <w:szCs w:val="16"/>
          <w:b w:val="1"/>
          <w:bCs w:val="1"/>
          <w:color w:val="auto"/>
        </w:rPr>
        <w:t>;</w:t>
      </w:r>
      <w:r>
        <w:rPr>
          <w:rFonts w:ascii="Arial" w:cs="Arial" w:eastAsia="Arial" w:hAnsi="Arial"/>
          <w:sz w:val="16"/>
          <w:szCs w:val="16"/>
          <w:color w:val="auto"/>
        </w:rPr>
        <w:t xml:space="preserve"> and</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81" w:right="259" w:bottom="1440" w:gutter="0" w:footer="0" w:header="0"/>
        </w:sectPr>
      </w:pPr>
    </w:p>
    <w:bookmarkStart w:id="74" w:name="page75"/>
    <w:bookmarkEnd w:id="74"/>
    <w:p>
      <w:pPr>
        <w:ind w:right="20" w:firstLine="670"/>
        <w:spacing w:after="0" w:line="269" w:lineRule="auto"/>
        <w:tabs>
          <w:tab w:leader="none" w:pos="917"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If a Loan Party or a Restricted Subsidiary undertakes a Material Project, then Consolidated EBITDA of the Parent Guarantor may include, at the Borrower’s option, a Material Project Consolidated EBITDA Adjustment for such Material Project, subject to Administrative Agent’s review and approval of each component of such Material Project Consolidated EBITDA Adjustment,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such additions shall be allowed with respect to any Material Project unless: (y) not later than 15 days (or such lesser period as is acceptable to the Administrative Agent) prior to the delivery of any Compliance Certificate required by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6.01(b)</w:t>
      </w:r>
      <w:r>
        <w:rPr>
          <w:rFonts w:ascii="Arial" w:cs="Arial" w:eastAsia="Arial" w:hAnsi="Arial"/>
          <w:sz w:val="17"/>
          <w:szCs w:val="17"/>
          <w:color w:val="auto"/>
        </w:rPr>
        <w:t xml:space="preserve"> to the extent Material Project Consolidated EBITDA Adjustments will be made to Consolidated EBITDA, the Borrower shall have delivered to the Administrative Agent written pro forma projections of Consolidated EBITDA attributable to such Material Project, and (z) prior to the date such Compliance Certificate is required to be delivered, the Administrative Agent shall have approved such projections (such approval not to be unreasonably withheld or delayed) and shall have received such other information and documentation as the Administrative Agent may reasonably request, all in form and substance reasonably satisfactory to the Administrative Agent, and (B) the aggregate amount of all Material Project Consolidated EBITDA Adjustments during any period shall be limited to 20% of the total actual Consolidated EBITDA of the Parent Guarantor for such period (which total actual Consolidated EBITDA of the Parent Guarantor shall be determined without including any Material Project Consolidated EBITDA Adjustments).</w:t>
      </w:r>
    </w:p>
    <w:p>
      <w:pPr>
        <w:spacing w:after="0" w:line="12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Debt</w:t>
      </w:r>
      <w:r>
        <w:rPr>
          <w:rFonts w:ascii="Arial" w:cs="Arial" w:eastAsia="Arial" w:hAnsi="Arial"/>
          <w:sz w:val="17"/>
          <w:szCs w:val="17"/>
          <w:color w:val="auto"/>
        </w:rPr>
        <w:t xml:space="preserve">” means the aggregate of the Indebtedness of the Parent Guarantor, the Borrower and their Restricted Subsidiaries (other than Specified Non-Wholly Owned Subsidiaries)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(other than Indebtedness consisting of Guarantees in respect of net obligations under any Swap Contract permitted under this Agreement) of the definition of Indebtedness in </w:t>
      </w:r>
      <w:r>
        <w:rPr>
          <w:rFonts w:ascii="Arial" w:cs="Arial" w:eastAsia="Arial" w:hAnsi="Arial"/>
          <w:sz w:val="17"/>
          <w:szCs w:val="17"/>
          <w:u w:val="single" w:color="auto"/>
          <w:color w:val="auto"/>
        </w:rPr>
        <w:t>Section 1.01</w:t>
      </w:r>
      <w:r>
        <w:rPr>
          <w:rFonts w:ascii="Arial" w:cs="Arial" w:eastAsia="Arial" w:hAnsi="Arial"/>
          <w:sz w:val="17"/>
          <w:szCs w:val="17"/>
          <w:color w:val="auto"/>
        </w:rPr>
        <w:t>, on a consolidated basis after elimination of intercompany items. Notwithstanding the foregoing, Indebtedness of a Restricted Subsidiary (other than Specified Non-Wholly Owned Subsidiaries) that is not Wholly Owned by the Parent Guarantor shall be included in Consolidated Funded Debt only to the extent of the Parent Guarantor’s proportional interest therein, unless such Indebtedness is recourse to the Parent Guarantor, the Borrower or any Restricted Subsidiary, in which case the full amount of such Indebtedness that is recourse to the Parent Guarantor, the Borrower or such Restricted Subsidiary shall be included in the calculation of Consolidated Funded Debt.</w:t>
      </w:r>
    </w:p>
    <w:p>
      <w:pPr>
        <w:spacing w:after="0" w:line="1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for a Person means, for any period, the sum of the following for such Person and its Consolidated Subsidiaries (a) all interest, premium payments, amortization or write-off of debt discount, fees, charges, issuance costs and commissions and related expenses in connection with borrowed money (including capitalized interest) or in connection with the deferred purchase price of assets, in each case to the extent treated as interest in accordance with GAAP, and (b) the portion of rent expense with respect to such period under capital leases that is treated as interest in accordance with GAAP.</w:t>
      </w:r>
    </w:p>
    <w:p>
      <w:pPr>
        <w:spacing w:after="0" w:line="13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means, as of any date of determination, the ratio of (a) Consolidated EBITDA of the Parent Guarantor for the period of four consecutive fiscal quarters ending on such date to (b) Consolidated Interest Charges of the Parent Guarantor and its Restricted Subsidiaries for the period of four consecutive fiscal quarters ending on such date.</w:t>
      </w:r>
    </w:p>
    <w:p>
      <w:pPr>
        <w:spacing w:after="0" w:line="12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of determination, the ratio of (a) Consolidated Funded Debt as of such date to (b) Consolidated EBITDA of the Parent Guarantor for the period of the four consecutive fiscal quarters ending on such date.</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of any Person means, for any period, consolidated net income of such Person and its Consolidated Subsidiaries (excluding extraordinary gains and extraordinary losses) for that</w:t>
      </w:r>
    </w:p>
    <w:p>
      <w:pPr>
        <w:spacing w:after="0" w:line="1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882" w:right="279" w:bottom="1440" w:gutter="0" w:footer="0" w:header="0"/>
        </w:sectPr>
      </w:pPr>
    </w:p>
    <w:bookmarkStart w:id="75" w:name="page76"/>
    <w:bookmarkEnd w:id="75"/>
    <w:p>
      <w:pPr>
        <w:jc w:val="both"/>
        <w:spacing w:after="0" w:line="312" w:lineRule="auto"/>
        <w:rPr>
          <w:sz w:val="20"/>
          <w:szCs w:val="20"/>
          <w:color w:val="auto"/>
        </w:rPr>
      </w:pPr>
      <w:r>
        <w:rPr>
          <w:rFonts w:ascii="Arial" w:cs="Arial" w:eastAsia="Arial" w:hAnsi="Arial"/>
          <w:sz w:val="16"/>
          <w:szCs w:val="16"/>
          <w:color w:val="auto"/>
        </w:rPr>
        <w:t>period; provided that Consolidated Net Income of any Person for any period shall exclude the net income (but not loss) of any Subsidiary thereof to the extent that the declaration or payment of dividends or similar distributions by such Subsidiary to such Person is not at the time permitted by operation of the terms of its Organization Documents, Contractual Obligation (other than pursuant to this Agreement) or applicable law, or is otherwise restricted or prohibited.</w:t>
      </w:r>
    </w:p>
    <w:p>
      <w:pPr>
        <w:spacing w:after="0" w:line="93" w:lineRule="exact"/>
        <w:rPr>
          <w:sz w:val="20"/>
          <w:szCs w:val="20"/>
          <w:color w:val="auto"/>
        </w:rPr>
      </w:pPr>
    </w:p>
    <w:p>
      <w:pPr>
        <w:ind w:right="200" w:firstLine="43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 of the Parent Guarantor</w:t>
      </w:r>
      <w:r>
        <w:rPr>
          <w:rFonts w:ascii="Arial" w:cs="Arial" w:eastAsia="Arial" w:hAnsi="Arial"/>
          <w:sz w:val="16"/>
          <w:szCs w:val="16"/>
          <w:color w:val="auto"/>
        </w:rPr>
        <w:t>” means at any date of determination, the total amount of Consolidated assets of the Parent Guarantor, the Borrower and the Restricted Subsidiaries (other than Specified Non-Wholly Owned Subsidiaries) after deducting therefrom: (a) all current liabilities (excluding (i) any current liabilities that by their terms are extendable or renewable at the option of the obligor thereon to a time more than</w:t>
      </w:r>
    </w:p>
    <w:p>
      <w:pPr>
        <w:ind w:right="80"/>
        <w:spacing w:after="0" w:line="252" w:lineRule="auto"/>
        <w:rPr>
          <w:sz w:val="20"/>
          <w:szCs w:val="20"/>
          <w:color w:val="auto"/>
        </w:rPr>
      </w:pPr>
      <w:r>
        <w:rPr>
          <w:rFonts w:ascii="Arial" w:cs="Arial" w:eastAsia="Arial" w:hAnsi="Arial"/>
          <w:sz w:val="18"/>
          <w:szCs w:val="18"/>
          <w:color w:val="auto"/>
        </w:rPr>
        <w:t>12 months after the time as of which the amount thereof is being computed, and (ii) current maturities of long-term debt) of the Parent Guarantor, the Borrower and the Restricted Subsidiaries (other than Specified Non-Wholly Owned Subsidiaries); and (b) the value of all goodwill, trade names, trademarks, patents and other like intangible assets (other than assets of Specified Non-Wholly Owned Subsidiaries), all as set forth on the Consolidated balance sheet of the Parent Guarantor. For the avoidance of doubt, Consolidated Net Tangible Assets of the Parent Guarantor excludes all amounts attributable to the assets of Specified Non-Wholly Owned Subsidiaries and Unrestricted Subsidiaries, but includes all equity investments in Specified Non-Wholly Owned Subsidiaries and Unrestricted Subsidiaries.</w:t>
      </w:r>
    </w:p>
    <w:p>
      <w:pPr>
        <w:spacing w:after="0" w:line="140"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Senior Secured Funded Debt</w:t>
      </w:r>
      <w:r>
        <w:rPr>
          <w:rFonts w:ascii="Arial" w:cs="Arial" w:eastAsia="Arial" w:hAnsi="Arial"/>
          <w:sz w:val="17"/>
          <w:szCs w:val="17"/>
          <w:color w:val="auto"/>
        </w:rPr>
        <w:t>” means, as of any date of determination, all Consolidated Funded Debt that is secured by a Lien on any assets of the Parent Guarantor, the Borrower or any Restricted Subsidiary (other than Specified Non-Wholly Owned Subsidiaries).</w:t>
      </w:r>
    </w:p>
    <w:p>
      <w:pPr>
        <w:spacing w:after="0" w:line="9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Senior Secured Leverage Ratio</w:t>
      </w:r>
      <w:r>
        <w:rPr>
          <w:rFonts w:ascii="Arial" w:cs="Arial" w:eastAsia="Arial" w:hAnsi="Arial"/>
          <w:sz w:val="17"/>
          <w:szCs w:val="17"/>
          <w:color w:val="auto"/>
        </w:rPr>
        <w:t>” means, as of any date of determination, the ratio of (a) Consolidated Senior Secured Funded Debt as of such date to (b) Consolidated EBITDA of the Parent Guarantor for the period of four consecutive fiscal quarters ended on such date.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w:t>
      </w:r>
    </w:p>
    <w:p>
      <w:pPr>
        <w:spacing w:after="0" w:line="90" w:lineRule="exact"/>
        <w:rPr>
          <w:sz w:val="20"/>
          <w:szCs w:val="20"/>
          <w:color w:val="auto"/>
        </w:rPr>
      </w:pPr>
    </w:p>
    <w:p>
      <w:pPr>
        <w:ind w:right="140" w:firstLine="87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 of the Parent Guarantor</w:t>
      </w:r>
      <w:r>
        <w:rPr>
          <w:rFonts w:ascii="Arial" w:cs="Arial" w:eastAsia="Arial" w:hAnsi="Arial"/>
          <w:sz w:val="17"/>
          <w:szCs w:val="17"/>
          <w:color w:val="auto"/>
        </w:rPr>
        <w:t>” means, as of any date of determination, the total assets of Parent Guarantor, the Borrower and the Restricted Subsidiaries (other than Specified Non-Wholly Owned Subsidiaries) determined in accordance with GAAP, as set forth on the Consolidated balance sheet of the Parent Guarantor prepared in accordance with GAAP. For the avoidance of doubt, Consolidated Total Assets of the Parent Guarantor excludes all amounts attributable to the assets of Specified Non-Wholly Owned Subsidiaries and Unrestricted Subsidiaries, but includes all equity investments in Specified Non-Wholly Owned Subsidiaries and Unrestricted Subsidiaries.</w:t>
      </w:r>
    </w:p>
    <w:p>
      <w:pPr>
        <w:spacing w:after="0" w:line="37" w:lineRule="exact"/>
        <w:rPr>
          <w:sz w:val="20"/>
          <w:szCs w:val="20"/>
          <w:color w:val="auto"/>
        </w:rPr>
      </w:pPr>
    </w:p>
    <w:p>
      <w:pPr>
        <w:jc w:val="both"/>
        <w:ind w:right="20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of a Person other than the Parent Guarantor means, as of any date of determination, the total assets of such Person and its Consolidated Subsidiaries, determined in accordance with GAAP, as set forth on the Consolidated balance sheet of such Person and its Consolidated Subsidiaries prepared in accordance with GAAP.</w:t>
      </w:r>
    </w:p>
    <w:p>
      <w:pPr>
        <w:spacing w:after="0" w:line="127"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means the direct or indirect transfer (in one or more transactions) by QRI and certain of its Subsidiaries to the Parent Guarantor and its Subsidiaries of the Acquired Businesses on or before the Closing Date.</w:t>
      </w:r>
    </w:p>
    <w:p>
      <w:pPr>
        <w:spacing w:after="0" w:line="1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63" w:right="239" w:bottom="1440" w:gutter="0" w:footer="0" w:header="0"/>
        </w:sectPr>
      </w:pPr>
    </w:p>
    <w:bookmarkStart w:id="76" w:name="page77"/>
    <w:bookmarkEnd w:id="76"/>
    <w:p>
      <w:pPr>
        <w:ind w:right="22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shall have meanings correlative thereto.</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(b) an L/C Credit Extension, and (c) a Swing Line Borrowing.</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16" w:lineRule="exact"/>
        <w:rPr>
          <w:sz w:val="20"/>
          <w:szCs w:val="20"/>
          <w:color w:val="auto"/>
        </w:rPr>
      </w:pPr>
    </w:p>
    <w:p>
      <w:pPr>
        <w:ind w:right="160" w:firstLine="43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plus (ii) the Applicable Rate for Base Rate Loans plus (iii) 2%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 Eurodollar Rate Loan, the Default Rate shall be an interest rate equal to the interest rate (including the Applicable Rate for Eurodollar Loans) otherwise applicable to such Loan plus 2% per annum, and</w:t>
      </w:r>
    </w:p>
    <w:p>
      <w:pPr>
        <w:ind w:right="460" w:firstLine="8"/>
        <w:spacing w:after="0" w:line="261"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when used with respect to Letter of Credit Fees, a rate equal to the Applicable Rate plus 2% per annum, in all cases to the fullest extent permitted by applicable Laws.</w:t>
      </w:r>
    </w:p>
    <w:p>
      <w:pPr>
        <w:spacing w:after="0" w:line="130"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2.15(f)</w:t>
      </w:r>
      <w:r>
        <w:rPr>
          <w:rFonts w:ascii="Arial" w:cs="Arial" w:eastAsia="Arial" w:hAnsi="Arial"/>
          <w:sz w:val="16"/>
          <w:szCs w:val="16"/>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w:t>
      </w:r>
    </w:p>
    <w:p>
      <w:pPr>
        <w:spacing w:after="0" w:line="4" w:lineRule="exact"/>
        <w:rPr>
          <w:sz w:val="20"/>
          <w:szCs w:val="20"/>
          <w:color w:val="auto"/>
        </w:rPr>
      </w:pPr>
    </w:p>
    <w:p>
      <w:pPr>
        <w:ind w:right="120" w:firstLine="8"/>
        <w:spacing w:after="0" w:line="290"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w:t>
      </w:r>
    </w:p>
    <w:p>
      <w:pPr>
        <w:spacing w:after="0" w:line="11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62" w:right="239" w:bottom="1440" w:gutter="0" w:footer="0" w:header="0"/>
        </w:sectPr>
      </w:pPr>
    </w:p>
    <w:bookmarkStart w:id="77" w:name="page78"/>
    <w:bookmarkEnd w:id="77"/>
    <w:p>
      <w:pPr>
        <w:ind w:right="140"/>
        <w:spacing w:after="0" w:line="259" w:lineRule="auto"/>
        <w:rPr>
          <w:sz w:val="20"/>
          <w:szCs w:val="20"/>
          <w:color w:val="auto"/>
        </w:rPr>
      </w:pPr>
      <w:r>
        <w:rPr>
          <w:rFonts w:ascii="Arial" w:cs="Arial" w:eastAsia="Arial" w:hAnsi="Arial"/>
          <w:sz w:val="18"/>
          <w:szCs w:val="18"/>
          <w:color w:val="auto"/>
        </w:rPr>
        <w:t xml:space="preserve">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2.15(f)</w:t>
      </w:r>
      <w:r>
        <w:rPr>
          <w:rFonts w:ascii="Arial" w:cs="Arial" w:eastAsia="Arial" w:hAnsi="Arial"/>
          <w:sz w:val="18"/>
          <w:szCs w:val="18"/>
          <w:color w:val="auto"/>
        </w:rPr>
        <w:t>) upon delivery of written notice of such determination to the Borrower, the L/C Issuer, the Swing Line Lender and each Lender.</w:t>
      </w:r>
    </w:p>
    <w:p>
      <w:pPr>
        <w:spacing w:after="0" w:line="13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27"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w:t>
      </w:r>
      <w:r>
        <w:rPr>
          <w:rFonts w:ascii="Arial" w:cs="Arial" w:eastAsia="Arial" w:hAnsi="Arial"/>
          <w:sz w:val="16"/>
          <w:szCs w:val="16"/>
          <w:color w:val="auto"/>
        </w:rPr>
        <w:t>” means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six months after the Maturity Date, or (b) is convertible into or exchangeable (unless at the sole option of the issuer thereof) for (i) debt securities or (ii) any Equity Interest referred to in clause (a) above, in each case at any time earlier to the six months after the latest Maturity Date.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11.06(h)</w:t>
      </w:r>
      <w:r>
        <w:rPr>
          <w:rFonts w:ascii="Arial" w:cs="Arial" w:eastAsia="Arial" w:hAnsi="Arial"/>
          <w:sz w:val="18"/>
          <w:szCs w:val="18"/>
          <w:color w:val="auto"/>
        </w:rPr>
        <w:t>.</w:t>
      </w:r>
    </w:p>
    <w:p>
      <w:pPr>
        <w:spacing w:after="0" w:line="17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33" w:lineRule="exact"/>
        <w:rPr>
          <w:sz w:val="20"/>
          <w:szCs w:val="20"/>
          <w:color w:val="auto"/>
        </w:rPr>
      </w:pPr>
    </w:p>
    <w:p>
      <w:pPr>
        <w:jc w:val="both"/>
        <w:ind w:right="120" w:firstLine="43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any Loan Party or any Subsidiary thereof directly or indirectly resulting from or based upon (a) violation of any Environmental Law, (b) the generation, use, handling, transportation, storage, treatment or disposal of any Hazardous Materials, (c) exposure to any Hazardous Materials,</w:t>
      </w:r>
    </w:p>
    <w:p>
      <w:pPr>
        <w:ind w:firstLine="8"/>
        <w:spacing w:after="0" w:line="261"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release or threatened release of any Hazardous Materials into the environment or (e) any contract, agreement or other consensual arrangement pursuant to which liability is assumed or imposed with respect to any of the foregoing.</w:t>
      </w:r>
    </w:p>
    <w:p>
      <w:pPr>
        <w:spacing w:after="0" w:line="130" w:lineRule="exact"/>
        <w:rPr>
          <w:sz w:val="20"/>
          <w:szCs w:val="20"/>
          <w:color w:val="auto"/>
        </w:rPr>
      </w:pPr>
    </w:p>
    <w:p>
      <w:pPr>
        <w:jc w:val="both"/>
        <w:ind w:right="80" w:firstLine="432"/>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w:t>
      </w:r>
      <w:r>
        <w:rPr>
          <w:rFonts w:ascii="Arial" w:cs="Arial" w:eastAsia="Arial" w:hAnsi="Arial"/>
          <w:sz w:val="17"/>
          <w:szCs w:val="17"/>
          <w:u w:val="single" w:color="auto"/>
          <w:color w:val="auto"/>
        </w:rPr>
        <w:t>equity interests</w:t>
      </w:r>
      <w:r>
        <w:rPr>
          <w:rFonts w:ascii="Arial" w:cs="Arial" w:eastAsia="Arial" w:hAnsi="Arial"/>
          <w:sz w:val="17"/>
          <w:szCs w:val="17"/>
          <w:color w:val="auto"/>
        </w:rPr>
        <w:t>” and “</w:t>
      </w:r>
      <w:r>
        <w:rPr>
          <w:rFonts w:ascii="Arial" w:cs="Arial" w:eastAsia="Arial" w:hAnsi="Arial"/>
          <w:sz w:val="17"/>
          <w:szCs w:val="17"/>
          <w:u w:val="single" w:color="auto"/>
          <w:color w:val="auto"/>
        </w:rPr>
        <w:t>equity securities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The term Equity Interests shall also include other securities or instruments that have both debt and equity features.</w:t>
      </w:r>
    </w:p>
    <w:p>
      <w:pPr>
        <w:spacing w:after="0" w:line="12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962" w:right="25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ind w:right="720"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7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(f) the imposition of any liability under Title IV of ERISA, other than for PBGC premiums due but not delinquent under Section 4007 of ERISA, upon the Borrower or any ERISA Affiliate.</w:t>
      </w:r>
    </w:p>
    <w:p>
      <w:pPr>
        <w:spacing w:after="0" w:line="125"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for any Interest Period with respect to a Eurodollar Rate Loan, the rate per annum equal to the British Bankers Association LIBOR Rate (or the successor thereto if the British Bankers Association is no longer making a LIBOR Rate available) (“</w:t>
      </w:r>
      <w:r>
        <w:rPr>
          <w:rFonts w:ascii="Arial" w:cs="Arial" w:eastAsia="Arial" w:hAnsi="Arial"/>
          <w:sz w:val="16"/>
          <w:szCs w:val="16"/>
          <w:u w:val="single" w:color="auto"/>
          <w:color w:val="auto"/>
        </w:rPr>
        <w:t>LIBOR</w:t>
      </w:r>
      <w:r>
        <w:rPr>
          <w:rFonts w:ascii="Arial" w:cs="Arial" w:eastAsia="Arial" w:hAnsi="Arial"/>
          <w:sz w:val="16"/>
          <w:szCs w:val="16"/>
          <w:color w:val="auto"/>
        </w:rPr>
        <w:t>”), as published by Reuters (or other commercially available source providing quotations of LIBOR as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If such rate is not available at such time for any reason, then the “Eurodollar Rate” for such Interest Period shall be the rate per annum determined by the Administrative Agent to be the rate at which deposits in Dollars for delivery on the first day of such Interest Period in same day funds in the approximate amount of the Eurodollar Rate Loan being made, continued or converted by Wells Fargo Bank and with a term equivalent to such Interest Period would be offered by Wells Fargo Bank’s London Branch to major banks in the London interbank eurodollar market at their request at approximately 11:00 a.m. (London time) two Business Days prior to the commencement of such Interest Period.</w:t>
      </w:r>
    </w:p>
    <w:p>
      <w:pPr>
        <w:spacing w:after="0" w:line="11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xml:space="preserve">” means a Loan that bears interest at a rate based on the Eurodollar Rate (other than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w:t>
      </w:r>
      <w:r>
        <w:rPr>
          <w:rFonts w:ascii="Arial" w:cs="Arial" w:eastAsia="Arial" w:hAnsi="Arial"/>
          <w:sz w:val="18"/>
          <w:szCs w:val="18"/>
          <w:u w:val="single" w:color="auto"/>
          <w:color w:val="auto"/>
        </w:rPr>
        <w:t>Base Rate</w:t>
      </w:r>
      <w:r>
        <w:rPr>
          <w:rFonts w:ascii="Arial" w:cs="Arial" w:eastAsia="Arial" w:hAnsi="Arial"/>
          <w:sz w:val="18"/>
          <w:szCs w:val="18"/>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has the meaning specified in the Security Agreement.</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by virtue of such Guarantor’s failure for any reason to constitute an “eligible contract participant” as defined in the Commodity Exchange Act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2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962" w:right="259" w:bottom="1440" w:gutter="0" w:footer="0" w:header="0"/>
        </w:sectPr>
      </w:pPr>
    </w:p>
    <w:bookmarkStart w:id="79" w:name="page80"/>
    <w:bookmarkEnd w:id="79"/>
    <w:p>
      <w:pPr>
        <w:ind w:firstLine="43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(d) any U.S. federal withholding Taxes imposed under FATCA.</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Date</w:t>
      </w:r>
      <w:r>
        <w:rPr>
          <w:rFonts w:ascii="Arial" w:cs="Arial" w:eastAsia="Arial" w:hAnsi="Arial"/>
          <w:sz w:val="18"/>
          <w:szCs w:val="18"/>
          <w:color w:val="auto"/>
        </w:rPr>
        <w:t xml:space="preserve">” means the first date all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in effect on the date of this Agreement (or any amended or successor version that is substantively comparable and not materially more onerous to comply with), any current or future regulations thereunder or official interpretations thereof and any agreements entered into pursuant to Section 1471(b)(1) of the Code or otherwise pursuant to any of the foregoing.</w:t>
      </w:r>
    </w:p>
    <w:p>
      <w:pPr>
        <w:spacing w:after="0" w:line="111"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if necessary, to the nearest 1/100 of 1%) charged to Wells Fargo Bank on such day on such transactions as determined by the Administrative Agent.</w:t>
      </w:r>
    </w:p>
    <w:p>
      <w:pPr>
        <w:spacing w:after="0" w:line="12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(a) the Administrative Agency Fee Letter, dated July 19, 2013, between the Borrower and the Administrative Agent and (b) and the Fee Letter, dated July 19, 2013, among the Borrower, the Administrative Agent and the Arrangers.</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Finance Subsidiary</w:t>
      </w:r>
      <w:r>
        <w:rPr>
          <w:rFonts w:ascii="Arial" w:cs="Arial" w:eastAsia="Arial" w:hAnsi="Arial"/>
          <w:sz w:val="16"/>
          <w:szCs w:val="16"/>
          <w:color w:val="auto"/>
        </w:rPr>
        <w:t>” means a direct Wholly Owned Subsidiary of the Parent Guarantor that (a) (i) is formed solely to be a co-issuer, jointly and severally, with the Parent Guarantor, of any senior unsecured notes of the Parent Guarantor and (ii) has nominal assets and conducts no business operations or</w:t>
      </w: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engages in no material business other than (x) lending funds to a Loan Party or a direct or indirect Wholly Owned Subsidiary of a Loan Party, and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activities incidental to the foregoing, and (ii) has no Indebtedness other than to a Loan Party.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means the covenants contained in </w:t>
      </w:r>
      <w:r>
        <w:rPr>
          <w:rFonts w:ascii="Arial" w:cs="Arial" w:eastAsia="Arial" w:hAnsi="Arial"/>
          <w:sz w:val="18"/>
          <w:szCs w:val="18"/>
          <w:u w:val="single" w:color="auto"/>
          <w:color w:val="auto"/>
        </w:rPr>
        <w:t>Section 7.13.</w:t>
      </w:r>
    </w:p>
    <w:p>
      <w:pPr>
        <w:spacing w:after="0" w:line="17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63" w:right="239" w:bottom="1440" w:gutter="0" w:footer="0" w:header="0"/>
        </w:sectPr>
      </w:pPr>
    </w:p>
    <w:bookmarkStart w:id="80" w:name="page81"/>
    <w:bookmarkEnd w:id="80"/>
    <w:p>
      <w:pPr>
        <w:ind w:right="140"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Priority</w:t>
      </w:r>
      <w:r>
        <w:rPr>
          <w:rFonts w:ascii="Arial" w:cs="Arial" w:eastAsia="Arial" w:hAnsi="Arial"/>
          <w:sz w:val="17"/>
          <w:szCs w:val="17"/>
          <w:color w:val="auto"/>
        </w:rPr>
        <w:t xml:space="preserve">” means, with respect to any Lien purported to be created and granted in any Collateral pursuant to any Collateral Document, that such Lien is the most senior Lien to which such Collateral is subject, except to the extent otherwise permitted by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93"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(a) with respect to a L/C Issuer, such Defaulting Lender’s Pro Rata Share of the outstanding L/C Obligations with respect to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Pro Rata Share of outstanding Swing Line Loans made by the Swing Line Lender other than Swing Line Loans as to which such Defaulting Lender’s participation obligation has been reallocated to other Lenders in accordance with the terms hereof.</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11.06(h)</w:t>
      </w:r>
      <w:r>
        <w:rPr>
          <w:rFonts w:ascii="Arial" w:cs="Arial" w:eastAsia="Arial" w:hAnsi="Arial"/>
          <w:sz w:val="18"/>
          <w:szCs w:val="18"/>
          <w:color w:val="auto"/>
        </w:rPr>
        <w:t>.</w:t>
      </w:r>
    </w:p>
    <w:p>
      <w:pPr>
        <w:spacing w:after="0" w:line="171"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w:t>
      </w:r>
      <w:r>
        <w:rPr>
          <w:rFonts w:ascii="Arial" w:cs="Arial" w:eastAsia="Arial" w:hAnsi="Arial"/>
          <w:sz w:val="17"/>
          <w:szCs w:val="17"/>
          <w:color w:val="auto"/>
        </w:rPr>
        <w:t>” means QEP Midstream Partners GP, LLC, a Delaware limited liability company, general partner of the Parent Guarantor.</w:t>
      </w:r>
    </w:p>
    <w:p>
      <w:pPr>
        <w:spacing w:after="0" w:line="183"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2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The amount of any Guarantee shall be deemed to be an amount equal to the stated or determinable amount of the related primary obligation, or</w:t>
      </w:r>
    </w:p>
    <w:p>
      <w:pPr>
        <w:spacing w:after="0" w:line="11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962" w:right="379" w:bottom="1440" w:gutter="0" w:footer="0" w:header="0"/>
        </w:sectPr>
      </w:pPr>
    </w:p>
    <w:bookmarkStart w:id="81" w:name="page82"/>
    <w:bookmarkEnd w:id="81"/>
    <w:p>
      <w:pPr>
        <w:ind w:right="160"/>
        <w:spacing w:after="0" w:line="277" w:lineRule="auto"/>
        <w:rPr>
          <w:sz w:val="20"/>
          <w:szCs w:val="20"/>
          <w:color w:val="auto"/>
        </w:rPr>
      </w:pPr>
      <w:r>
        <w:rPr>
          <w:rFonts w:ascii="Arial" w:cs="Arial" w:eastAsia="Arial" w:hAnsi="Arial"/>
          <w:sz w:val="18"/>
          <w:szCs w:val="18"/>
          <w:color w:val="auto"/>
        </w:rPr>
        <w:t>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the Parent Guarantor and each Subsidiary Guarantor.</w:t>
      </w:r>
    </w:p>
    <w:p>
      <w:pPr>
        <w:spacing w:after="0" w:line="171"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the guaranty made by the Parent Guarantor under </w:t>
      </w:r>
      <w:r>
        <w:rPr>
          <w:rFonts w:ascii="Arial" w:cs="Arial" w:eastAsia="Arial" w:hAnsi="Arial"/>
          <w:sz w:val="18"/>
          <w:szCs w:val="18"/>
          <w:u w:val="single" w:color="auto"/>
          <w:color w:val="auto"/>
        </w:rPr>
        <w:t>Article X</w:t>
      </w:r>
      <w:r>
        <w:rPr>
          <w:rFonts w:ascii="Arial" w:cs="Arial" w:eastAsia="Arial" w:hAnsi="Arial"/>
          <w:sz w:val="18"/>
          <w:szCs w:val="18"/>
          <w:color w:val="auto"/>
        </w:rPr>
        <w:t>, the Subsidiary Guaranty Agreement and any other guaranty agreements delivered pursuant to this Agreement.</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has the meaning set forth in the definition of “ </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any Subsidiary designated by the Borrower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as an Immaterial Subsidiary, if and for so long as</w:t>
      </w:r>
    </w:p>
    <w:p>
      <w:pPr>
        <w:spacing w:after="0" w:line="46" w:lineRule="exact"/>
        <w:rPr>
          <w:sz w:val="20"/>
          <w:szCs w:val="20"/>
          <w:color w:val="auto"/>
        </w:rPr>
      </w:pPr>
    </w:p>
    <w:p>
      <w:pPr>
        <w:jc w:val="both"/>
        <w:ind w:right="60" w:firstLine="8"/>
        <w:spacing w:after="0" w:line="292" w:lineRule="auto"/>
        <w:tabs>
          <w:tab w:leader="none" w:pos="2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such Subsidiary does not have (i) Consolidated assets in excess of 5% of Consolidated Total Assets of the Parent Guarantor or (ii) Consolidated EBITDA for the four fiscal quarters ending on the most recent Quarter-End Date that accounts for more than 5% of Consolidated EBITDA of the Parent Guarantor for such period, and (b) such Immaterial Subsidiary, together with all other Subsidiaries designated by the Borrower as Immaterial Subsidiaries, (i) does not have Consolidated assets exceeding 10% of the Consolidated Total Assets of the Parent Guarantor and (ii) does not have Consolidated EBITDA for the four fiscal quarters ending on the most recent Quarter-End Date that accounts for more than 10% of Consolidated EBITDA of the Parent Guarantor for such period.</w:t>
      </w:r>
    </w:p>
    <w:p>
      <w:pPr>
        <w:spacing w:after="0" w:line="109"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 Subsidiary will not be an Immaterial Subsidiary to the extent that any of the required terms set forth in clauses (a) or (b) of this paragraph is not satisfied, and if a Subsidiary that has been designated by the Borrower as an Immaterial Subsidiary ceases to satisfy any of such terms, from and after the date that it ceases to satisfy any such terms, such Subsidiary shall cease to be an Immaterial Subsidiary and shall be a Material Subsidiary.</w:t>
      </w:r>
    </w:p>
    <w:p>
      <w:pPr>
        <w:spacing w:after="0" w:line="111"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35" w:lineRule="exact"/>
        <w:rPr>
          <w:sz w:val="20"/>
          <w:szCs w:val="20"/>
          <w:color w:val="auto"/>
        </w:rPr>
      </w:pPr>
    </w:p>
    <w:p>
      <w:pPr>
        <w:ind w:right="80" w:firstLine="886"/>
        <w:spacing w:after="0" w:line="277" w:lineRule="auto"/>
        <w:tabs>
          <w:tab w:leader="none" w:pos="112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35" w:lineRule="exact"/>
        <w:rPr>
          <w:rFonts w:ascii="Arial" w:cs="Arial" w:eastAsia="Arial" w:hAnsi="Arial"/>
          <w:sz w:val="18"/>
          <w:szCs w:val="18"/>
          <w:color w:val="auto"/>
        </w:rPr>
      </w:pPr>
    </w:p>
    <w:p>
      <w:pPr>
        <w:ind w:right="260" w:firstLine="886"/>
        <w:spacing w:after="0" w:line="277" w:lineRule="auto"/>
        <w:tabs>
          <w:tab w:leader="none" w:pos="11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guaranties, surety bonds and similar instruments;.</w:t>
      </w:r>
    </w:p>
    <w:p>
      <w:pPr>
        <w:spacing w:after="0" w:line="35" w:lineRule="exact"/>
        <w:rPr>
          <w:rFonts w:ascii="Arial" w:cs="Arial" w:eastAsia="Arial" w:hAnsi="Arial"/>
          <w:sz w:val="18"/>
          <w:szCs w:val="18"/>
          <w:color w:val="auto"/>
        </w:rPr>
      </w:pPr>
    </w:p>
    <w:p>
      <w:pPr>
        <w:ind w:left="1140" w:hanging="25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90" w:lineRule="exact"/>
        <w:rPr>
          <w:rFonts w:ascii="Arial" w:cs="Arial" w:eastAsia="Arial" w:hAnsi="Arial"/>
          <w:sz w:val="18"/>
          <w:szCs w:val="18"/>
          <w:color w:val="auto"/>
        </w:rPr>
      </w:pPr>
    </w:p>
    <w:p>
      <w:pPr>
        <w:ind w:right="380" w:firstLine="886"/>
        <w:spacing w:after="0" w:line="277" w:lineRule="auto"/>
        <w:tabs>
          <w:tab w:leader="none" w:pos="11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62" w:right="239" w:bottom="1440" w:gutter="0" w:footer="0" w:header="0"/>
        </w:sectPr>
      </w:pPr>
    </w:p>
    <w:bookmarkStart w:id="82" w:name="page83"/>
    <w:bookmarkEnd w:id="82"/>
    <w:p>
      <w:pPr>
        <w:jc w:val="both"/>
        <w:ind w:right="40" w:firstLine="886"/>
        <w:spacing w:after="0" w:line="312" w:lineRule="auto"/>
        <w:tabs>
          <w:tab w:leader="none" w:pos="112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indebtedness (excluding prepaid interest thereon) secured by (or for which the holder of such indebtedness has an existing right, contingent or otherwise, to be secured by) a Lien on property owned or being acquired by such Person (including indebtedness arising under conditional sales or other title retention agreements), whether or not such indebtedness shall have been assumed by such Person or is limited in recourse;</w:t>
      </w:r>
    </w:p>
    <w:p>
      <w:pPr>
        <w:spacing w:after="0" w:line="11" w:lineRule="exact"/>
        <w:rPr>
          <w:rFonts w:ascii="Arial" w:cs="Arial" w:eastAsia="Arial" w:hAnsi="Arial"/>
          <w:sz w:val="16"/>
          <w:szCs w:val="16"/>
          <w:color w:val="auto"/>
        </w:rPr>
      </w:pPr>
    </w:p>
    <w:p>
      <w:pPr>
        <w:ind w:left="1120" w:hanging="234"/>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leases and Synthetic Lease Obligations;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3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7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Financial Statements</w:t>
      </w:r>
      <w:r>
        <w:rPr>
          <w:rFonts w:ascii="Arial" w:cs="Arial" w:eastAsia="Arial" w:hAnsi="Arial"/>
          <w:sz w:val="18"/>
          <w:szCs w:val="18"/>
          <w:color w:val="auto"/>
        </w:rPr>
        <w:t>” means the unqualified audited combined financial statements of the predecessor of the Acquired Businesses for the fiscal year ended December 31, 2012 and the unqualified unaudited combined financial statements of the Acquired Businesses for the period from January 1, 2013 to March 31, 2013.</w:t>
      </w:r>
    </w:p>
    <w:p>
      <w:pPr>
        <w:spacing w:after="0" w:line="12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L/C Issuer</w:t>
      </w:r>
      <w:r>
        <w:rPr>
          <w:rFonts w:ascii="Arial" w:cs="Arial" w:eastAsia="Arial" w:hAnsi="Arial"/>
          <w:sz w:val="18"/>
          <w:szCs w:val="18"/>
          <w:color w:val="auto"/>
        </w:rPr>
        <w:t>” means each of Wells Fargo Bank, Citibank, N.A., Deutsche Bank AG New York Branch, JPMorgan Chase Bank, N.A., Morgan Stanley Bank, N.A. and U.S. Bank National Association. Any Initial L/C Issuer may, in its discretion, arrange for one or more Letters of Credit to be issued by Affiliates of such Initial L/C Issuer, in which case the term “Initial L/C Issuer” shall include any such Affiliate with respect to Letters of Credit issued by such Affiliate.</w:t>
      </w:r>
    </w:p>
    <w:p>
      <w:pPr>
        <w:spacing w:after="0" w:line="133"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as to any Loan other than a Base Rate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Eurodollar Rate Loan exceeds three months, the respective dates that fall every three months after the beginning, of such Interest Period shall also be Interest Payment Dates; (b) as to any Base Rate Loan, the last Business Day of each March, June, September and December and the Maturity Date; and (c) as to any Swing Line Loan, the Maturity Date thereof.</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(a) one week, or one, two or three months thereafter, or (b) upon consent of all Lenders, twelve months thereafter, in any case as selected by the Borrower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81" w:right="259" w:bottom="1440" w:gutter="0" w:footer="0" w:header="0"/>
        </w:sectPr>
      </w:pPr>
    </w:p>
    <w:bookmarkStart w:id="83" w:name="page84"/>
    <w:bookmarkEnd w:id="83"/>
    <w:p>
      <w:pPr>
        <w:ind w:right="40" w:firstLine="886"/>
        <w:spacing w:after="0" w:line="308" w:lineRule="auto"/>
        <w:tabs>
          <w:tab w:leader="none" w:pos="1093"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1" w:lineRule="exact"/>
        <w:rPr>
          <w:rFonts w:ascii="Arial" w:cs="Arial" w:eastAsia="Arial" w:hAnsi="Arial"/>
          <w:sz w:val="17"/>
          <w:szCs w:val="17"/>
          <w:color w:val="auto"/>
        </w:rPr>
      </w:pPr>
    </w:p>
    <w:p>
      <w:pPr>
        <w:ind w:right="40" w:firstLine="886"/>
        <w:spacing w:after="0" w:line="334" w:lineRule="auto"/>
        <w:tabs>
          <w:tab w:leader="none" w:pos="1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 w:lineRule="exact"/>
        <w:rPr>
          <w:rFonts w:ascii="Arial" w:cs="Arial" w:eastAsia="Arial" w:hAnsi="Arial"/>
          <w:sz w:val="16"/>
          <w:szCs w:val="16"/>
          <w:color w:val="auto"/>
        </w:rPr>
      </w:pPr>
    </w:p>
    <w:p>
      <w:pPr>
        <w:ind w:left="1200" w:hanging="314"/>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or (c) the purchase or other acquisition (in one transaction or a series of transactions) of assets of another Person that constitute a line of business. For purposes of covenant compliance, the amount of any Investment shall be the amount actually invested, without adjustment for subsequent increases or decreases in the value of such Investment.</w:t>
      </w:r>
    </w:p>
    <w:p>
      <w:pPr>
        <w:spacing w:after="0" w:line="139" w:lineRule="exact"/>
        <w:rPr>
          <w:sz w:val="20"/>
          <w:szCs w:val="20"/>
          <w:color w:val="auto"/>
        </w:rPr>
      </w:pPr>
    </w:p>
    <w:p>
      <w:pPr>
        <w:ind w:left="440" w:right="128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underwritten public offering of Equity Interests in the Parent Guarantor pursuant to the Registration Statement “</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L/C Issuer that is the issuer of such Letter of Credit and the Borrower (or any Subsidiary) or in favor of such L/C Issuer and relating to any such Letter of Credit.</w:t>
      </w:r>
    </w:p>
    <w:p>
      <w:pPr>
        <w:spacing w:after="0" w:line="127"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means Wells Fargo Securities LLC, Citigroup Global Markets, Inc., and U.S. Bank National Association, in their respective capacities as joint bookrunners.</w:t>
      </w:r>
    </w:p>
    <w:p>
      <w:pPr>
        <w:spacing w:after="0" w:line="116"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w:t>
      </w:r>
      <w:r>
        <w:rPr>
          <w:rFonts w:ascii="Arial" w:cs="Arial" w:eastAsia="Arial" w:hAnsi="Arial"/>
          <w:sz w:val="17"/>
          <w:szCs w:val="17"/>
          <w:color w:val="auto"/>
        </w:rPr>
        <w:t>” means an entity, other than a Subsidiary, in which any Loan Party owns directly or indirectly five percent (5%) or more of any class of ownership interests. As of the Execution Date and as of the Closing Date, the only Joint Venture is Three Rivers Gathering, L.L.C.</w:t>
      </w:r>
    </w:p>
    <w:p>
      <w:pPr>
        <w:spacing w:after="0" w:line="93"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1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Pro Rata Share.</w:t>
      </w:r>
    </w:p>
    <w:p>
      <w:pPr>
        <w:spacing w:after="0" w:line="1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962" w:right="259" w:bottom="1440" w:gutter="0" w:footer="0" w:header="0"/>
        </w:sectPr>
      </w:pPr>
    </w:p>
    <w:bookmarkStart w:id="84" w:name="page85"/>
    <w:bookmarkEnd w:id="84"/>
    <w:p>
      <w:pPr>
        <w:ind w:right="28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has the meaning set forth in the definition of L/C Issuer.</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means with respect to each Letter of Credit issued hereunder, each Initial L/C Issuer or such other Lender that has issued or agreed to issue such Letter of Credit at the request of the Borrower and that is reasonably acceptable to the Administrative Agent (such acceptance not to be unreasonably withheld, conditioned or delayed), in its capacity as the issuer of such Letter of Credit, or any successor issuer of Letters of Credit hereunder. The dollar amount of the commitment of each L/C Issuer to issue Letters of Credit hereunder (the “</w:t>
      </w:r>
      <w:r>
        <w:rPr>
          <w:rFonts w:ascii="Arial" w:cs="Arial" w:eastAsia="Arial" w:hAnsi="Arial"/>
          <w:sz w:val="17"/>
          <w:szCs w:val="17"/>
          <w:u w:val="single" w:color="auto"/>
          <w:color w:val="auto"/>
        </w:rPr>
        <w:t>L/C Commitment</w:t>
      </w:r>
      <w:r>
        <w:rPr>
          <w:rFonts w:ascii="Arial" w:cs="Arial" w:eastAsia="Arial" w:hAnsi="Arial"/>
          <w:sz w:val="17"/>
          <w:szCs w:val="17"/>
          <w:color w:val="auto"/>
        </w:rPr>
        <w:t>”) shall be as agreed in writing between the Borrower, such L/C Issuer and the Administrative Agent. As of the Closing Date, the L/C Commitment of each of Wells Fargo Bank, Citibank, N.A., JPMorgan Chase Bank, N.A., and U.S. Bank National Association is $8,500,000.00, and the L/C Commitment of each of Deutsche Bank AG New York Branch and Morgan Stanley Bank, N.A. is $8,000,000.00. Any L/C Issuer may, in its discretion, arrange for one or more Letters of Credit to be issued by Affiliates of such L/C Issuer, in which case the term “L/C Issuer” shall include any such Affiliate with respect to Letters of Credit issued by such Affiliate. As used herein, the term “the L/C Issuer” shall mean “each L/C Issuer” or “the applicable L/C Issuer,” as the context may require.</w:t>
      </w:r>
    </w:p>
    <w:p>
      <w:pPr>
        <w:spacing w:after="0" w:line="12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as at any date of determination, the aggregate undrawn amount of all outstanding Letters of Credit plus the aggregate of all Unreimbursed Amounts, including all L/C Borrowings.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unless the context otherwise requires, includes each L/C Issuer and the Swing Line Lender.</w:t>
      </w:r>
    </w:p>
    <w:p>
      <w:pPr>
        <w:spacing w:after="0" w:line="11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1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(or, if such day is not a Business Day, the next preceding Business Day).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$50,000,000 and (b) the Aggregate Commitments. The Letter of Credit Sublimit is part of, and not in addition to, the Aggregate Commitments.</w:t>
      </w:r>
    </w:p>
    <w:p>
      <w:pPr>
        <w:spacing w:after="0" w:line="1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963" w:right="259" w:bottom="1440" w:gutter="0" w:footer="0" w:header="0"/>
        </w:sectPr>
      </w:pPr>
    </w:p>
    <w:bookmarkStart w:id="85" w:name="page86"/>
    <w:bookmarkEnd w:id="85"/>
    <w:p>
      <w:pPr>
        <w:ind w:right="240" w:firstLine="43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each Issuer Document, the Fee Letters, the Letters of Credit, the Collateral Documents and each other document executed and delivered by a Loan Party or a Subsidiary in connection therewith that is designated as a Loan Document therein. “Loan Documents” do not include any Secured Hedge Agreement or any Secured Cash Management Agreement.</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written notice of (a) a Borrowing,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the Parent Guarantor and each Subsidiary Guarantor.</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a material adverse effect on the property, business, operations, liabilities, condition (financial or otherwise) or operating results of (x) the Borrower and the Restricted Subsidiaries taken as a whole or (y) the Parent Guarantor, the Borrower and its Restricted Subsidiaries taken as a whole, (b) a material impairment of the ability of the Borrower or any other Loan Party to perform any of its material obligations under any Loan Document, or (c) a material impairment of any right or remedy of or benefit available to the Lenders or the Administrative Agent under any Loan Document.</w:t>
      </w:r>
    </w:p>
    <w:p>
      <w:pPr>
        <w:spacing w:after="0" w:line="100"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Agreement</w:t>
      </w:r>
      <w:r>
        <w:rPr>
          <w:rFonts w:ascii="Arial" w:cs="Arial" w:eastAsia="Arial" w:hAnsi="Arial"/>
          <w:sz w:val="17"/>
          <w:szCs w:val="17"/>
          <w:color w:val="auto"/>
        </w:rPr>
        <w:t>” means any agreement or contract to which a Loan Party or any Restricted Subsidiary is a party, which, if terminated or cancelled (other than an expiration in accordance with its terms), would reasonably be expected to result in a Material Adverse Effect.</w:t>
      </w:r>
    </w:p>
    <w:p>
      <w:pPr>
        <w:spacing w:after="0" w:line="9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Project</w:t>
      </w:r>
      <w:r>
        <w:rPr>
          <w:rFonts w:ascii="Arial" w:cs="Arial" w:eastAsia="Arial" w:hAnsi="Arial"/>
          <w:sz w:val="18"/>
          <w:szCs w:val="18"/>
          <w:color w:val="auto"/>
        </w:rPr>
        <w:t>” means any capital project of the Borrower or any Restricted Subsidiary the cost of which is reasonably expected by the Borrower to exceed, or exceeds, $10,000,000.</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Project Consolidated EBITDA Adjustment</w:t>
      </w:r>
      <w:r>
        <w:rPr>
          <w:rFonts w:ascii="Arial" w:cs="Arial" w:eastAsia="Arial" w:hAnsi="Arial"/>
          <w:sz w:val="18"/>
          <w:szCs w:val="18"/>
          <w:color w:val="auto"/>
        </w:rPr>
        <w:t>” means:</w:t>
      </w:r>
    </w:p>
    <w:p>
      <w:pPr>
        <w:spacing w:after="0" w:line="90" w:lineRule="exact"/>
        <w:rPr>
          <w:sz w:val="20"/>
          <w:szCs w:val="20"/>
          <w:color w:val="auto"/>
        </w:rPr>
      </w:pPr>
    </w:p>
    <w:p>
      <w:pPr>
        <w:ind w:right="20" w:firstLine="886"/>
        <w:spacing w:after="0" w:line="270" w:lineRule="auto"/>
        <w:tabs>
          <w:tab w:leader="none" w:pos="10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to the Commercial Operation Date of such Material Project (but including the fiscal quarter in which such Commercial Operation Date occurs), a percentage (equal to the then-current completion percentage of such Material Project) of an amount to be approved by the Administrative Agent (such approval not to be unreasonably withheld or delayed) as the projected Consolidated EBITDA attributable to such Material Project for the first 12-month period following the scheduled Commercial Operation Date of such Material Project (such amount to be determined based on projected revenues from customer contracts relating to such Material Project, the creditworthiness and applicable projected production of the prospective customers, capital and other costs, operating and administrative expenses, scheduled Commercial Operation Date, commodity price assumptions and other factors reasonably deemed appropriate by the Administrative Agent), which may, at the Borrower’s option (subject to Administrative Agent’s review and approval (such approval not to be unreasonably withheld or delayed) of each component of such Material Project Consolidated EBITDA Adjustment), be added to actual Consolidated EBITDA for the fiscal quarter in which construction of such Material Project</w:t>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62" w:right="239" w:bottom="1440" w:gutter="0" w:footer="0" w:header="0"/>
        </w:sectPr>
      </w:pPr>
    </w:p>
    <w:bookmarkStart w:id="86" w:name="page87"/>
    <w:bookmarkEnd w:id="86"/>
    <w:p>
      <w:pPr>
        <w:ind w:right="240" w:firstLine="432"/>
        <w:spacing w:after="0" w:line="291" w:lineRule="auto"/>
        <w:rPr>
          <w:sz w:val="20"/>
          <w:szCs w:val="20"/>
          <w:color w:val="auto"/>
        </w:rPr>
      </w:pPr>
      <w:r>
        <w:rPr>
          <w:rFonts w:ascii="Arial" w:cs="Arial" w:eastAsia="Arial" w:hAnsi="Arial"/>
          <w:sz w:val="16"/>
          <w:szCs w:val="16"/>
          <w:color w:val="auto"/>
        </w:rPr>
        <w:t xml:space="preserve">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actual Commercial Operation Date, by the following percentage amounts depending on the period of delay (based on the period of actual delay or then-estimated delay, whichever is longer): (i) 90 days or less, 0%, (ii) longer than 90 days, but not more than 180 days, 25%, (iii) longer than 180 days but not more than 270 days, 50%, (iv) longer than 270 days, but not more than 365 days, 75% and (v) longer than 365 days, 100%; and</w:t>
      </w:r>
    </w:p>
    <w:p>
      <w:pPr>
        <w:spacing w:after="0" w:line="32" w:lineRule="exact"/>
        <w:rPr>
          <w:sz w:val="20"/>
          <w:szCs w:val="20"/>
          <w:color w:val="auto"/>
        </w:rPr>
      </w:pPr>
    </w:p>
    <w:p>
      <w:pPr>
        <w:jc w:val="both"/>
        <w:ind w:right="480" w:firstLine="886"/>
        <w:spacing w:after="0" w:line="276" w:lineRule="auto"/>
        <w:tabs>
          <w:tab w:leader="none" w:pos="11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(determined in the same manner as set forth in clause (i) above) for the balance of the four full fiscal quarter period following such Commercial Operation Date, which may, at Borrower’s option, be added to actual Consolidated EBITDA for such fiscal quarters (but net of any actual Consolidated EBITDA attributable to such Material Project following such Commercial Operation Date).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6.11(c)</w:t>
      </w:r>
      <w:r>
        <w:rPr>
          <w:rFonts w:ascii="Arial" w:cs="Arial" w:eastAsia="Arial" w:hAnsi="Arial"/>
          <w:sz w:val="18"/>
          <w:szCs w:val="18"/>
          <w:color w:val="auto"/>
        </w:rPr>
        <w:t>.</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at any time, each of the following: (a) QEP Gathering I, LLC, (b) Rendezvous Gas, and (b) each other Subsidiary that is not an Immaterial Subsidiary at such time.</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August 14,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Maturity Date for any Swing Line Loan shall be the earlier of such date and five Business Days after such Swing Line Loan is made.</w:t>
      </w:r>
    </w:p>
    <w:p>
      <w:pPr>
        <w:spacing w:after="0" w:line="116"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(a) with respect to Cash Collateral consisting of cash or deposit account balances, an amount equal to the Fronting Exposure of the L/C Issuers with respect to Letters of Credit issued and outstanding at such time and (b) otherwise, an amount determined by the Administrative Agent and the applicable L/C Issuers in their sole discretion.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71"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90" w:lineRule="exact"/>
        <w:rPr>
          <w:sz w:val="20"/>
          <w:szCs w:val="20"/>
          <w:color w:val="auto"/>
        </w:rPr>
      </w:pPr>
    </w:p>
    <w:p>
      <w:pPr>
        <w:ind w:right="40" w:firstLine="886"/>
        <w:spacing w:after="0" w:line="277" w:lineRule="auto"/>
        <w:tabs>
          <w:tab w:leader="none" w:pos="11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any Asset Sale or Casualty Event, the cash proceeds (including cash proceeds subsequently received (as and when received) in respect of noncash consideration initially received), net of:</w:t>
      </w:r>
    </w:p>
    <w:p>
      <w:pPr>
        <w:spacing w:after="0" w:line="35" w:lineRule="exact"/>
        <w:rPr>
          <w:rFonts w:ascii="Arial" w:cs="Arial" w:eastAsia="Arial" w:hAnsi="Arial"/>
          <w:sz w:val="18"/>
          <w:szCs w:val="18"/>
          <w:color w:val="auto"/>
        </w:rPr>
      </w:pPr>
    </w:p>
    <w:p>
      <w:pPr>
        <w:ind w:firstLine="1318"/>
        <w:spacing w:after="0" w:line="277" w:lineRule="auto"/>
        <w:tabs>
          <w:tab w:leader="none" w:pos="1525"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selling expenses (including reasonable broker’s fees or commissions, legal fees, transfer and similar Taxes and the Borrower’s good faith estimate of income Taxes paid or payable by the Borrower in connection with such sale),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82" w:right="259" w:bottom="1440" w:gutter="0" w:footer="0" w:header="0"/>
        </w:sectPr>
      </w:pPr>
    </w:p>
    <w:bookmarkStart w:id="87" w:name="page88"/>
    <w:bookmarkEnd w:id="87"/>
    <w:p>
      <w:pPr>
        <w:ind w:right="240" w:firstLine="1318"/>
        <w:spacing w:after="0" w:line="259" w:lineRule="auto"/>
        <w:tabs>
          <w:tab w:leader="none" w:pos="1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provided as a reserve, in accordance with GAAP, against (x) any liabilities under any indemnification obligations associated with such Asset Sale or Casualty Event or (y) any other liabilities retained by Borrower or any of its Restricted Subsidiaries associated with the properties sold or transferred in such Asset Sale or Casualty Event (provided that, to the extent and at the time any such amounts are released from such reserve, such amounts shall constitute Net Cash Proceeds);</w:t>
      </w:r>
    </w:p>
    <w:p>
      <w:pPr>
        <w:spacing w:after="0" w:line="51" w:lineRule="exact"/>
        <w:rPr>
          <w:rFonts w:ascii="Arial" w:cs="Arial" w:eastAsia="Arial" w:hAnsi="Arial"/>
          <w:sz w:val="18"/>
          <w:szCs w:val="18"/>
          <w:color w:val="auto"/>
        </w:rPr>
      </w:pPr>
    </w:p>
    <w:p>
      <w:pPr>
        <w:jc w:val="both"/>
        <w:ind w:right="120" w:firstLine="1318"/>
        <w:spacing w:after="0" w:line="312" w:lineRule="auto"/>
        <w:tabs>
          <w:tab w:leader="none" w:pos="16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Borrower’s good faith estimate of payments required to be made with respect to unassumed liabilities relating to the properties sold or transferred within 90 days of such Asset Sale or Casualty Event (provided that, to the extent such cash proceeds are not used to make payments in respect of such unassumed liabilities within 90 days of such Asset Sale or Casualty Event, such cash proceeds shall constitute Net Cash Proceeds);</w:t>
      </w:r>
    </w:p>
    <w:p>
      <w:pPr>
        <w:spacing w:after="0" w:line="11" w:lineRule="exact"/>
        <w:rPr>
          <w:rFonts w:ascii="Arial" w:cs="Arial" w:eastAsia="Arial" w:hAnsi="Arial"/>
          <w:sz w:val="16"/>
          <w:szCs w:val="16"/>
          <w:color w:val="auto"/>
        </w:rPr>
      </w:pPr>
    </w:p>
    <w:p>
      <w:pPr>
        <w:ind w:right="40" w:firstLine="1318"/>
        <w:spacing w:after="0" w:line="264" w:lineRule="auto"/>
        <w:tabs>
          <w:tab w:leader="none" w:pos="16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principal amount, premium or penalty, if any, interest and other amounts on any Indebtedness for borrowed money which is secured by a Permitted Lien on the properties sold or transferred in such Asset Sale or Casualty Event and which is repaid with such proceeds (other than any such Indebtedness assumed by the purchaser of such properties); and</w:t>
      </w:r>
    </w:p>
    <w:p>
      <w:pPr>
        <w:spacing w:after="0" w:line="46" w:lineRule="exact"/>
        <w:rPr>
          <w:rFonts w:ascii="Arial" w:cs="Arial" w:eastAsia="Arial" w:hAnsi="Arial"/>
          <w:sz w:val="18"/>
          <w:szCs w:val="18"/>
          <w:color w:val="auto"/>
        </w:rPr>
      </w:pPr>
    </w:p>
    <w:p>
      <w:pPr>
        <w:ind w:firstLine="1318"/>
        <w:spacing w:after="0" w:line="277" w:lineRule="auto"/>
        <w:tabs>
          <w:tab w:leader="none" w:pos="15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a Casualty Event, all reasonable costs and expenses incurred in connection with the collection of proceeds, awards or other compensation in respect of a Casualty Event;</w:t>
      </w:r>
    </w:p>
    <w:p>
      <w:pPr>
        <w:spacing w:after="0" w:line="3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provided, however, that, if the Borrower shall deliver a certificate of a Responsible Officer to the Administrative Agent not later than the seventh Business Day following the receipt by the Borrower or any Restricted Subsidiary of such cash proceeds setting forth the Borrower’s intent to reinvest (or to cause its Restricted Subsidiaries to reinvest) such proceeds in productive assets of a kind then used or usable in the business of the Borrower or any Restricted Subsidiary (or 100% of the Equity Interests of any entity that shall become a Restricted Subsidiary hereunder that owns such productive assets) within 360 days of receipt of such proceeds and in each case such proceeds are used for such reinvestment within such 360 day period (or, if committed to be so used within such period, are so reinvested within a further 180 days thereafter) and (y) no Event of Default shall have occurred and shall be continuing at the time of such certificate or at the proposed time of the application of such proceeds, such proceeds shall not constitute Net Cash Proceeds except to the extent not so used at the end of such period, at which time such proceeds shall be deemed to be Net Cash Proceeds; and</w:t>
      </w:r>
    </w:p>
    <w:p>
      <w:pPr>
        <w:spacing w:after="0" w:line="125" w:lineRule="exact"/>
        <w:rPr>
          <w:sz w:val="20"/>
          <w:szCs w:val="20"/>
          <w:color w:val="auto"/>
        </w:rPr>
      </w:pPr>
    </w:p>
    <w:p>
      <w:pPr>
        <w:ind w:right="820" w:firstLine="440"/>
        <w:spacing w:after="0" w:line="277" w:lineRule="auto"/>
        <w:tabs>
          <w:tab w:leader="none" w:pos="687"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any issuance or incurrence of Indebtedness, the cash proceeds thereof, net of all Taxes and reasonable and customary fees, commissions, costs and other expenses incurred in connection therewith.</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Non-Wholly Owned</w:t>
      </w:r>
      <w:r>
        <w:rPr>
          <w:rFonts w:ascii="Arial" w:cs="Arial" w:eastAsia="Arial" w:hAnsi="Arial"/>
          <w:sz w:val="18"/>
          <w:szCs w:val="18"/>
          <w:color w:val="auto"/>
        </w:rPr>
        <w:t>” when used with respect to a Subsidiary, means a Subsidiary that is not Wholly Owned.</w:t>
      </w:r>
    </w:p>
    <w:p>
      <w:pPr>
        <w:spacing w:after="0" w:line="17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16"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the Borrower or any other Loan Party arising under any Loan Document or otherwise with respect to any Loan, Swing Line Loan or Letter of Credit and including all L/C Obligations, whether such Obligations are direct or indirect (including those acquired by assumption), absolute or contingent, due or to become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82" w:right="239" w:bottom="1440" w:gutter="0" w:footer="0" w:header="0"/>
        </w:sectPr>
      </w:pPr>
    </w:p>
    <w:bookmarkStart w:id="88" w:name="page89"/>
    <w:bookmarkEnd w:id="88"/>
    <w:p>
      <w:pPr>
        <w:ind w:right="120"/>
        <w:spacing w:after="0" w:line="255" w:lineRule="auto"/>
        <w:rPr>
          <w:sz w:val="20"/>
          <w:szCs w:val="20"/>
          <w:color w:val="auto"/>
        </w:rPr>
      </w:pPr>
      <w:r>
        <w:rPr>
          <w:rFonts w:ascii="Arial" w:cs="Arial" w:eastAsia="Arial" w:hAnsi="Arial"/>
          <w:sz w:val="18"/>
          <w:szCs w:val="18"/>
          <w:color w:val="auto"/>
        </w:rPr>
        <w:t xml:space="preserve">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with respect to any Loan Party that is not an “eligible contract participant” under the Commodity Exchange Act, Excluded Swap Obligations of such Loan Party shall in any event be excluded from “Obligations” owing by such Loan Party. It is expressly agreed that Obligations under Swap Contracts shall not be treated as Obligations for purposes of the provisions for acceleration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for adjustments and set-off in </w:t>
      </w:r>
      <w:r>
        <w:rPr>
          <w:rFonts w:ascii="Arial" w:cs="Arial" w:eastAsia="Arial" w:hAnsi="Arial"/>
          <w:sz w:val="18"/>
          <w:szCs w:val="18"/>
          <w:u w:val="single" w:color="auto"/>
          <w:color w:val="auto"/>
        </w:rPr>
        <w:t>Section 11.08</w:t>
      </w:r>
      <w:r>
        <w:rPr>
          <w:rFonts w:ascii="Arial" w:cs="Arial" w:eastAsia="Arial" w:hAnsi="Arial"/>
          <w:sz w:val="18"/>
          <w:szCs w:val="18"/>
          <w:color w:val="auto"/>
        </w:rPr>
        <w: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39"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solely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(i) with respect to Loans on any date, the aggregate outstanding principal amount thereof after giving effect to any borrowings and prepayments or repayments of Loans, as the case may be, occurring on such date;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 and (iii) with respect to Swing Line Loans, the aggregate outstanding principal amount thereof after giving effect to any borrowing or repayment of Swing Line Loans, as the case may be, occurring on such date.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Guarantor</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11.06(f)</w:t>
      </w:r>
      <w:r>
        <w:rPr>
          <w:rFonts w:ascii="Arial" w:cs="Arial" w:eastAsia="Arial" w:hAnsi="Arial"/>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962" w:right="259" w:bottom="1440" w:gutter="0" w:footer="0" w:header="0"/>
        </w:sectPr>
      </w:pPr>
    </w:p>
    <w:bookmarkStart w:id="89" w:name="page90"/>
    <w:bookmarkEnd w:id="89"/>
    <w:p>
      <w:pPr>
        <w:ind w:right="4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payment in full in cash of all Secured Obligations (other than contingent obligations for which no claim has been made), termination of the Commitments of all Lenders and L/C Issuers, and termination of all Letters of Credit (or Cash Collateralization thereof as acceptable to the applicable L/C Issuers).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7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Protection Act of 2006, as amended (“Pension Act”), Section 412 of the Code and Section 302 of ERISA, each as in effect prior to the Pension Act and, thereafter, Section 412, 430, 431, 432, and 436 of the Code and Sections 302, 303, 304 and 305 of ERISA.</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the acquisition by a Loan Party or a Restricted Subsidiary of assets of a Person constituting a line of business of such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Person, or not less than 100% of the Equity Interests (other than directors’ qualifying shares) of a Person (each such Person being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Acquired Entity</w:t>
      </w:r>
      <w:r>
        <w:rPr>
          <w:rFonts w:ascii="Arial" w:cs="Arial" w:eastAsia="Arial" w:hAnsi="Arial"/>
          <w:sz w:val="16"/>
          <w:szCs w:val="16"/>
          <w:color w:val="auto"/>
        </w:rPr>
        <w:t xml:space="preserve">”), whether from QRI or a Subsidiary thereof or from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time of such acquisition (i) both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and after giving effect thereto, no Default shall have occurred and be continuing; (ii) immediately before and after consummating such acquisition,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Guarantor shall be in Pro Forma Compliance with the Financial Covenants; (iii) if the Acquired Entity becomes a Material Subsidiary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acquisition, the Borrower and any applicable Restricted Subsidiary shall comply, and shall cause the Acquired Entity to comply, with </w:t>
      </w:r>
      <w:r>
        <w:rPr>
          <w:rFonts w:ascii="Arial" w:cs="Arial" w:eastAsia="Arial" w:hAnsi="Arial"/>
          <w:sz w:val="17"/>
          <w:szCs w:val="17"/>
          <w:u w:val="single" w:color="auto"/>
          <w:color w:val="auto"/>
        </w:rPr>
        <w:t>Section 6.11</w:t>
      </w:r>
      <w:r>
        <w:rPr>
          <w:rFonts w:ascii="Arial" w:cs="Arial" w:eastAsia="Arial" w:hAnsi="Arial"/>
          <w:sz w:val="17"/>
          <w:szCs w:val="17"/>
          <w:color w:val="auto"/>
        </w:rPr>
        <w:t>.</w:t>
      </w:r>
    </w:p>
    <w:p>
      <w:pPr>
        <w:spacing w:after="0" w:line="168"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Affiliate Acquisition</w:t>
      </w:r>
      <w:r>
        <w:rPr>
          <w:rFonts w:ascii="Arial" w:cs="Arial" w:eastAsia="Arial" w:hAnsi="Arial"/>
          <w:sz w:val="17"/>
          <w:szCs w:val="17"/>
          <w:color w:val="auto"/>
        </w:rPr>
        <w:t>” means the acquisition by a Loan Party or a Restricted Subsidiary from QRI or a Subsidiary thereof of less than 100% of the Equity Interests or assets of a Person (each such Person being referred to herein as the “</w:t>
      </w:r>
      <w:r>
        <w:rPr>
          <w:rFonts w:ascii="Arial" w:cs="Arial" w:eastAsia="Arial" w:hAnsi="Arial"/>
          <w:sz w:val="17"/>
          <w:szCs w:val="17"/>
          <w:u w:val="single" w:color="auto"/>
          <w:color w:val="auto"/>
        </w:rPr>
        <w:t>Acquired Entity</w:t>
      </w:r>
      <w:r>
        <w:rPr>
          <w:rFonts w:ascii="Arial" w:cs="Arial" w:eastAsia="Arial" w:hAnsi="Arial"/>
          <w:sz w:val="17"/>
          <w:szCs w:val="17"/>
          <w:color w:val="auto"/>
        </w:rPr>
        <w:t>”); provided that (a) at the time of such acquisition (i) both immediately before and after giving effect thereto, no Default shall have occurred and be continuing; (ii) immediately before and after consummating such acquisition, the Parent Guarantor shall be in Pro Forma Compliance with the Financial Covenants; (iii) all Equity Interests in the Acquired Entity that are not being acquired as part of such acquisition shall be owned by QRI or a Subsidiary thereof; (b) such Loan Party or Restricted Subsidiary shall pledge such Equity Interests to the Administrative Agent pursuant to a Collateral Document; and (c) the aggregate consideration for all Permitted Affiliate Acquisitions by all Loan Parties and Restricted Subsidiaries shall not exceed $250,000,000.</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right="80" w:firstLine="886"/>
        <w:spacing w:after="0" w:line="264" w:lineRule="auto"/>
        <w:tabs>
          <w:tab w:leader="none" w:pos="11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twelve months from the date of acquisition thereof;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962" w:right="259" w:bottom="1440" w:gutter="0" w:footer="0" w:header="0"/>
        </w:sectPr>
      </w:pPr>
    </w:p>
    <w:bookmarkStart w:id="90" w:name="page91"/>
    <w:bookmarkEnd w:id="90"/>
    <w:p>
      <w:pPr>
        <w:ind w:left="-20" w:right="120" w:firstLine="886"/>
        <w:spacing w:after="0" w:line="277" w:lineRule="auto"/>
        <w:tabs>
          <w:tab w:leader="none" w:pos="11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Investments in commercial paper maturing within twelve months from the date of acquisition thereof and having, at such date of acquisition, the highest credit rating obtainable from S&amp;P or from Moody’s;</w:t>
      </w:r>
    </w:p>
    <w:p>
      <w:pPr>
        <w:spacing w:after="0" w:line="35" w:lineRule="exact"/>
        <w:rPr>
          <w:rFonts w:ascii="Arial" w:cs="Arial" w:eastAsia="Arial" w:hAnsi="Arial"/>
          <w:sz w:val="18"/>
          <w:szCs w:val="18"/>
          <w:color w:val="auto"/>
        </w:rPr>
      </w:pPr>
    </w:p>
    <w:p>
      <w:pPr>
        <w:ind w:left="-20" w:right="20" w:firstLine="886"/>
        <w:spacing w:after="0" w:line="255" w:lineRule="auto"/>
        <w:tabs>
          <w:tab w:leader="none" w:pos="11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twelve months from the date of acquisition thereof issued or guaranteed by or placed with, and demand, savings and money market deposit accounts issued or offered by, the Administrative Agent or any Affiliate of the Administrative Agent, any Arranger or any Affiliate of any Arranger or any domestic office of any commercial bank organized under the laws of the United States of America or any State thereof that has a combined capital and surplus and undivided profits of not less than $500,000,000 and that issues (or the parent of which issues) commercial paper rated at least “Prime-2” (or the then equivalent grade) by Moody’s or “A-2” (or the then equivalent grade) by S&amp;P;</w:t>
      </w:r>
    </w:p>
    <w:p>
      <w:pPr>
        <w:spacing w:after="0" w:line="58" w:lineRule="exact"/>
        <w:rPr>
          <w:rFonts w:ascii="Arial" w:cs="Arial" w:eastAsia="Arial" w:hAnsi="Arial"/>
          <w:sz w:val="18"/>
          <w:szCs w:val="18"/>
          <w:color w:val="auto"/>
        </w:rPr>
      </w:pPr>
    </w:p>
    <w:p>
      <w:pPr>
        <w:ind w:left="-20" w:right="200" w:firstLine="886"/>
        <w:spacing w:after="0" w:line="277" w:lineRule="auto"/>
        <w:tabs>
          <w:tab w:leader="none" w:pos="11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of clause (c) above; and</w:t>
      </w:r>
    </w:p>
    <w:p>
      <w:pPr>
        <w:spacing w:after="0" w:line="35" w:lineRule="exact"/>
        <w:rPr>
          <w:rFonts w:ascii="Arial" w:cs="Arial" w:eastAsia="Arial" w:hAnsi="Arial"/>
          <w:sz w:val="18"/>
          <w:szCs w:val="18"/>
          <w:color w:val="auto"/>
        </w:rPr>
      </w:pPr>
    </w:p>
    <w:p>
      <w:pPr>
        <w:ind w:left="-20" w:right="100" w:firstLine="886"/>
        <w:spacing w:after="0" w:line="277" w:lineRule="auto"/>
        <w:tabs>
          <w:tab w:leader="none" w:pos="11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investments in “money market funds” within the meaning of Rule 2a-7 of the Investment Company Act of 1940, as amended, at least 95% of whose assets are invested in investments of the type described in clauses (a) through (d) above.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20" w:right="140" w:firstLine="886"/>
        <w:spacing w:after="0" w:line="259" w:lineRule="auto"/>
        <w:tabs>
          <w:tab w:leader="none" w:pos="11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statutory Liens for taxes, assessments and governmental charges, statutory mechanics’, materialmen’s, carriers’, workman’s and warehousemen’s Liens, and other similar statutory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under this subparagraph (a), such Liens secure only indebtedness, liabilities and obligations which are not delinquent for a period of more than 60 days or which are being contested by appropriate proceedings and for which adequate reserves are provided on the books of the applicable Loan Party or Restricted Subsidiary;</w:t>
      </w:r>
    </w:p>
    <w:p>
      <w:pPr>
        <w:spacing w:after="0" w:line="51" w:lineRule="exact"/>
        <w:rPr>
          <w:rFonts w:ascii="Arial" w:cs="Arial" w:eastAsia="Arial" w:hAnsi="Arial"/>
          <w:sz w:val="18"/>
          <w:szCs w:val="18"/>
          <w:color w:val="auto"/>
        </w:rPr>
      </w:pPr>
    </w:p>
    <w:p>
      <w:pPr>
        <w:ind w:left="1120" w:hanging="254"/>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on the office facilities of the Loan Parties and Restricted Subsidiaries;</w:t>
      </w:r>
    </w:p>
    <w:p>
      <w:pPr>
        <w:spacing w:after="0" w:line="90" w:lineRule="exact"/>
        <w:rPr>
          <w:rFonts w:ascii="Arial" w:cs="Arial" w:eastAsia="Arial" w:hAnsi="Arial"/>
          <w:sz w:val="18"/>
          <w:szCs w:val="18"/>
          <w:color w:val="auto"/>
        </w:rPr>
      </w:pPr>
    </w:p>
    <w:p>
      <w:pPr>
        <w:ind w:left="1120" w:hanging="254"/>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to secure the Obligations;</w:t>
      </w:r>
    </w:p>
    <w:p>
      <w:pPr>
        <w:spacing w:after="0" w:line="90" w:lineRule="exact"/>
        <w:rPr>
          <w:rFonts w:ascii="Arial" w:cs="Arial" w:eastAsia="Arial" w:hAnsi="Arial"/>
          <w:sz w:val="18"/>
          <w:szCs w:val="18"/>
          <w:color w:val="auto"/>
        </w:rPr>
      </w:pPr>
    </w:p>
    <w:p>
      <w:pPr>
        <w:ind w:left="-20" w:firstLine="886"/>
        <w:spacing w:after="0" w:line="291" w:lineRule="auto"/>
        <w:tabs>
          <w:tab w:leader="none" w:pos="111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Liens on any property or asset existing prior to the acquisition thereof pursuant to an Acquisition by a Loan Party and Liens on any property or asset of any Person that becomes a Restricted Subsidiary after the Closing Date if such Liens exist prior to the time such Person becomes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secure only Indebtedness permitted by </w:t>
      </w:r>
      <w:r>
        <w:rPr>
          <w:rFonts w:ascii="Arial" w:cs="Arial" w:eastAsia="Arial" w:hAnsi="Arial"/>
          <w:sz w:val="16"/>
          <w:szCs w:val="16"/>
          <w:u w:val="single" w:color="auto"/>
          <w:color w:val="auto"/>
        </w:rPr>
        <w:t>Section 7.01(c)</w:t>
      </w:r>
      <w:r>
        <w:rPr>
          <w:rFonts w:ascii="Arial" w:cs="Arial" w:eastAsia="Arial" w:hAnsi="Arial"/>
          <w:sz w:val="16"/>
          <w:szCs w:val="16"/>
          <w:color w:val="auto"/>
        </w:rPr>
        <w:t>, (ii) such Liens are not created in contemplation of or in connection with such acquisition or such Person becoming a Restricted Subsidiary, (iii) such Liens shall not apply to any other property or assets of any Loan Party or any Restricted Subsidiary, (iv) such Liens shall secure only those obligations which it secured on the date of such acquisition or the date such Person becomes a Restricted Subsidiary, and any Permitted Refinancing Indebtedness in respect of the foregoing, and (v) such Liens may not cover any Pipeline Real Property other than Pipeline Real Property acquired after the Closing Date pursuant to an Acquisition;</w:t>
      </w:r>
    </w:p>
    <w:p>
      <w:pPr>
        <w:spacing w:after="0" w:line="32" w:lineRule="exact"/>
        <w:rPr>
          <w:rFonts w:ascii="Arial" w:cs="Arial" w:eastAsia="Arial" w:hAnsi="Arial"/>
          <w:sz w:val="16"/>
          <w:szCs w:val="16"/>
          <w:color w:val="auto"/>
        </w:rPr>
      </w:pPr>
    </w:p>
    <w:p>
      <w:pPr>
        <w:ind w:left="-20" w:right="400" w:firstLine="886"/>
        <w:spacing w:after="0" w:line="259" w:lineRule="auto"/>
        <w:tabs>
          <w:tab w:leader="none" w:pos="11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pledges of cash and cash equivalents incurred or deposits made to secure obligations (other than Indebtedness) under workers’ compensation laws or similar legislation or to secure public or statutory obligations, in each case in the ordinary course of business, or deductibles, self-insurance, insurance premiums, co-payment, coinsurance, retention and similar obligations to providers of insurance in respect of such obligations in the ordinary course of business;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800" w:right="259" w:bottom="1440" w:gutter="0" w:footer="0" w:header="0"/>
        </w:sectPr>
      </w:pPr>
    </w:p>
    <w:bookmarkStart w:id="91" w:name="page92"/>
    <w:bookmarkEnd w:id="91"/>
    <w:p>
      <w:pPr>
        <w:jc w:val="both"/>
        <w:ind w:right="20" w:firstLine="886"/>
        <w:spacing w:after="0" w:line="264" w:lineRule="auto"/>
        <w:tabs>
          <w:tab w:leader="none" w:pos="11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pledges of cash and cash equivalents to secure the obligations of any one or more Loan Parties or Restricted Subsidiaries with respect to Swap Contracts permitted by this Agreement, provided that the aggregate amount of cash and cash equivalents encumbered by Liens permitted by this clause (e)(ii) shall not exceed at any time $25,000,000;</w:t>
      </w:r>
    </w:p>
    <w:p>
      <w:pPr>
        <w:spacing w:after="0" w:line="46" w:lineRule="exact"/>
        <w:rPr>
          <w:sz w:val="20"/>
          <w:szCs w:val="20"/>
          <w:color w:val="auto"/>
        </w:rPr>
      </w:pPr>
    </w:p>
    <w:p>
      <w:pPr>
        <w:ind w:right="40" w:firstLine="886"/>
        <w:spacing w:after="0" w:line="276" w:lineRule="auto"/>
        <w:tabs>
          <w:tab w:leader="none" w:pos="1103" w:val="left"/>
        </w:tabs>
        <w:numPr>
          <w:ilvl w:val="0"/>
          <w:numId w:val="48"/>
        </w:numPr>
        <w:rPr>
          <w:rFonts w:ascii="Arial" w:cs="Arial" w:eastAsia="Arial" w:hAnsi="Arial"/>
          <w:sz w:val="17"/>
          <w:szCs w:val="17"/>
          <w:color w:val="auto"/>
        </w:rPr>
      </w:pPr>
      <w:r>
        <w:rPr>
          <w:rFonts w:ascii="Arial" w:cs="Arial" w:eastAsia="Arial" w:hAnsi="Arial"/>
          <w:sz w:val="17"/>
          <w:szCs w:val="17"/>
          <w:color w:val="auto"/>
        </w:rPr>
        <w:t>encumbrances consisting of easements, restrictions, servitudes, permits, conditions, covenants, exceptions or reservations in any Real Property of a Loan Party or any Restricted Subsidiary for the purpose of roads, pipelines, transmission lines, transportation lines and distribution lines, or otherwise imposed by law or arising in the ordinary course of business that do not secure Indebtedness or other monetary obligations and, in the aggregate, are not substantial in amount and do not materially impair the use of such property by such Loan Party or Restricted Subsidiary in the operation of its business and which do not in any case materially detract from the value of the property subject thereto;</w:t>
      </w:r>
    </w:p>
    <w:p>
      <w:pPr>
        <w:spacing w:after="0" w:line="37" w:lineRule="exact"/>
        <w:rPr>
          <w:rFonts w:ascii="Arial" w:cs="Arial" w:eastAsia="Arial" w:hAnsi="Arial"/>
          <w:sz w:val="17"/>
          <w:szCs w:val="17"/>
          <w:color w:val="auto"/>
        </w:rPr>
      </w:pPr>
    </w:p>
    <w:p>
      <w:pPr>
        <w:ind w:right="120" w:firstLine="886"/>
        <w:spacing w:after="0" w:line="277" w:lineRule="auto"/>
        <w:tabs>
          <w:tab w:leader="none" w:pos="11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the performance of bids, trade contracts (other than for debt for borrowed money), leases (other than Indebtedness) and surety bonds;</w:t>
      </w:r>
    </w:p>
    <w:p>
      <w:pPr>
        <w:spacing w:after="0" w:line="35" w:lineRule="exact"/>
        <w:rPr>
          <w:rFonts w:ascii="Arial" w:cs="Arial" w:eastAsia="Arial" w:hAnsi="Arial"/>
          <w:sz w:val="18"/>
          <w:szCs w:val="18"/>
          <w:color w:val="auto"/>
        </w:rPr>
      </w:pPr>
    </w:p>
    <w:p>
      <w:pPr>
        <w:ind w:right="160" w:firstLine="886"/>
        <w:spacing w:after="0" w:line="273" w:lineRule="auto"/>
        <w:tabs>
          <w:tab w:leader="none" w:pos="1133"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Liens securing Indebtedness of one or more Loan Parties or Restricted Subsidiaries permitted by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to finance the acquisition, construction or improvement of fixed or capital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and the Indebtedness secured thereby are incurred prior to or within 180 days after such acquisition or the completion of construction or improvement of such fixed or capital assets, (ii) such Liens do not at any time encumber any property other than the property financed by such Indebtedness, (iii) the amount of Indebtedness initially secured thereby is not more than 100% of the purchase price or cost of construction or improvement of such fixed or capital asset and (iv) such Liens may not cover any Pipeline Real Property other than Pipeline Real Property acquired after the Closing Date pursuant to an Acquisition;</w:t>
      </w:r>
    </w:p>
    <w:p>
      <w:pPr>
        <w:spacing w:after="0" w:line="43" w:lineRule="exact"/>
        <w:rPr>
          <w:rFonts w:ascii="Arial" w:cs="Arial" w:eastAsia="Arial" w:hAnsi="Arial"/>
          <w:sz w:val="17"/>
          <w:szCs w:val="17"/>
          <w:color w:val="auto"/>
        </w:rPr>
      </w:pPr>
    </w:p>
    <w:p>
      <w:pPr>
        <w:ind w:right="200" w:firstLine="886"/>
        <w:spacing w:after="0" w:line="277" w:lineRule="auto"/>
        <w:tabs>
          <w:tab w:leader="none" w:pos="10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interest or title of a lessor under any lease entered into by a Loan Party or any Restricted Subsidiary in the ordinary course of its business and covering only the assets so leased;</w:t>
      </w:r>
    </w:p>
    <w:p>
      <w:pPr>
        <w:spacing w:after="0" w:line="35" w:lineRule="exact"/>
        <w:rPr>
          <w:rFonts w:ascii="Arial" w:cs="Arial" w:eastAsia="Arial" w:hAnsi="Arial"/>
          <w:sz w:val="18"/>
          <w:szCs w:val="18"/>
          <w:color w:val="auto"/>
        </w:rPr>
      </w:pPr>
    </w:p>
    <w:p>
      <w:pPr>
        <w:ind w:left="1100" w:hanging="214"/>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Liens with respect to judgments which do not result in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886"/>
        <w:spacing w:after="0" w:line="257" w:lineRule="auto"/>
        <w:tabs>
          <w:tab w:leader="none" w:pos="11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Liens not securing Indebtedness arising solely by virtue of any statutory or common law provision relating to banker’s liens, rights of set-off or similar rights and remedies and burdening only deposit accounts or other funds maintained with a creditor depository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deposit account is a dedicated cash collateral account or is subject to restrictions against access by the depositor in excess of those set forth by regulations promulgated by the FRB and no such deposit account is intended by a Loan Party or any Restricted Subsidiary to provide collateral to the depository institution;</w:t>
      </w:r>
    </w:p>
    <w:p>
      <w:pPr>
        <w:spacing w:after="0" w:line="53" w:lineRule="exact"/>
        <w:rPr>
          <w:rFonts w:ascii="Arial" w:cs="Arial" w:eastAsia="Arial" w:hAnsi="Arial"/>
          <w:sz w:val="18"/>
          <w:szCs w:val="18"/>
          <w:color w:val="auto"/>
        </w:rPr>
      </w:pPr>
    </w:p>
    <w:p>
      <w:pPr>
        <w:jc w:val="both"/>
        <w:ind w:firstLine="886"/>
        <w:spacing w:after="0" w:line="279" w:lineRule="auto"/>
        <w:tabs>
          <w:tab w:leader="none" w:pos="1093"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Liens on Equity Interests in an Unrestricted Subsidiary securing Indebtedness of such Unrestricted Subsidiary (or its parent company that is an Unrestricted Subsidiary) that is non-recourse to the Loan Parties and the Restricted Subsidiaries and (ii) Liens on Equity Interests in a Joint Venture, owned by a Loan Party or Restricted Subsidiary, that are in favor of the other holders of Equity Interests in such Joint Venture to secure the performance of such Loan Party’s or Restricted Subsidiary’s obligations under the joint venture agreement governing such joint venture;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81" w:right="239" w:bottom="1440" w:gutter="0" w:footer="0" w:header="0"/>
        </w:sectPr>
      </w:pPr>
    </w:p>
    <w:bookmarkStart w:id="92" w:name="page93"/>
    <w:bookmarkEnd w:id="92"/>
    <w:p>
      <w:pPr>
        <w:ind w:right="500" w:firstLine="886"/>
        <w:spacing w:after="0" w:line="277" w:lineRule="auto"/>
        <w:tabs>
          <w:tab w:leader="none" w:pos="11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Liens constituting earnest money deposits made by a Loan Party or any Restricted Subsidiary in connection with any letter of intent or purchase agreement;</w:t>
      </w:r>
    </w:p>
    <w:p>
      <w:pPr>
        <w:spacing w:after="0" w:line="35" w:lineRule="exact"/>
        <w:rPr>
          <w:rFonts w:ascii="Arial" w:cs="Arial" w:eastAsia="Arial" w:hAnsi="Arial"/>
          <w:sz w:val="18"/>
          <w:szCs w:val="18"/>
          <w:color w:val="auto"/>
        </w:rPr>
      </w:pPr>
    </w:p>
    <w:p>
      <w:pPr>
        <w:ind w:right="80" w:firstLine="886"/>
        <w:spacing w:after="0" w:line="277" w:lineRule="auto"/>
        <w:tabs>
          <w:tab w:leader="none" w:pos="1133"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Liens created or evidenced by or resulting from precautionary financing statements filed by lessors of property (but only related to the leased property), other than in connection with capital leases and sale and leaseback transactions; and</w:t>
      </w:r>
    </w:p>
    <w:p>
      <w:pPr>
        <w:spacing w:after="0" w:line="35" w:lineRule="exact"/>
        <w:rPr>
          <w:rFonts w:ascii="Arial" w:cs="Arial" w:eastAsia="Arial" w:hAnsi="Arial"/>
          <w:sz w:val="18"/>
          <w:szCs w:val="18"/>
          <w:color w:val="auto"/>
        </w:rPr>
      </w:pPr>
    </w:p>
    <w:p>
      <w:pPr>
        <w:ind w:left="1140" w:hanging="254"/>
        <w:spacing w:after="0"/>
        <w:tabs>
          <w:tab w:leader="none" w:pos="11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Liens securing Indebtedness of one or more Loan Parties or Restricted Subsidiaries, which Liens are not otherwise permitted by </w:t>
      </w:r>
      <w:r>
        <w:rPr>
          <w:rFonts w:ascii="Arial" w:cs="Arial" w:eastAsia="Arial" w:hAnsi="Arial"/>
          <w:sz w:val="16"/>
          <w:szCs w:val="16"/>
          <w:u w:val="single" w:color="auto"/>
          <w:color w:val="auto"/>
        </w:rPr>
        <w:t>clauses</w:t>
      </w:r>
    </w:p>
    <w:p>
      <w:pPr>
        <w:spacing w:after="0" w:line="46" w:lineRule="exact"/>
        <w:rPr>
          <w:rFonts w:ascii="Arial" w:cs="Arial" w:eastAsia="Arial" w:hAnsi="Arial"/>
          <w:sz w:val="16"/>
          <w:szCs w:val="16"/>
          <w:color w:val="auto"/>
        </w:rPr>
      </w:pPr>
    </w:p>
    <w:p>
      <w:pPr>
        <w:ind w:right="280" w:firstLine="8"/>
        <w:spacing w:after="0" w:line="254" w:lineRule="auto"/>
        <w:tabs>
          <w:tab w:leader="none" w:pos="245"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aggregate outstanding principal amount of the Indebtedness of all Loan Parties and Restricted Subsidiaries secured thereby, when added to the aggregate principal amount of Indebtedness permitted by </w:t>
      </w:r>
      <w:r>
        <w:rPr>
          <w:rFonts w:ascii="Arial" w:cs="Arial" w:eastAsia="Arial" w:hAnsi="Arial"/>
          <w:sz w:val="18"/>
          <w:szCs w:val="18"/>
          <w:u w:val="single" w:color="auto"/>
          <w:color w:val="auto"/>
        </w:rPr>
        <w:t>Section 7.01(j)</w:t>
      </w:r>
      <w:r>
        <w:rPr>
          <w:rFonts w:ascii="Arial" w:cs="Arial" w:eastAsia="Arial" w:hAnsi="Arial"/>
          <w:sz w:val="18"/>
          <w:szCs w:val="18"/>
          <w:color w:val="auto"/>
        </w:rPr>
        <w:t xml:space="preserve"> (without duplication), does not exceed at any time an amount equal to the greater of $20,000,000 and 3% of Consolidated Net Tangible Assets of the Parent Guarantor, and (y) no such Liens shall encumber Pipeline Real Property;</w:t>
      </w:r>
    </w:p>
    <w:p>
      <w:pPr>
        <w:spacing w:after="0" w:line="136"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definition shall in and of itself constitute or be deemed to constitute an agreement or acknowledgment by the Administrative Agent or any Lender that the Indebtedness subject to or secured by any such Permitted Lien ranks (apart from the effect of any Lien included in or inherent in any such Permitted Liens) in priority to the Obligations.</w:t>
      </w:r>
    </w:p>
    <w:p>
      <w:pPr>
        <w:spacing w:after="0" w:line="12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Refinancing Indebtedness</w:t>
      </w:r>
      <w:r>
        <w:rPr>
          <w:rFonts w:ascii="Arial" w:cs="Arial" w:eastAsia="Arial" w:hAnsi="Arial"/>
          <w:sz w:val="17"/>
          <w:szCs w:val="17"/>
          <w:color w:val="auto"/>
        </w:rPr>
        <w:t>” means Indebtedness issued in exchange for, or proceeds of which are used to extend, refinance, renew, replace, defease or refund (collectively, to “</w:t>
      </w:r>
      <w:r>
        <w:rPr>
          <w:rFonts w:ascii="Arial" w:cs="Arial" w:eastAsia="Arial" w:hAnsi="Arial"/>
          <w:sz w:val="17"/>
          <w:szCs w:val="17"/>
          <w:u w:val="single" w:color="auto"/>
          <w:color w:val="auto"/>
        </w:rPr>
        <w:t>Refinance</w:t>
      </w:r>
      <w:r>
        <w:rPr>
          <w:rFonts w:ascii="Arial" w:cs="Arial" w:eastAsia="Arial" w:hAnsi="Arial"/>
          <w:sz w:val="17"/>
          <w:szCs w:val="17"/>
          <w:color w:val="auto"/>
        </w:rPr>
        <w:t xml:space="preserve">”), the Indebtedness being Refinanced (or previous refinancings thereof constituting Permitted Refinancing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principal amount of the Permitted Refinancing Indebtedness does not exceed the principal amount of the Indebtedness being Refinanced except by an amount equal to unpaid accrued interest and premium thereon plus other reasonable amounts paid, and fees and expenses reasonably incurred, in connection with such modification, refinancing, refunding, renewal or extension and by an amount equal to any existing commitments unutilized thereunder; (ii) the average life to maturity of such Permitted Refinancing Indebtedness is greater than or equal to that of the Indebtedness being Refinanced; (iii) if the Indebtedness being Refinanced is subordinated in right of payment to the Obligations, such Permitted Refinancing Indebtedness is subordinated in right of payment to the Obligations on terms at least as favorable to the Lenders as those contained in the documentation governing the Indebtedness being Refinanced; (iv) no Permitted Refinancing Indebtedness shall have different obligors, or greater guarantees or security, than the Indebtedness being Refinanced; and (v) at the time of incurrence of such Permitted Refinancing Indebtedness, no Event of Default shall have occurred and be continuing.</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Unsecured Indebtedness</w:t>
      </w:r>
      <w:r>
        <w:rPr>
          <w:rFonts w:ascii="Arial" w:cs="Arial" w:eastAsia="Arial" w:hAnsi="Arial"/>
          <w:sz w:val="18"/>
          <w:szCs w:val="18"/>
          <w:color w:val="auto"/>
        </w:rPr>
        <w:t xml:space="preserve">” means Indebtedness permitted by </w:t>
      </w:r>
      <w:r>
        <w:rPr>
          <w:rFonts w:ascii="Arial" w:cs="Arial" w:eastAsia="Arial" w:hAnsi="Arial"/>
          <w:sz w:val="18"/>
          <w:szCs w:val="18"/>
          <w:u w:val="single" w:color="auto"/>
          <w:color w:val="auto"/>
        </w:rPr>
        <w:t>Section 7.01(e)</w:t>
      </w:r>
      <w:r>
        <w:rPr>
          <w:rFonts w:ascii="Arial" w:cs="Arial" w:eastAsia="Arial" w:hAnsi="Arial"/>
          <w:sz w:val="18"/>
          <w:szCs w:val="18"/>
          <w:color w:val="auto"/>
        </w:rPr>
        <w:t>.</w:t>
      </w:r>
    </w:p>
    <w:p>
      <w:pPr>
        <w:spacing w:after="0" w:line="17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1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Pipeline Real Property</w:t>
      </w:r>
      <w:r>
        <w:rPr>
          <w:rFonts w:ascii="Arial" w:cs="Arial" w:eastAsia="Arial" w:hAnsi="Arial"/>
          <w:sz w:val="17"/>
          <w:szCs w:val="17"/>
          <w:color w:val="auto"/>
        </w:rPr>
        <w:t>” shall mean all easements, rights of way, and other Real Property or other interests therein comprising any part of the pipelines, including transmission pipelines and gathering pipelines, of any Loan Party or any Subsidiary, or upon which any part of such transmission and/or gathering pipelines has been built, passes over or through or which is used in or reasonably necessary for the operation thereof.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881" w:right="279" w:bottom="1440" w:gutter="0" w:footer="0" w:header="0"/>
        </w:sectPr>
      </w:pPr>
    </w:p>
    <w:bookmarkStart w:id="93" w:name="page94"/>
    <w:bookmarkEnd w:id="93"/>
    <w:p>
      <w:pPr>
        <w:ind w:right="10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established by the Borrower or, with respect to any such plan that is subject to Section 412 of the Code or Title IV of ERISA, any ERISA Affiliate.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Compliance</w:t>
      </w:r>
      <w:r>
        <w:rPr>
          <w:rFonts w:ascii="Arial" w:cs="Arial" w:eastAsia="Arial" w:hAnsi="Arial"/>
          <w:sz w:val="18"/>
          <w:szCs w:val="18"/>
          <w:color w:val="auto"/>
        </w:rPr>
        <w:t>” means, on any date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xml:space="preserve">”) when used in connection with the Financial Covenants, that the Parent Guarantor is in compliance with the covenant levels set forth in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as of the most recent Quarter-End Date, in each case calculated on a pro forma basis to give effect to (i) Indebtedness as of such date of determination and any incurrence of Indebtedness on the Determination Date and (ii) any Acquisition occurring after such Quarter-End Date, in each case, as if such events had occurred on the first day of the four fiscal quarter period ended on such Quarter-End Date.</w:t>
      </w:r>
    </w:p>
    <w:p>
      <w:pPr>
        <w:spacing w:after="0" w:line="13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each Lender at any time, a fraction (expressed as a percentage, carried out to the ninth decimal place), the numerator of which is the amount of the Commitment of such Lender at such time and the denominator of which is the amount of the Aggregate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commitment of each Lender to make Credit Extensions and the obligation of the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QEPM Gathering</w:t>
      </w:r>
      <w:r>
        <w:rPr>
          <w:rFonts w:ascii="Arial" w:cs="Arial" w:eastAsia="Arial" w:hAnsi="Arial"/>
          <w:sz w:val="18"/>
          <w:szCs w:val="18"/>
          <w:color w:val="auto"/>
        </w:rPr>
        <w:t>” means QEPM Gathering I, LLC, a Delaware limited liability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QRI</w:t>
      </w:r>
      <w:r>
        <w:rPr>
          <w:rFonts w:ascii="Arial" w:cs="Arial" w:eastAsia="Arial" w:hAnsi="Arial"/>
          <w:sz w:val="18"/>
          <w:szCs w:val="18"/>
          <w:color w:val="auto"/>
        </w:rPr>
        <w:t>” means QEP Resources, Inc., a Delaware corporation.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QRI Credit Agreement</w:t>
      </w:r>
      <w:r>
        <w:rPr>
          <w:rFonts w:ascii="Arial" w:cs="Arial" w:eastAsia="Arial" w:hAnsi="Arial"/>
          <w:sz w:val="18"/>
          <w:szCs w:val="18"/>
          <w:color w:val="auto"/>
        </w:rPr>
        <w:t xml:space="preserve">” means the Credit Agreement referenced in </w:t>
      </w:r>
      <w:r>
        <w:rPr>
          <w:rFonts w:ascii="Arial" w:cs="Arial" w:eastAsia="Arial" w:hAnsi="Arial"/>
          <w:sz w:val="18"/>
          <w:szCs w:val="18"/>
          <w:u w:val="single" w:color="auto"/>
          <w:color w:val="auto"/>
        </w:rPr>
        <w:t>Section 4.02(i)</w:t>
      </w:r>
      <w:r>
        <w:rPr>
          <w:rFonts w:ascii="Arial" w:cs="Arial" w:eastAsia="Arial" w:hAnsi="Arial"/>
          <w:sz w:val="18"/>
          <w:szCs w:val="18"/>
          <w:color w:val="auto"/>
        </w:rPr>
        <w:t>.</w:t>
      </w:r>
    </w:p>
    <w:p>
      <w:pPr>
        <w:spacing w:after="0" w:line="171"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Guarantee or grant of the relevant Lien becomes effective with respect to such Swap Obligation or such other Person as constitutes an “eligible contract participant” under the Commodity Exchange Act and can cause another person to qualify as an “eligible contract participant” at such time by entering into a keepwell under Section 1a(18)(A)(v)(II) of the Commodity Exchange Act.</w:t>
      </w:r>
    </w:p>
    <w:p>
      <w:pPr>
        <w:spacing w:after="0" w:line="13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Notes Offering</w:t>
      </w:r>
      <w:r>
        <w:rPr>
          <w:rFonts w:ascii="Arial" w:cs="Arial" w:eastAsia="Arial" w:hAnsi="Arial"/>
          <w:sz w:val="18"/>
          <w:szCs w:val="18"/>
          <w:color w:val="auto"/>
        </w:rPr>
        <w:t xml:space="preserve">” means issuance by the Parent Guarantor or the Borrower of unsecured Indebtedness that satisfies the requirements of </w:t>
      </w:r>
      <w:r>
        <w:rPr>
          <w:rFonts w:ascii="Arial" w:cs="Arial" w:eastAsia="Arial" w:hAnsi="Arial"/>
          <w:sz w:val="18"/>
          <w:szCs w:val="18"/>
          <w:u w:val="single" w:color="auto"/>
          <w:color w:val="auto"/>
        </w:rPr>
        <w:t>Section 7.01(e)</w:t>
      </w:r>
      <w:r>
        <w:rPr>
          <w:rFonts w:ascii="Arial" w:cs="Arial" w:eastAsia="Arial" w:hAnsi="Arial"/>
          <w:sz w:val="18"/>
          <w:szCs w:val="18"/>
          <w:color w:val="auto"/>
        </w:rPr>
        <w:t xml:space="preserve"> and the gross proceeds of which equal $200,000,000 or more.</w:t>
      </w:r>
    </w:p>
    <w:p>
      <w:pPr>
        <w:spacing w:after="0" w:line="116"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Acquisition</w:t>
      </w:r>
      <w:r>
        <w:rPr>
          <w:rFonts w:ascii="Arial" w:cs="Arial" w:eastAsia="Arial" w:hAnsi="Arial"/>
          <w:sz w:val="18"/>
          <w:szCs w:val="18"/>
          <w:color w:val="auto"/>
        </w:rPr>
        <w:t>” shall mean any Acquisition by the Parent, the Borrower or a Restricted Subsidiary for a purchase price in excess of $50,000,000.</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Quarter-End Date</w:t>
      </w:r>
      <w:r>
        <w:rPr>
          <w:rFonts w:ascii="Arial" w:cs="Arial" w:eastAsia="Arial" w:hAnsi="Arial"/>
          <w:sz w:val="18"/>
          <w:szCs w:val="18"/>
          <w:color w:val="auto"/>
        </w:rPr>
        <w:t xml:space="preserve">” means the last day of the fiscal quarter of the Parent Guarantor most recently ended for which financial statements are available to the Parent Guarantor or for which financial statements are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6.01(b)</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962" w:right="259" w:bottom="1440" w:gutter="0" w:footer="0" w:header="0"/>
        </w:sectPr>
      </w:pPr>
    </w:p>
    <w:bookmarkStart w:id="94" w:name="page95"/>
    <w:bookmarkEnd w:id="94"/>
    <w:p>
      <w:pPr>
        <w:ind w:right="480" w:firstLine="43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Property</w:t>
      </w:r>
      <w:r>
        <w:rPr>
          <w:rFonts w:ascii="Arial" w:cs="Arial" w:eastAsia="Arial" w:hAnsi="Arial"/>
          <w:sz w:val="16"/>
          <w:szCs w:val="16"/>
          <w:color w:val="auto"/>
        </w:rPr>
        <w:t>” means, collectively, all right, title and interest in and to any and all parcels of or interests in real property owned or leased by any Person,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L/C Issuer, as applicable.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17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on Form S-1, under the Exchange Act, of the Parent Guarantor filed with the SEC on May 9, 2013 as amended by all changes thereto filed prior to the Execution Date, including the exhibits filed therewith, as amended and supplemented by Acceptable Changes.</w:t>
      </w:r>
    </w:p>
    <w:p>
      <w:pPr>
        <w:spacing w:after="0" w:line="127"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Remaining Present Value</w:t>
      </w:r>
      <w:r>
        <w:rPr>
          <w:rFonts w:ascii="Arial" w:cs="Arial" w:eastAsia="Arial" w:hAnsi="Arial"/>
          <w:sz w:val="18"/>
          <w:szCs w:val="18"/>
          <w:color w:val="auto"/>
        </w:rPr>
        <w:t>” shall mean, as of any date with respect to any lease, the present value as of such date of the scheduled future lease payments with respect to such lease, determined with a discount rate equal to a market rate of interest for such lease reasonably determined at the time such lease was entered into.</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Rendezvous Gas</w:t>
      </w:r>
      <w:r>
        <w:rPr>
          <w:rFonts w:ascii="Arial" w:cs="Arial" w:eastAsia="Arial" w:hAnsi="Arial"/>
          <w:sz w:val="18"/>
          <w:szCs w:val="18"/>
          <w:color w:val="auto"/>
        </w:rPr>
        <w:t>” means Rendezvous Gas Services, L.L.C., a Delaware limited liability company.</w:t>
      </w:r>
    </w:p>
    <w:p>
      <w:pPr>
        <w:spacing w:after="0" w:line="17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and (b) with respect to an L/C Credit Extension, a Letter of Credit Application, and (c) with respect to a Swing Line Borrowing, a Swing Line Loan Notice.</w:t>
      </w:r>
    </w:p>
    <w:p>
      <w:pPr>
        <w:spacing w:after="0" w:line="116"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Aggregate Commitments or, if the commitment of each Lender to make Credit Extensions and the obligation of each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Outstandings held or deemed held by, any Defaulting Lender shall be excluded for purposes of making a determination of Required Lenders.</w:t>
      </w:r>
    </w:p>
    <w:p>
      <w:pPr>
        <w:spacing w:after="0" w:line="13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of a Person means the chairman of the board, chief executive officer, president or chief financial officer of such Person (or, in the case of a Partnership, of its general partner or in the case of the Borrower, to the extent the Borrower is managed by the Parent Guarantor, of the Parent Guarantor).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specifically stated herein, references to “</w:t>
      </w:r>
      <w:r>
        <w:rPr>
          <w:rFonts w:ascii="Arial" w:cs="Arial" w:eastAsia="Arial" w:hAnsi="Arial"/>
          <w:sz w:val="18"/>
          <w:szCs w:val="18"/>
          <w:u w:val="single" w:color="auto"/>
          <w:color w:val="auto"/>
        </w:rPr>
        <w:t>Responsible Officer</w:t>
      </w:r>
      <w:r>
        <w:rPr>
          <w:rFonts w:ascii="Arial" w:cs="Arial" w:eastAsia="Arial" w:hAnsi="Arial"/>
          <w:sz w:val="18"/>
          <w:szCs w:val="18"/>
          <w:color w:val="auto"/>
        </w:rPr>
        <w:t>” shall mean “Responsible Officer of the Borrower”.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963" w:right="259" w:bottom="1440" w:gutter="0" w:footer="0" w:header="0"/>
        </w:sectPr>
      </w:pPr>
    </w:p>
    <w:bookmarkStart w:id="95" w:name="page96"/>
    <w:bookmarkEnd w:id="95"/>
    <w:p>
      <w:pPr>
        <w:ind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of any option, warrant or other right to acquire any such capital stock or other equity interest.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Parent Guarantor that is not an Unrestricted Subsidiary.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171" w:lineRule="exact"/>
        <w:rPr>
          <w:sz w:val="20"/>
          <w:szCs w:val="20"/>
          <w:color w:val="auto"/>
        </w:rPr>
      </w:pPr>
    </w:p>
    <w:p>
      <w:pPr>
        <w:ind w:right="1660"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Country</w:t>
      </w:r>
      <w:r>
        <w:rPr>
          <w:rFonts w:ascii="Arial" w:cs="Arial" w:eastAsia="Arial" w:hAnsi="Arial"/>
          <w:sz w:val="16"/>
          <w:szCs w:val="16"/>
          <w:color w:val="auto"/>
        </w:rPr>
        <w:t>” means a country subject to a sanctions program identified on the list maintained by OFAC and available at http://www.treasury.gov/resource-center/sanctions/Programs/ Pages/Programs.aspx, or as otherwise published from time to time.</w:t>
      </w:r>
    </w:p>
    <w:p>
      <w:pPr>
        <w:spacing w:after="0" w:line="7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 a Person named on the list of “Specially Designated Nationals and Blocked Persons” maintained by OFAC available at http://www.treasury.gov/resource-center/sanctions /SDN-List/Pages/default.aspx, or as otherwise published from time to time, or (b) (i) an agency of the government of a Sanctioned Country, (ii) an organization controlled by a Sanctioned Country, or (iii) a person resident in a Sanctioned Country, to the extent subject to a sanctions program administered by the U.S. Department of the Treasury’s Office of Foreign Assets Control.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means each Swap Contract entered into by and between any Loan Party or any Restricted Subsidiary and any Person (a “</w:t>
      </w:r>
      <w:r>
        <w:rPr>
          <w:rFonts w:ascii="Arial" w:cs="Arial" w:eastAsia="Arial" w:hAnsi="Arial"/>
          <w:sz w:val="18"/>
          <w:szCs w:val="18"/>
          <w:u w:val="single" w:color="auto"/>
          <w:color w:val="auto"/>
        </w:rPr>
        <w:t>Hedge Bank</w:t>
      </w:r>
      <w:r>
        <w:rPr>
          <w:rFonts w:ascii="Arial" w:cs="Arial" w:eastAsia="Arial" w:hAnsi="Arial"/>
          <w:sz w:val="18"/>
          <w:szCs w:val="18"/>
          <w:color w:val="auto"/>
        </w:rPr>
        <w:t>”) that is, at the time such Swap Contract is entered into, a Lender or an Affiliate of a Lender.</w:t>
      </w:r>
    </w:p>
    <w:p>
      <w:pPr>
        <w:spacing w:after="0" w:line="116"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xml:space="preserve">” means, collectively, (a) the Obligations and (b) all other advances to, and debts, liabilities, obligations, covenants and duties of the Borrower or any other Loan Party arising under any Secured Hedge Agreement or under any Secured Cash Management Agreement, in each case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with respect to any Loan Party that is not an “eligible contract participant” under the Commodity Exchange Act, Excluded Swap Obligations of such Loan Party shall in any event be excluded from “Secured Obligations” owing by such Loan Party.</w:t>
      </w:r>
    </w:p>
    <w:p>
      <w:pPr>
        <w:spacing w:after="0" w:line="124" w:lineRule="exact"/>
        <w:rPr>
          <w:sz w:val="20"/>
          <w:szCs w:val="20"/>
          <w:color w:val="auto"/>
        </w:rPr>
      </w:pPr>
    </w:p>
    <w:p>
      <w:pPr>
        <w:jc w:val="center"/>
        <w:ind w:left="280" w:right="400"/>
        <w:spacing w:after="0" w:line="4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Administrative Agent, the L/C Issuers, the Lenders, the Hedge Banks and the Cash Management Banks. 28</w:t>
      </w:r>
    </w:p>
    <w:p>
      <w:pPr>
        <w:sectPr>
          <w:pgSz w:w="11900" w:h="16838" w:orient="portrait"/>
          <w:cols w:equalWidth="0" w:num="1">
            <w:col w:w="11400"/>
          </w:cols>
          <w:pgMar w:left="240" w:top="962" w:right="259" w:bottom="1440" w:gutter="0" w:footer="0" w:header="0"/>
        </w:sectPr>
      </w:pPr>
    </w:p>
    <w:bookmarkStart w:id="96" w:name="page97"/>
    <w:bookmarkEnd w:id="96"/>
    <w:p>
      <w:pPr>
        <w:ind w:right="12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Agreements</w:t>
      </w:r>
      <w:r>
        <w:rPr>
          <w:rFonts w:ascii="Arial" w:cs="Arial" w:eastAsia="Arial" w:hAnsi="Arial"/>
          <w:sz w:val="18"/>
          <w:szCs w:val="18"/>
          <w:color w:val="auto"/>
        </w:rPr>
        <w:t>” means the Security Agreement dated as of even date with this Agreement, executed by the Loan Parties in favor of the Administrative Agent for the ratable benefit of the Secured Parties, together with any other security agreements that may from time to time be executed in favor of the Administrative Agent for the ratable benefit of the Secured Parties, by any Person to secure the Secured Obligations, in each case which shall be in form and substance acceptable to the Administrative Agent.</w:t>
      </w:r>
    </w:p>
    <w:p>
      <w:pPr>
        <w:spacing w:after="0" w:line="13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1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Non-Wholly Owned Subsidiary</w:t>
      </w:r>
      <w:r>
        <w:rPr>
          <w:rFonts w:ascii="Arial" w:cs="Arial" w:eastAsia="Arial" w:hAnsi="Arial"/>
          <w:sz w:val="18"/>
          <w:szCs w:val="18"/>
          <w:color w:val="auto"/>
        </w:rPr>
        <w:t>” means each of (i) Rendezvous Gas, for so long as Rendezvous Gas is a Non-Wholly Owned Subsidiary of the Parent Guarantor and (ii) each Affiliate Non-Wholly Owned Subsidiary, so long as such Subsidiary is a Non-Wholly Owned Subsidiary of the Parent Guarantor.</w:t>
      </w:r>
    </w:p>
    <w:p>
      <w:pPr>
        <w:spacing w:after="0" w:line="12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direct or indirect Subsidiary or Subsidiaries of the Parent Guarantor.</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at any time, each Subsidiary that is party to a Subsidiary Guaranty Agreement as a Guarantor.</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 Agreement</w:t>
      </w:r>
      <w:r>
        <w:rPr>
          <w:rFonts w:ascii="Arial" w:cs="Arial" w:eastAsia="Arial" w:hAnsi="Arial"/>
          <w:sz w:val="18"/>
          <w:szCs w:val="18"/>
          <w:color w:val="auto"/>
        </w:rPr>
        <w:t>” means the guaranty agreement dated as of even date with this Agreement executed by the Subsidiary Guarantors for the benefit of the Administrative Agent and the Secured Parties, and any other guaranty agreements that may from time to time be executed by any Subsidiary.</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62" w:right="239" w:bottom="1440" w:gutter="0" w:footer="0" w:header="0"/>
        </w:sectPr>
      </w:pPr>
    </w:p>
    <w:bookmarkStart w:id="97" w:name="page98"/>
    <w:bookmarkEnd w:id="97"/>
    <w:p>
      <w:pPr>
        <w:ind w:right="520"/>
        <w:spacing w:after="0" w:line="264" w:lineRule="auto"/>
        <w:rPr>
          <w:sz w:val="20"/>
          <w:szCs w:val="20"/>
          <w:color w:val="auto"/>
        </w:rPr>
      </w:pPr>
      <w:r>
        <w:rPr>
          <w:rFonts w:ascii="Arial" w:cs="Arial" w:eastAsia="Arial" w:hAnsi="Arial"/>
          <w:sz w:val="18"/>
          <w:szCs w:val="18"/>
          <w:color w:val="auto"/>
        </w:rPr>
        <w:t>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16"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the amount(s) determined as the mark-to-market value(s) for such Swap Contracts, as determined by the counterparties to such Swap Contracts.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Wells Fargo Bank in its capacity as provider of Swing Line Loans, or any successor swing line lender hereunder.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w:t>
      </w:r>
    </w:p>
    <w:p>
      <w:pPr>
        <w:spacing w:after="0" w:line="116"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Rate</w:t>
      </w:r>
      <w:r>
        <w:rPr>
          <w:rFonts w:ascii="Arial" w:cs="Arial" w:eastAsia="Arial" w:hAnsi="Arial"/>
          <w:sz w:val="18"/>
          <w:szCs w:val="18"/>
          <w:color w:val="auto"/>
        </w:rPr>
        <w:t xml:space="preserve">” means either (a) the Base Rate plus the Applicable Rate for Base Rate Loans or (b) a rate to be established as provided on </w:t>
      </w:r>
      <w:r>
        <w:rPr>
          <w:rFonts w:ascii="Arial" w:cs="Arial" w:eastAsia="Arial" w:hAnsi="Arial"/>
          <w:sz w:val="18"/>
          <w:szCs w:val="18"/>
          <w:u w:val="single" w:color="auto"/>
          <w:color w:val="auto"/>
        </w:rPr>
        <w:t>Schedule 2.04</w:t>
      </w:r>
      <w:r>
        <w:rPr>
          <w:rFonts w:ascii="Arial" w:cs="Arial" w:eastAsia="Arial" w:hAnsi="Arial"/>
          <w:sz w:val="18"/>
          <w:szCs w:val="18"/>
          <w:color w:val="auto"/>
        </w:rPr>
        <w:t>, as selected by the Borrower and specified in the Swing Line Loan Notice.</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$25,000,000 and (b) the Aggregate Commitments. The Swing Line Sublimit is part of, and not in addition to, the Aggregate Commitments.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580" w:firstLine="8"/>
        <w:spacing w:after="0" w:line="323"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8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$25,000,000.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all L/C Obligations, and all Swing Line Loans.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Contribution and the IPO.</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962" w:right="299" w:bottom="1440" w:gutter="0" w:footer="0" w:header="0"/>
        </w:sectPr>
      </w:pPr>
    </w:p>
    <w:bookmarkStart w:id="98" w:name="page99"/>
    <w:bookmarkEnd w:id="98"/>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7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any Immaterial Subsidiary of the Parent Guarantor that is designated as an Unrestricted Subsidiary by the Borrower pursuant to a notice given to the Administrative Agent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If at any time a Subsidiary that has been designated as an Unrestricted Subsidiary becomes a Material Subsidiary, from and after such time, such Subsidiary will cease to be an Unrestricted Subsidiary and shall be a Restricted Subsidiary as provided in </w:t>
      </w:r>
      <w:r>
        <w:rPr>
          <w:rFonts w:ascii="Arial" w:cs="Arial" w:eastAsia="Arial" w:hAnsi="Arial"/>
          <w:sz w:val="16"/>
          <w:szCs w:val="16"/>
          <w:u w:val="single" w:color="auto"/>
          <w:color w:val="auto"/>
        </w:rPr>
        <w:t>Section 7.06(c)(iv)</w:t>
      </w:r>
      <w:r>
        <w:rPr>
          <w:rFonts w:ascii="Arial" w:cs="Arial" w:eastAsia="Arial" w:hAnsi="Arial"/>
          <w:sz w:val="16"/>
          <w:szCs w:val="16"/>
          <w:color w:val="auto"/>
        </w:rPr>
        <w:t>. As of the Execution Date and as of the Closing Date, there are no Unrestricted Subsidiaries.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paragraph (ii)(B)(iii)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3.01(g)</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 Bank</w:t>
      </w:r>
      <w:r>
        <w:rPr>
          <w:rFonts w:ascii="Arial" w:cs="Arial" w:eastAsia="Arial" w:hAnsi="Arial"/>
          <w:sz w:val="18"/>
          <w:szCs w:val="18"/>
          <w:color w:val="auto"/>
        </w:rPr>
        <w:t>” means Wells Fargo Bank, National Association and its successors.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w:t>
      </w:r>
      <w:r>
        <w:rPr>
          <w:rFonts w:ascii="Arial" w:cs="Arial" w:eastAsia="Arial" w:hAnsi="Arial"/>
          <w:sz w:val="18"/>
          <w:szCs w:val="18"/>
          <w:color w:val="auto"/>
        </w:rPr>
        <w:t>”, when used with respect to a Subsidiary of a Person, means that all of the Equity Interests of such Subsidiary are directly or indirectly (through one or more Wholly Owned Subsidiaries) owned by such Person, excluding directors’ qualifying shares that are required to be held by directors under applicable law.</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and the Administrative Agent.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Other Interpretive Provisions.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90" w:lineRule="exact"/>
        <w:rPr>
          <w:sz w:val="20"/>
          <w:szCs w:val="20"/>
          <w:color w:val="auto"/>
        </w:rPr>
      </w:pPr>
    </w:p>
    <w:p>
      <w:pPr>
        <w:ind w:left="680" w:hanging="240"/>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90" w:lineRule="exact"/>
        <w:rPr>
          <w:rFonts w:ascii="Arial" w:cs="Arial" w:eastAsia="Arial" w:hAnsi="Arial"/>
          <w:sz w:val="18"/>
          <w:szCs w:val="18"/>
          <w:color w:val="auto"/>
        </w:rPr>
      </w:pPr>
    </w:p>
    <w:p>
      <w:pPr>
        <w:ind w:firstLine="440"/>
        <w:spacing w:after="0" w:line="277" w:lineRule="auto"/>
        <w:tabs>
          <w:tab w:leader="none" w:pos="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The words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refer to such Loan Document as a whole and not to any particular provision thereof.</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90" w:lineRule="exact"/>
        <w:rPr>
          <w:rFonts w:ascii="Arial" w:cs="Arial" w:eastAsia="Arial" w:hAnsi="Arial"/>
          <w:sz w:val="18"/>
          <w:szCs w:val="18"/>
          <w:color w:val="auto"/>
        </w:rPr>
      </w:pPr>
    </w:p>
    <w:p>
      <w:pPr>
        <w:ind w:left="1200" w:hanging="314"/>
        <w:spacing w:after="0"/>
        <w:tabs>
          <w:tab w:leader="none" w:pos="12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w:t>
      </w:r>
      <w:r>
        <w:rPr>
          <w:rFonts w:ascii="Arial" w:cs="Arial" w:eastAsia="Arial" w:hAnsi="Arial"/>
          <w:sz w:val="18"/>
          <w:szCs w:val="18"/>
          <w:u w:val="single" w:color="auto"/>
          <w:color w:val="auto"/>
        </w:rPr>
        <w:t>including</w:t>
      </w:r>
      <w:r>
        <w:rPr>
          <w:rFonts w:ascii="Arial" w:cs="Arial" w:eastAsia="Arial" w:hAnsi="Arial"/>
          <w:sz w:val="18"/>
          <w:szCs w:val="18"/>
          <w:color w:val="auto"/>
        </w:rPr>
        <w:t>” is by way of example and not limitation.</w:t>
      </w:r>
    </w:p>
    <w:p>
      <w:pPr>
        <w:spacing w:after="0" w:line="90" w:lineRule="exact"/>
        <w:rPr>
          <w:rFonts w:ascii="Arial" w:cs="Arial" w:eastAsia="Arial" w:hAnsi="Arial"/>
          <w:sz w:val="18"/>
          <w:szCs w:val="18"/>
          <w:color w:val="auto"/>
        </w:rPr>
      </w:pPr>
    </w:p>
    <w:p>
      <w:pPr>
        <w:ind w:right="100" w:firstLine="886"/>
        <w:spacing w:after="0" w:line="277" w:lineRule="auto"/>
        <w:tabs>
          <w:tab w:leader="none" w:pos="1183"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documents</w:t>
      </w:r>
      <w:r>
        <w:rPr>
          <w:rFonts w:ascii="Arial" w:cs="Arial" w:eastAsia="Arial" w:hAnsi="Arial"/>
          <w:sz w:val="18"/>
          <w:szCs w:val="18"/>
          <w:color w:val="auto"/>
        </w:rPr>
        <w:t>” includes any and all instruments, documents, agreements, certificates, notices, reports, financial statements and other writings, however evidenced, whether in physical or electronic form.</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962" w:right="279" w:bottom="1440" w:gutter="0" w:footer="0" w:header="0"/>
        </w:sectPr>
      </w:pPr>
    </w:p>
    <w:bookmarkStart w:id="99" w:name="page100"/>
    <w:bookmarkEnd w:id="99"/>
    <w:p>
      <w:pPr>
        <w:ind w:firstLine="886"/>
        <w:spacing w:after="0" w:line="277" w:lineRule="auto"/>
        <w:tabs>
          <w:tab w:leader="none" w:pos="113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(and plural forms thereof) shall be construed to have the same meaning and effect and to refer to any and all tangible and intangible assets and properties, including cash, securities, accounts, contract rights, and Equity Interests.</w:t>
      </w:r>
    </w:p>
    <w:p>
      <w:pPr>
        <w:spacing w:after="0" w:line="35" w:lineRule="exact"/>
        <w:rPr>
          <w:rFonts w:ascii="Arial" w:cs="Arial" w:eastAsia="Arial" w:hAnsi="Arial"/>
          <w:sz w:val="18"/>
          <w:szCs w:val="18"/>
          <w:color w:val="auto"/>
        </w:rPr>
      </w:pPr>
    </w:p>
    <w:p>
      <w:pPr>
        <w:ind w:right="240" w:firstLine="440"/>
        <w:spacing w:after="0" w:line="277" w:lineRule="auto"/>
        <w:tabs>
          <w:tab w:leader="none" w:pos="6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700" w:hanging="260"/>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reference herein to any Person shall be construed to include such Person’s successors and assigns.</w:t>
      </w:r>
    </w:p>
    <w:p>
      <w:pPr>
        <w:spacing w:after="0" w:line="90" w:lineRule="exact"/>
        <w:rPr>
          <w:rFonts w:ascii="Arial" w:cs="Arial" w:eastAsia="Arial" w:hAnsi="Arial"/>
          <w:sz w:val="18"/>
          <w:szCs w:val="18"/>
          <w:color w:val="auto"/>
        </w:rPr>
      </w:pPr>
    </w:p>
    <w:p>
      <w:pPr>
        <w:ind w:right="260" w:firstLine="440"/>
        <w:spacing w:after="0" w:line="277" w:lineRule="auto"/>
        <w:tabs>
          <w:tab w:leader="none" w:pos="6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Accounting Terms.</w:t>
      </w:r>
    </w:p>
    <w:p>
      <w:pPr>
        <w:spacing w:after="0" w:line="94" w:lineRule="exact"/>
        <w:rPr>
          <w:sz w:val="20"/>
          <w:szCs w:val="20"/>
          <w:color w:val="auto"/>
        </w:rPr>
      </w:pPr>
    </w:p>
    <w:p>
      <w:pPr>
        <w:ind w:right="40" w:firstLine="440"/>
        <w:spacing w:after="0" w:line="259" w:lineRule="auto"/>
        <w:tabs>
          <w:tab w:leader="none" w:pos="6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Initial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51" w:lineRule="exact"/>
        <w:rPr>
          <w:rFonts w:ascii="Arial" w:cs="Arial" w:eastAsia="Arial" w:hAnsi="Arial"/>
          <w:sz w:val="18"/>
          <w:szCs w:val="18"/>
          <w:color w:val="auto"/>
        </w:rPr>
      </w:pPr>
    </w:p>
    <w:p>
      <w:pPr>
        <w:ind w:right="20" w:firstLine="440"/>
        <w:spacing w:after="0" w:line="255"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at any time any change in GAAP would affect the computation of any financial ratio, covenant in respect of Indebtedness or other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Parent Guarantor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54" w:lineRule="exact"/>
        <w:rPr>
          <w:rFonts w:ascii="Arial" w:cs="Arial" w:eastAsia="Arial" w:hAnsi="Arial"/>
          <w:sz w:val="18"/>
          <w:szCs w:val="18"/>
          <w:color w:val="auto"/>
        </w:rPr>
      </w:pPr>
    </w:p>
    <w:p>
      <w:pPr>
        <w:ind w:right="60" w:firstLine="440"/>
        <w:spacing w:after="0" w:line="272" w:lineRule="auto"/>
        <w:tabs>
          <w:tab w:leader="none" w:pos="677"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Parent Guarantor,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Rounding.</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81" w:right="259" w:bottom="1440" w:gutter="0" w:footer="0" w:header="0"/>
        </w:sectPr>
      </w:pPr>
    </w:p>
    <w:bookmarkStart w:id="100" w:name="page101"/>
    <w:bookmarkEnd w:id="100"/>
    <w:p>
      <w:pPr>
        <w:ind w:left="44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References to Agreements and Laws.</w:t>
      </w:r>
    </w:p>
    <w:p>
      <w:pPr>
        <w:spacing w:after="0" w:line="175" w:lineRule="exact"/>
        <w:rPr>
          <w:sz w:val="20"/>
          <w:szCs w:val="20"/>
          <w:color w:val="auto"/>
        </w:rPr>
      </w:pPr>
    </w:p>
    <w:p>
      <w:pPr>
        <w:ind w:right="260" w:firstLine="432"/>
        <w:spacing w:after="0" w:line="288" w:lineRule="auto"/>
        <w:rPr>
          <w:sz w:val="20"/>
          <w:szCs w:val="20"/>
          <w:color w:val="auto"/>
        </w:rPr>
      </w:pPr>
      <w:r>
        <w:rPr>
          <w:rFonts w:ascii="Arial" w:cs="Arial" w:eastAsia="Arial" w:hAnsi="Arial"/>
          <w:sz w:val="16"/>
          <w:szCs w:val="16"/>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w:t>
      </w:r>
    </w:p>
    <w:p>
      <w:pPr>
        <w:ind w:left="440" w:right="220" w:hanging="432"/>
        <w:spacing w:after="0" w:line="430" w:lineRule="auto"/>
        <w:tabs>
          <w:tab w:leader="none" w:pos="2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references to any Law shall include all statutory and regulatory provisions consolidating, amending, replacing, supplementing or interpreting such Law. 1.06 </w:t>
      </w:r>
      <w:r>
        <w:rPr>
          <w:rFonts w:ascii="Arial" w:cs="Arial" w:eastAsia="Arial" w:hAnsi="Arial"/>
          <w:sz w:val="18"/>
          <w:szCs w:val="18"/>
          <w:b w:val="1"/>
          <w:bCs w:val="1"/>
          <w:color w:val="auto"/>
        </w:rPr>
        <w:t>Times of Day.</w:t>
      </w:r>
    </w:p>
    <w:p>
      <w:pPr>
        <w:ind w:left="440"/>
        <w:spacing w:after="0"/>
        <w:rPr>
          <w:sz w:val="20"/>
          <w:szCs w:val="20"/>
          <w:color w:val="auto"/>
        </w:rPr>
      </w:pPr>
      <w:r>
        <w:rPr>
          <w:rFonts w:ascii="Arial" w:cs="Arial" w:eastAsia="Arial" w:hAnsi="Arial"/>
          <w:sz w:val="18"/>
          <w:szCs w:val="18"/>
          <w:color w:val="auto"/>
        </w:rPr>
        <w:t>Unless otherwise specified, all references herein to times of day shall be references to Central time (daylight or standard, as applicable).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Letter of Credit Amounts.</w:t>
      </w:r>
    </w:p>
    <w:p>
      <w:pPr>
        <w:spacing w:after="0" w:line="17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Issuer Documents related thereto, whether or not such maximum face amount is in effect at such time.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Loans.</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Subject to the terms and conditions set forth herein, each Lender severally agrees to make loans (each such loan, a “</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in Dollars to the Borrower from time to time, on any Business Day during the Availability Period, in an aggregate amount not to exceed at any time outstanding the amount of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Borrowing, (i) the Total Outstandings shall not exceed the Aggregate Commitments, and (ii) the aggregate Outstanding Amount of the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Pro Rata Share of the Outstanding Amount of all L/C Obligations and Swing Line Loans shall not exceed such Lender’s Commitment. Within the limits of each Lender’s Commitment, and subject to the other terms and conditions hereof, the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Loans may be Base Rate Loans or Eurodollar Rate Loans, as further provided herein.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Borrowings, Conversions and Continuations of Loans.</w:t>
      </w:r>
    </w:p>
    <w:p>
      <w:pPr>
        <w:spacing w:after="0" w:line="94" w:lineRule="exact"/>
        <w:rPr>
          <w:sz w:val="20"/>
          <w:szCs w:val="20"/>
          <w:color w:val="auto"/>
        </w:rPr>
      </w:pPr>
    </w:p>
    <w:p>
      <w:pPr>
        <w:ind w:right="160" w:firstLine="440"/>
        <w:spacing w:after="0" w:line="291" w:lineRule="auto"/>
        <w:tabs>
          <w:tab w:leader="none" w:pos="677" w:val="left"/>
        </w:tabs>
        <w:numPr>
          <w:ilvl w:val="1"/>
          <w:numId w:val="57"/>
        </w:numPr>
        <w:rPr>
          <w:rFonts w:ascii="Arial" w:cs="Arial" w:eastAsia="Arial" w:hAnsi="Arial"/>
          <w:sz w:val="16"/>
          <w:szCs w:val="16"/>
          <w:color w:val="auto"/>
        </w:rPr>
      </w:pPr>
      <w:r>
        <w:rPr>
          <w:rFonts w:ascii="Arial" w:cs="Arial" w:eastAsia="Arial" w:hAnsi="Arial"/>
          <w:sz w:val="16"/>
          <w:szCs w:val="16"/>
          <w:color w:val="auto"/>
        </w:rPr>
        <w:t>Each Borrowing, each conversion of Loans from one Type to the other, and each continuation of Eurodollar Rate Loans shall be made upon the Borrower’s irrevocable written notice to the Administrative Agent. Each such notice must be received by the Administrative Agent not later than 11:00 a.m.</w:t>
      </w:r>
    </w:p>
    <w:p>
      <w:pPr>
        <w:ind w:firstLine="8"/>
        <w:spacing w:after="0" w:line="290" w:lineRule="auto"/>
        <w:tabs>
          <w:tab w:leader="none" w:pos="2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three Business Days prior to the requested date of any Borrowing of, conversion to or continuation of Eurodollar Rate Loans or of any conversion of Eurodollar Rate Loans to Base Rate Loans, and (ii) on the requested date of any Borrowing 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wishes to request Eurodollar Rate Loans having an Interest Period other than one week or one, two or three months in duration as provided in the definition of “</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the Administrative Agent shall give prompt notice to the Lenders of such request and determine whether the requested Interest Period is acceptable to all of them. Each Borrowing of, conversion to or continuation of Eurodollar Rate Loans shall be in a principal amount of $2,000,000 or a whole multiple of $1,000,000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each Borrowing of or conversion to Base Rate Loans shall be in a principal</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958" w:right="259" w:bottom="1440" w:gutter="0" w:footer="0" w:header="0"/>
        </w:sectPr>
      </w:pPr>
    </w:p>
    <w:bookmarkStart w:id="101" w:name="page102"/>
    <w:bookmarkEnd w:id="101"/>
    <w:p>
      <w:pPr>
        <w:spacing w:after="0" w:line="253" w:lineRule="auto"/>
        <w:rPr>
          <w:sz w:val="20"/>
          <w:szCs w:val="20"/>
          <w:color w:val="auto"/>
        </w:rPr>
      </w:pPr>
      <w:r>
        <w:rPr>
          <w:rFonts w:ascii="Arial" w:cs="Arial" w:eastAsia="Arial" w:hAnsi="Arial"/>
          <w:sz w:val="18"/>
          <w:szCs w:val="18"/>
          <w:color w:val="auto"/>
        </w:rPr>
        <w:t>amount of $1,000,000 or a whole multiple of $500,000 in excess thereof. Each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62" w:lineRule="exact"/>
        <w:rPr>
          <w:sz w:val="20"/>
          <w:szCs w:val="20"/>
          <w:color w:val="auto"/>
        </w:rPr>
      </w:pPr>
    </w:p>
    <w:p>
      <w:pPr>
        <w:ind w:right="40" w:firstLine="440"/>
        <w:spacing w:after="0" w:line="269" w:lineRule="auto"/>
        <w:tabs>
          <w:tab w:leader="none" w:pos="687"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Following receipt of a Loan Notice, the Administrative Agent shall promptly notify each Lender of the amount of its Pro Rata Share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Administrative Agent shall make all funds so received available to the Borrower in like funds as received by the Administrative Agent either by (i) crediting the account of the Borrower on the books of Wells Fargo Bank with the amount of such funds or (ii) wire transfer of such funds, in each case in accordance with instructions provided to (and reasonably acceptable to) the Administrative Agent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on the date the Loan Notice with respect to such Borrowing is given by the Borrower, there are L/C Borrowings or Swing Line Loans outstanding, then the proceeds of such Borrowing, first shall be applied to the payment in full of any such L/C Borrowings or Swing Line Loans, and second, shall be made available to the Borrower as provided above.</w:t>
      </w:r>
    </w:p>
    <w:p>
      <w:pPr>
        <w:spacing w:after="0" w:line="47" w:lineRule="exact"/>
        <w:rPr>
          <w:rFonts w:ascii="Arial" w:cs="Arial" w:eastAsia="Arial" w:hAnsi="Arial"/>
          <w:sz w:val="17"/>
          <w:szCs w:val="17"/>
          <w:color w:val="auto"/>
        </w:rPr>
      </w:pPr>
    </w:p>
    <w:p>
      <w:pPr>
        <w:jc w:val="both"/>
        <w:ind w:right="440" w:firstLine="440"/>
        <w:spacing w:after="0" w:line="264" w:lineRule="auto"/>
        <w:tabs>
          <w:tab w:leader="none" w:pos="6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46" w:lineRule="exact"/>
        <w:rPr>
          <w:rFonts w:ascii="Arial" w:cs="Arial" w:eastAsia="Arial" w:hAnsi="Arial"/>
          <w:sz w:val="18"/>
          <w:szCs w:val="18"/>
          <w:color w:val="auto"/>
        </w:rPr>
      </w:pPr>
    </w:p>
    <w:p>
      <w:pPr>
        <w:ind w:right="260" w:firstLine="440"/>
        <w:spacing w:after="0" w:line="277" w:lineRule="auto"/>
        <w:tabs>
          <w:tab w:leader="none" w:pos="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Interest Periods in effect with respect to Loans.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Letters of Credit.</w:t>
      </w:r>
    </w:p>
    <w:p>
      <w:pPr>
        <w:spacing w:after="0" w:line="94" w:lineRule="exact"/>
        <w:rPr>
          <w:sz w:val="20"/>
          <w:szCs w:val="20"/>
          <w:color w:val="auto"/>
        </w:rPr>
      </w:pPr>
    </w:p>
    <w:p>
      <w:pPr>
        <w:ind w:left="680" w:hanging="240"/>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886"/>
        <w:spacing w:after="0" w:line="257" w:lineRule="auto"/>
        <w:tabs>
          <w:tab w:leader="none" w:pos="10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each L/C Issuer agrees, in reliance upon the agreements of the other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period from the Closing Date until the Letter of Credit Expiration Date, to issue Letters of Credit in Dollars for the account of any Loan Party, Subsidiary or Joint Venture, and to amend or extend Letters of Credit previously issued by it, in accordance with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and (2) to honor drawings under the Letters of Credit; and (B) the Lenders severally agree to participate in Letters of Credit issued for the account of any</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82" w:right="259" w:bottom="1440" w:gutter="0" w:footer="0" w:header="0"/>
        </w:sectPr>
      </w:pPr>
    </w:p>
    <w:bookmarkStart w:id="102" w:name="page103"/>
    <w:bookmarkEnd w:id="102"/>
    <w:p>
      <w:pPr>
        <w:ind w:right="20" w:firstLine="432"/>
        <w:spacing w:after="0" w:line="270" w:lineRule="auto"/>
        <w:rPr>
          <w:sz w:val="20"/>
          <w:szCs w:val="20"/>
          <w:color w:val="auto"/>
        </w:rPr>
      </w:pPr>
      <w:r>
        <w:rPr>
          <w:rFonts w:ascii="Arial" w:cs="Arial" w:eastAsia="Arial" w:hAnsi="Arial"/>
          <w:sz w:val="17"/>
          <w:szCs w:val="17"/>
          <w:color w:val="auto"/>
        </w:rPr>
        <w:t xml:space="preserve">Loan Party, Subsidiary or Joint Venture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 (x) the Total Outstandings shall not exceed the Aggregate Commitments, (y) the aggregate Outstanding Amount of the Loans of any Lender, plus such Lender’s Pro Rata Share of the Outstanding Amount of all Swing Line Loans, plus such Lender’s Pro Rata Share of the Outstanding Amount of all L/C Obligations shall not exceed such Lender’s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The obligations of the L/C Issuers under this Agreement are several and not joint. No L/C Issuer shall be responsible for any actions or any failure to act by or on the part of any other L/C Issuer.</w:t>
      </w:r>
    </w:p>
    <w:p>
      <w:pPr>
        <w:spacing w:after="0" w:line="43" w:lineRule="exact"/>
        <w:rPr>
          <w:sz w:val="20"/>
          <w:szCs w:val="20"/>
          <w:color w:val="auto"/>
        </w:rPr>
      </w:pPr>
    </w:p>
    <w:p>
      <w:pPr>
        <w:ind w:left="1160" w:hanging="274"/>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L/C Issuer shall not issue any Letter of Credit, if:</w:t>
      </w:r>
    </w:p>
    <w:p>
      <w:pPr>
        <w:spacing w:after="0" w:line="90" w:lineRule="exact"/>
        <w:rPr>
          <w:rFonts w:ascii="Arial" w:cs="Arial" w:eastAsia="Arial" w:hAnsi="Arial"/>
          <w:sz w:val="18"/>
          <w:szCs w:val="18"/>
          <w:color w:val="auto"/>
        </w:rPr>
      </w:pPr>
    </w:p>
    <w:p>
      <w:pPr>
        <w:ind w:right="20" w:firstLine="1318"/>
        <w:spacing w:after="0" w:line="277" w:lineRule="auto"/>
        <w:tabs>
          <w:tab w:leader="none" w:pos="16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Lenders have approved such expiry date; or</w:t>
      </w:r>
    </w:p>
    <w:p>
      <w:pPr>
        <w:spacing w:after="0" w:line="35" w:lineRule="exact"/>
        <w:rPr>
          <w:rFonts w:ascii="Arial" w:cs="Arial" w:eastAsia="Arial" w:hAnsi="Arial"/>
          <w:sz w:val="18"/>
          <w:szCs w:val="18"/>
          <w:color w:val="auto"/>
        </w:rPr>
      </w:pPr>
    </w:p>
    <w:p>
      <w:pPr>
        <w:ind w:right="240" w:firstLine="1318"/>
        <w:spacing w:after="0" w:line="277" w:lineRule="auto"/>
        <w:tabs>
          <w:tab w:leader="none" w:pos="15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35" w:lineRule="exact"/>
        <w:rPr>
          <w:rFonts w:ascii="Arial" w:cs="Arial" w:eastAsia="Arial" w:hAnsi="Arial"/>
          <w:sz w:val="18"/>
          <w:szCs w:val="18"/>
          <w:color w:val="auto"/>
        </w:rPr>
      </w:pPr>
    </w:p>
    <w:p>
      <w:pPr>
        <w:ind w:right="80" w:firstLine="886"/>
        <w:spacing w:after="0" w:line="277" w:lineRule="auto"/>
        <w:tabs>
          <w:tab w:leader="none" w:pos="11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L/C Issuer shall not be under any obligation to issue any Letter of Credit if the L/C Obligations with respect to Letters of Credit issued by it would exceed, after giving effect to the requested Letter of Credit, such L/C Issuer’s L/C Commitment, or if:</w:t>
      </w:r>
    </w:p>
    <w:p>
      <w:pPr>
        <w:spacing w:after="0" w:line="35" w:lineRule="exact"/>
        <w:rPr>
          <w:rFonts w:ascii="Arial" w:cs="Arial" w:eastAsia="Arial" w:hAnsi="Arial"/>
          <w:sz w:val="18"/>
          <w:szCs w:val="18"/>
          <w:color w:val="auto"/>
        </w:rPr>
      </w:pPr>
    </w:p>
    <w:p>
      <w:pPr>
        <w:ind w:firstLine="1318"/>
        <w:spacing w:after="0" w:line="293" w:lineRule="auto"/>
        <w:tabs>
          <w:tab w:leader="none" w:pos="1605"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29" w:lineRule="exact"/>
        <w:rPr>
          <w:rFonts w:ascii="Arial" w:cs="Arial" w:eastAsia="Arial" w:hAnsi="Arial"/>
          <w:sz w:val="16"/>
          <w:szCs w:val="16"/>
          <w:color w:val="auto"/>
        </w:rPr>
      </w:pPr>
    </w:p>
    <w:p>
      <w:pPr>
        <w:ind w:left="1600" w:hanging="282"/>
        <w:spacing w:after="0"/>
        <w:tabs>
          <w:tab w:leader="none" w:pos="1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any Laws or one or more policies of such L/C Issuer;</w:t>
      </w:r>
    </w:p>
    <w:p>
      <w:pPr>
        <w:spacing w:after="0" w:line="90" w:lineRule="exact"/>
        <w:rPr>
          <w:rFonts w:ascii="Arial" w:cs="Arial" w:eastAsia="Arial" w:hAnsi="Arial"/>
          <w:sz w:val="18"/>
          <w:szCs w:val="18"/>
          <w:color w:val="auto"/>
        </w:rPr>
      </w:pPr>
    </w:p>
    <w:p>
      <w:pPr>
        <w:ind w:left="1600" w:hanging="282"/>
        <w:spacing w:after="0"/>
        <w:tabs>
          <w:tab w:leader="none" w:pos="1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except as otherwise agreed by the Administrative Agent and such L/C Issuer, such Letter of Credit is in an initial face amount less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w:t>
      </w:r>
    </w:p>
    <w:p>
      <w:pPr>
        <w:spacing w:after="0" w:line="75" w:lineRule="exact"/>
        <w:rPr>
          <w:rFonts w:ascii="Arial" w:cs="Arial" w:eastAsia="Arial" w:hAnsi="Arial"/>
          <w:sz w:val="16"/>
          <w:szCs w:val="16"/>
          <w:color w:val="auto"/>
        </w:rPr>
      </w:pPr>
    </w:p>
    <w:p>
      <w:pPr>
        <w:ind w:left="1620" w:hanging="302"/>
        <w:spacing w:after="0"/>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881" w:right="299" w:bottom="1440" w:gutter="0" w:footer="0" w:header="0"/>
        </w:sectPr>
      </w:pPr>
    </w:p>
    <w:bookmarkStart w:id="103" w:name="page104"/>
    <w:bookmarkEnd w:id="103"/>
    <w:p>
      <w:pPr>
        <w:ind w:left="1580" w:hanging="282"/>
        <w:spacing w:after="0"/>
        <w:tabs>
          <w:tab w:leader="none" w:pos="1580" w:val="left"/>
        </w:tabs>
        <w:numPr>
          <w:ilvl w:val="2"/>
          <w:numId w:val="62"/>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 or</w:t>
      </w:r>
    </w:p>
    <w:p>
      <w:pPr>
        <w:spacing w:after="0" w:line="101" w:lineRule="exact"/>
        <w:rPr>
          <w:rFonts w:ascii="Arial" w:cs="Arial" w:eastAsia="Arial" w:hAnsi="Arial"/>
          <w:sz w:val="17"/>
          <w:szCs w:val="17"/>
          <w:color w:val="auto"/>
        </w:rPr>
      </w:pPr>
    </w:p>
    <w:p>
      <w:pPr>
        <w:ind w:left="-20" w:firstLine="1318"/>
        <w:spacing w:after="0" w:line="308" w:lineRule="auto"/>
        <w:tabs>
          <w:tab w:leader="none" w:pos="1555" w:val="left"/>
        </w:tabs>
        <w:numPr>
          <w:ilvl w:val="2"/>
          <w:numId w:val="62"/>
        </w:numPr>
        <w:rPr>
          <w:rFonts w:ascii="Arial" w:cs="Arial" w:eastAsia="Arial" w:hAnsi="Arial"/>
          <w:sz w:val="17"/>
          <w:szCs w:val="17"/>
          <w:color w:val="auto"/>
        </w:rPr>
      </w:pPr>
      <w:r>
        <w:rPr>
          <w:rFonts w:ascii="Arial" w:cs="Arial" w:eastAsia="Arial" w:hAnsi="Arial"/>
          <w:sz w:val="17"/>
          <w:szCs w:val="17"/>
          <w:color w:val="auto"/>
        </w:rPr>
        <w:t xml:space="preserve">any Lender is a Defaulting Lender, unless the Fronting Exposure of such L/C Issuer with respect to such Defaulting Lender (after giving effect to any reallocation pursuant to </w:t>
      </w:r>
      <w:r>
        <w:rPr>
          <w:rFonts w:ascii="Arial" w:cs="Arial" w:eastAsia="Arial" w:hAnsi="Arial"/>
          <w:sz w:val="17"/>
          <w:szCs w:val="17"/>
          <w:u w:val="single" w:color="auto"/>
          <w:color w:val="auto"/>
        </w:rPr>
        <w:t>Section 2.15(d)</w:t>
      </w:r>
      <w:r>
        <w:rPr>
          <w:rFonts w:ascii="Arial" w:cs="Arial" w:eastAsia="Arial" w:hAnsi="Arial"/>
          <w:sz w:val="17"/>
          <w:szCs w:val="17"/>
          <w:color w:val="auto"/>
        </w:rPr>
        <w:t>) has been Cash Collateralized in an amount not less than the Minimum Collateral Amount.</w:t>
      </w:r>
    </w:p>
    <w:p>
      <w:pPr>
        <w:spacing w:after="0" w:line="11" w:lineRule="exact"/>
        <w:rPr>
          <w:rFonts w:ascii="Arial" w:cs="Arial" w:eastAsia="Arial" w:hAnsi="Arial"/>
          <w:sz w:val="17"/>
          <w:szCs w:val="17"/>
          <w:color w:val="auto"/>
        </w:rPr>
      </w:pPr>
    </w:p>
    <w:p>
      <w:pPr>
        <w:ind w:left="-20" w:right="140" w:firstLine="886"/>
        <w:spacing w:after="0" w:line="277" w:lineRule="auto"/>
        <w:tabs>
          <w:tab w:leader="none" w:pos="116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L/C Issuer shall not amend any Letter of Credit if such L/C Issuer would not be permitted at such time to issue such Letter of Credit in its amended form under the terms hereof.</w:t>
      </w:r>
    </w:p>
    <w:p>
      <w:pPr>
        <w:spacing w:after="0" w:line="35" w:lineRule="exact"/>
        <w:rPr>
          <w:rFonts w:ascii="Arial" w:cs="Arial" w:eastAsia="Arial" w:hAnsi="Arial"/>
          <w:sz w:val="18"/>
          <w:szCs w:val="18"/>
          <w:color w:val="auto"/>
        </w:rPr>
      </w:pPr>
    </w:p>
    <w:p>
      <w:pPr>
        <w:ind w:left="-20" w:right="260" w:firstLine="886"/>
        <w:spacing w:after="0" w:line="264" w:lineRule="auto"/>
        <w:tabs>
          <w:tab w:leader="none" w:pos="1113"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Such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46" w:lineRule="exact"/>
        <w:rPr>
          <w:rFonts w:ascii="Arial" w:cs="Arial" w:eastAsia="Arial" w:hAnsi="Arial"/>
          <w:sz w:val="18"/>
          <w:szCs w:val="18"/>
          <w:color w:val="auto"/>
        </w:rPr>
      </w:pPr>
    </w:p>
    <w:p>
      <w:pPr>
        <w:ind w:left="680" w:hanging="260"/>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firstLine="886"/>
        <w:spacing w:after="0" w:line="286" w:lineRule="auto"/>
        <w:tabs>
          <w:tab w:leader="none" w:pos="1073" w:val="left"/>
        </w:tabs>
        <w:numPr>
          <w:ilvl w:val="1"/>
          <w:numId w:val="64"/>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Such Letter of Credit Application must be received by such L/C Issuer and the Administrative Agent not later than 11:00 a.m. at least two Business Days (or, in the case of Morgan Stanley Bank, N.A., at least five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such requested Letter of Credit; and (H) such other matters as such L/C Issuer may require. In the case of a request for an amendment of any outstanding Letter of Credit, such Letter of Credit Application shall specify in form and detail satisfactory to such L/C Issuer (A) the Letter of Credit to be amended; (B) the proposed date of amendment thereof (which shall be a Business Day); (C) the nature of the proposed amendment; and (D) such other matters as such L/C Issuer may require. Additionally, the Borrower shall furnish to such L/C Issuer and the Administrative Agent such other documents and information pertaining to such requested Letter of Credit issuance or amendment, including any Issuer Documents, as such L/C Issuer or the Administrative Agent may require.</w:t>
      </w:r>
    </w:p>
    <w:p>
      <w:pPr>
        <w:spacing w:after="0" w:line="36" w:lineRule="exact"/>
        <w:rPr>
          <w:rFonts w:ascii="Arial" w:cs="Arial" w:eastAsia="Arial" w:hAnsi="Arial"/>
          <w:sz w:val="16"/>
          <w:szCs w:val="16"/>
          <w:color w:val="auto"/>
        </w:rPr>
      </w:pPr>
    </w:p>
    <w:p>
      <w:pPr>
        <w:ind w:left="-20" w:firstLine="886"/>
        <w:spacing w:after="0" w:line="257" w:lineRule="auto"/>
        <w:tabs>
          <w:tab w:leader="none" w:pos="1123"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Unless such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then, subject to the terms and conditions hereof, such L/C Issuer shall, on the requested date, issue a Letter of Credit for the account of the Borrower or the applicable Subsidiary or enter into the applicable amendment, as the case may be, in each case in accordance with such L/C Issuer’s usual and customary business practices.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881" w:right="259" w:bottom="1440" w:gutter="0" w:footer="0" w:header="0"/>
        </w:sectPr>
      </w:pPr>
    </w:p>
    <w:bookmarkStart w:id="104" w:name="page105"/>
    <w:bookmarkEnd w:id="104"/>
    <w:p>
      <w:pPr>
        <w:ind w:right="60" w:firstLine="432"/>
        <w:spacing w:after="0" w:line="264" w:lineRule="auto"/>
        <w:rPr>
          <w:sz w:val="20"/>
          <w:szCs w:val="20"/>
          <w:color w:val="auto"/>
        </w:rPr>
      </w:pPr>
      <w:r>
        <w:rPr>
          <w:rFonts w:ascii="Arial" w:cs="Arial" w:eastAsia="Arial" w:hAnsi="Arial"/>
          <w:sz w:val="18"/>
          <w:szCs w:val="18"/>
          <w:color w:val="auto"/>
        </w:rPr>
        <w:t>Immediately upon the issuance of each Letter of Credit by a L/C Issuer, each Lender shall be deemed to, and hereby irrevocably and unconditionally agrees to, purchase from such L/C Issuer a risk participation in such Letter of Credit in an amount equal to the product of such Lender’s Pro Rata Share times the amount of such Letter of Credit.</w:t>
      </w:r>
    </w:p>
    <w:p>
      <w:pPr>
        <w:spacing w:after="0" w:line="46" w:lineRule="exact"/>
        <w:rPr>
          <w:sz w:val="20"/>
          <w:szCs w:val="20"/>
          <w:color w:val="auto"/>
        </w:rPr>
      </w:pPr>
    </w:p>
    <w:p>
      <w:pPr>
        <w:ind w:right="20" w:firstLine="886"/>
        <w:spacing w:after="0" w:line="268" w:lineRule="auto"/>
        <w:tabs>
          <w:tab w:leader="none" w:pos="1193"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the L/C Issuer to prevent any such extension at least once in each twelve-month period (commencing with the date of issuance of such Letter of Credit) by giving prior written notice to the beneficiary thereof not later than a specified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or otherwise), or (B) it has received written notice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is not then satisfied, and in each such case directing the L/C Issuer not to permit such extension.</w:t>
      </w:r>
    </w:p>
    <w:p>
      <w:pPr>
        <w:spacing w:after="0" w:line="52" w:lineRule="exact"/>
        <w:rPr>
          <w:rFonts w:ascii="Arial" w:cs="Arial" w:eastAsia="Arial" w:hAnsi="Arial"/>
          <w:sz w:val="17"/>
          <w:szCs w:val="17"/>
          <w:color w:val="auto"/>
        </w:rPr>
      </w:pPr>
    </w:p>
    <w:p>
      <w:pPr>
        <w:ind w:firstLine="886"/>
        <w:spacing w:after="0" w:line="269" w:lineRule="auto"/>
        <w:tabs>
          <w:tab w:leader="none" w:pos="1183"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applicable L/C Issuer may, in its sole and absolute discretion, agree to issue a Letter of Credit that permits the automatic reinstatement of all or a portion of the stated amount thereof after any drawing thereunder (each, an “</w:t>
      </w:r>
      <w:r>
        <w:rPr>
          <w:rFonts w:ascii="Arial" w:cs="Arial" w:eastAsia="Arial" w:hAnsi="Arial"/>
          <w:sz w:val="17"/>
          <w:szCs w:val="17"/>
          <w:u w:val="single" w:color="auto"/>
          <w:color w:val="auto"/>
        </w:rPr>
        <w:t>Auto-Reinstatement Letter of Credit</w:t>
      </w:r>
      <w:r>
        <w:rPr>
          <w:rFonts w:ascii="Arial" w:cs="Arial" w:eastAsia="Arial" w:hAnsi="Arial"/>
          <w:sz w:val="17"/>
          <w:szCs w:val="17"/>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7"/>
          <w:szCs w:val="17"/>
          <w:u w:val="single" w:color="auto"/>
          <w:color w:val="auto"/>
        </w:rPr>
        <w:t>Non-Reinstatement Deadline</w:t>
      </w:r>
      <w:r>
        <w:rPr>
          <w:rFonts w:ascii="Arial" w:cs="Arial" w:eastAsia="Arial" w:hAnsi="Arial"/>
          <w:sz w:val="17"/>
          <w:szCs w:val="17"/>
          <w:color w:val="auto"/>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 (B) from the Administrative Agent, any Lender or the Borrower that one or more of the applicable conditions specified in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is not then satisfied (treating such reinstatement as an L/C Credit Extension for purposes of this clause) and, in each case, directing the L/C Issuer not to permit such reinstatement.</w:t>
      </w:r>
    </w:p>
    <w:p>
      <w:pPr>
        <w:spacing w:after="0" w:line="44" w:lineRule="exact"/>
        <w:rPr>
          <w:rFonts w:ascii="Arial" w:cs="Arial" w:eastAsia="Arial" w:hAnsi="Arial"/>
          <w:sz w:val="17"/>
          <w:szCs w:val="17"/>
          <w:color w:val="auto"/>
        </w:rPr>
      </w:pPr>
    </w:p>
    <w:p>
      <w:pPr>
        <w:ind w:right="280" w:firstLine="886"/>
        <w:spacing w:after="0" w:line="264" w:lineRule="auto"/>
        <w:tabs>
          <w:tab w:leader="none" w:pos="11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881" w:right="259" w:bottom="1440" w:gutter="0" w:footer="0" w:header="0"/>
        </w:sectPr>
      </w:pPr>
    </w:p>
    <w:bookmarkStart w:id="105" w:name="page106"/>
    <w:bookmarkEnd w:id="105"/>
    <w:p>
      <w:pPr>
        <w:ind w:left="680" w:hanging="240"/>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886"/>
        <w:spacing w:after="0" w:line="270" w:lineRule="auto"/>
        <w:tabs>
          <w:tab w:leader="none" w:pos="1093" w:val="left"/>
        </w:tabs>
        <w:numPr>
          <w:ilvl w:val="1"/>
          <w:numId w:val="66"/>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under such Letter of Credit, the applicable L/C Issuer shall notify the Borrower and the Administrative Agent thereof. Not later than 11:00 a.m. on the date of any payment by a L/C Issuer under a Letter of Credit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the L/C Issuer through the Administrative Agent in an amount equal to the amount of such drawing. If the Borrower fails to so reimburse the L/C Issuer by such time, the Administrative Agent shall promptly notify each Lender of the Honor Date, the amount of the unreimbursed drawing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Lender’s Pro Rata Share thereof. In such event, the Borrower shall be deemed to have requested a Borrowing of Base Rate Loans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for the principal amount of Base Rate Loans, but subject to the amount of the unutilized portion of the Aggregate Commitments and the conditions set forth in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(other than the delivery of a Loan Notice). Any notice given by a L/C Issuer or the Administrative Agent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42" w:lineRule="exact"/>
        <w:rPr>
          <w:rFonts w:ascii="Arial" w:cs="Arial" w:eastAsia="Arial" w:hAnsi="Arial"/>
          <w:sz w:val="17"/>
          <w:szCs w:val="17"/>
          <w:color w:val="auto"/>
        </w:rPr>
      </w:pPr>
    </w:p>
    <w:p>
      <w:pPr>
        <w:ind w:right="40" w:firstLine="886"/>
        <w:spacing w:after="0" w:line="257" w:lineRule="auto"/>
        <w:tabs>
          <w:tab w:leader="none" w:pos="1143"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Each Lender (including the Lender acting as L/C Issuer) shall upon any written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to the Administrative Agent for the account of the L/C Issuer at the Administrative Agent’s Office in an amount equal to its Pro Rata Share of the Unreimbursed Amount not later than 1:00 p.m. on the Business Day specified in such written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Lender that so makes funds available shall be deemed to have made a Base Rate Loan to the Borrower in such amount. The Administrative Agent shall remit the funds so received to the L/C Issuer.</w:t>
      </w:r>
    </w:p>
    <w:p>
      <w:pPr>
        <w:spacing w:after="0" w:line="53" w:lineRule="exact"/>
        <w:rPr>
          <w:rFonts w:ascii="Arial" w:cs="Arial" w:eastAsia="Arial" w:hAnsi="Arial"/>
          <w:sz w:val="18"/>
          <w:szCs w:val="18"/>
          <w:color w:val="auto"/>
        </w:rPr>
      </w:pPr>
    </w:p>
    <w:p>
      <w:pPr>
        <w:ind w:firstLine="886"/>
        <w:spacing w:after="0" w:line="255" w:lineRule="auto"/>
        <w:tabs>
          <w:tab w:leader="none" w:pos="1193"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Borrowing of Base Rate Loans because the conditions set forth in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right="240" w:firstLine="886"/>
        <w:spacing w:after="0" w:line="308" w:lineRule="auto"/>
        <w:tabs>
          <w:tab w:leader="none" w:pos="1183"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Until each Lender funds its Loan or L/C Advance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to reimburse the L/C Issuer for any amount drawn under any Letter of Credit, interest in respect of such Lender’s Pro Rata Share of such amount shall be solely for the account of the L/C Issuer.</w:t>
      </w:r>
    </w:p>
    <w:p>
      <w:pPr>
        <w:spacing w:after="0" w:line="11" w:lineRule="exact"/>
        <w:rPr>
          <w:rFonts w:ascii="Arial" w:cs="Arial" w:eastAsia="Arial" w:hAnsi="Arial"/>
          <w:sz w:val="17"/>
          <w:szCs w:val="17"/>
          <w:color w:val="auto"/>
        </w:rPr>
      </w:pPr>
    </w:p>
    <w:p>
      <w:pPr>
        <w:ind w:right="240" w:firstLine="886"/>
        <w:spacing w:after="0" w:line="291" w:lineRule="auto"/>
        <w:tabs>
          <w:tab w:leader="none" w:pos="1133"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Each Lender’s obligation to make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81" w:right="239" w:bottom="1440" w:gutter="0" w:footer="0" w:header="0"/>
        </w:sectPr>
      </w:pPr>
    </w:p>
    <w:bookmarkStart w:id="106" w:name="page107"/>
    <w:bookmarkEnd w:id="106"/>
    <w:p>
      <w:pPr>
        <w:ind w:left="-20" w:right="20" w:firstLine="886"/>
        <w:spacing w:after="0" w:line="255" w:lineRule="auto"/>
        <w:tabs>
          <w:tab w:leader="none" w:pos="11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Federal Funds Rate from time to time in effect. A certificate of the L/C Issuer submitted to any Lender (through the Administrative Agent) with respect to any amounts owing under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shall be conclusive absent manifest error.</w:t>
      </w:r>
    </w:p>
    <w:p>
      <w:pPr>
        <w:spacing w:after="0" w:line="58" w:lineRule="exact"/>
        <w:rPr>
          <w:rFonts w:ascii="Arial" w:cs="Arial" w:eastAsia="Arial" w:hAnsi="Arial"/>
          <w:sz w:val="18"/>
          <w:szCs w:val="18"/>
          <w:color w:val="auto"/>
        </w:rPr>
      </w:pPr>
    </w:p>
    <w:p>
      <w:pPr>
        <w:ind w:left="680" w:hanging="260"/>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firstLine="886"/>
        <w:spacing w:after="0" w:line="255" w:lineRule="auto"/>
        <w:tabs>
          <w:tab w:leader="none" w:pos="1073"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L/C Advance was outstanding) in the same funds as those received by the Administrative Agent.</w:t>
      </w:r>
    </w:p>
    <w:p>
      <w:pPr>
        <w:spacing w:after="0" w:line="58" w:lineRule="exact"/>
        <w:rPr>
          <w:rFonts w:ascii="Arial" w:cs="Arial" w:eastAsia="Arial" w:hAnsi="Arial"/>
          <w:sz w:val="18"/>
          <w:szCs w:val="18"/>
          <w:color w:val="auto"/>
        </w:rPr>
      </w:pPr>
    </w:p>
    <w:p>
      <w:pPr>
        <w:ind w:left="-20" w:firstLine="886"/>
        <w:spacing w:after="0" w:line="257" w:lineRule="auto"/>
        <w:tabs>
          <w:tab w:leader="none" w:pos="1123"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a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such L/C Issuer in its discretion), each Lender shall pay to the Administrative Agent for the account of such L/C Issuer its Pro Rata Share thereof on demand of the Administrative Agent, plus interest thereon from the date of such demand to the date such amount is returned by such Lender, at a rate per annum equal to the Federal Funds Rate from time to time in effect.</w:t>
      </w:r>
    </w:p>
    <w:p>
      <w:pPr>
        <w:spacing w:after="0" w:line="53" w:lineRule="exact"/>
        <w:rPr>
          <w:rFonts w:ascii="Arial" w:cs="Arial" w:eastAsia="Arial" w:hAnsi="Arial"/>
          <w:sz w:val="18"/>
          <w:szCs w:val="18"/>
          <w:color w:val="auto"/>
        </w:rPr>
      </w:pPr>
    </w:p>
    <w:p>
      <w:pPr>
        <w:ind w:left="-20" w:firstLine="440"/>
        <w:spacing w:after="0" w:line="264" w:lineRule="auto"/>
        <w:tabs>
          <w:tab w:leader="none" w:pos="65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each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46" w:lineRule="exact"/>
        <w:rPr>
          <w:rFonts w:ascii="Arial" w:cs="Arial" w:eastAsia="Arial" w:hAnsi="Arial"/>
          <w:sz w:val="18"/>
          <w:szCs w:val="18"/>
          <w:color w:val="auto"/>
        </w:rPr>
      </w:pPr>
    </w:p>
    <w:p>
      <w:pPr>
        <w:ind w:left="1080" w:hanging="214"/>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90" w:lineRule="exact"/>
        <w:rPr>
          <w:rFonts w:ascii="Arial" w:cs="Arial" w:eastAsia="Arial" w:hAnsi="Arial"/>
          <w:sz w:val="18"/>
          <w:szCs w:val="18"/>
          <w:color w:val="auto"/>
        </w:rPr>
      </w:pPr>
    </w:p>
    <w:p>
      <w:pPr>
        <w:jc w:val="both"/>
        <w:ind w:left="-20" w:right="80" w:firstLine="886"/>
        <w:spacing w:after="0" w:line="259" w:lineRule="auto"/>
        <w:tabs>
          <w:tab w:leader="none" w:pos="112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51" w:lineRule="exact"/>
        <w:rPr>
          <w:rFonts w:ascii="Arial" w:cs="Arial" w:eastAsia="Arial" w:hAnsi="Arial"/>
          <w:sz w:val="18"/>
          <w:szCs w:val="18"/>
          <w:color w:val="auto"/>
        </w:rPr>
      </w:pPr>
    </w:p>
    <w:p>
      <w:pPr>
        <w:ind w:left="-20" w:firstLine="886"/>
        <w:spacing w:after="0" w:line="264" w:lineRule="auto"/>
        <w:tabs>
          <w:tab w:leader="none" w:pos="117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60" w:top="882" w:right="259" w:bottom="1440" w:gutter="0" w:footer="0" w:header="0"/>
        </w:sectPr>
      </w:pPr>
    </w:p>
    <w:bookmarkStart w:id="107" w:name="page108"/>
    <w:bookmarkEnd w:id="107"/>
    <w:p>
      <w:pPr>
        <w:ind w:left="340" w:hanging="324"/>
        <w:spacing w:after="0" w:line="291" w:lineRule="auto"/>
        <w:tabs>
          <w:tab w:leader="none" w:pos="33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w:t>
      </w:r>
    </w:p>
    <w:p>
      <w:pPr>
        <w:jc w:val="center"/>
        <w:spacing w:after="0" w:line="261" w:lineRule="auto"/>
        <w:rPr>
          <w:sz w:val="20"/>
          <w:szCs w:val="20"/>
          <w:color w:val="auto"/>
        </w:rPr>
      </w:pPr>
      <w:r>
        <w:rPr>
          <w:rFonts w:ascii="Arial" w:cs="Arial" w:eastAsia="Arial" w:hAnsi="Arial"/>
          <w:sz w:val="18"/>
          <w:szCs w:val="18"/>
          <w:color w:val="auto"/>
        </w:rPr>
        <w:t>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49" w:lineRule="exact"/>
        <w:rPr>
          <w:sz w:val="20"/>
          <w:szCs w:val="20"/>
          <w:color w:val="auto"/>
        </w:rPr>
      </w:pPr>
    </w:p>
    <w:p>
      <w:pPr>
        <w:ind w:right="120" w:firstLine="886"/>
        <w:spacing w:after="0" w:line="277" w:lineRule="auto"/>
        <w:tabs>
          <w:tab w:leader="none" w:pos="11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16"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written notice is given as aforesaid.</w:t>
      </w:r>
    </w:p>
    <w:p>
      <w:pPr>
        <w:spacing w:after="0" w:line="93" w:lineRule="exact"/>
        <w:rPr>
          <w:sz w:val="20"/>
          <w:szCs w:val="20"/>
          <w:color w:val="auto"/>
        </w:rPr>
      </w:pPr>
    </w:p>
    <w:p>
      <w:pPr>
        <w:ind w:firstLine="440"/>
        <w:spacing w:after="0" w:line="285" w:lineRule="auto"/>
        <w:tabs>
          <w:tab w:leader="none" w:pos="65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L/C Issuer, no Agent-Related Person and none of the respective correspondents, participants or assignees of any L/C Issuer shall be liable to any Lender for (i) any action taken or omitted in connection herewith at the request or with the approval of all Lenders or the Required Lenders, as applicable;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it may have against the beneficiary or transferee at law or under any other agreement. No L/C Issuer, no Agent-Related Person, and none of the respective correspondents, participants or assignees of any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a L/C Issuer, and a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81" w:right="239" w:bottom="1440" w:gutter="0" w:footer="0" w:header="0"/>
        </w:sectPr>
      </w:pPr>
    </w:p>
    <w:bookmarkStart w:id="108" w:name="page109"/>
    <w:bookmarkEnd w:id="108"/>
    <w:p>
      <w:pPr>
        <w:ind w:firstLine="440"/>
        <w:spacing w:after="0" w:line="254" w:lineRule="auto"/>
        <w:tabs>
          <w:tab w:leader="none" w:pos="6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Upon the request of the Administrative Agent, (i) if any L/C Issuer has honored any full or partial drawing request under any Letter of Credit and such drawing has resulted in an L/C Borrowing, or (ii) if, as of the Letter of Credit Expiration Date, any Letter of Credit for any reason remains outstanding and partially or wholly undrawn, the Borrower shall immediately Cash Collateralize the then Outstanding Amount of all L/C Obligations (in an amount equal to such Outstanding Amount determined as of the date of such L/C Borrowing or the Letter of Credit Expiration Date, as the case may be). At any time that there shall exist a Defaulting Lender, within one Business Day following the written request of the Administrative Agent or any L/C Issuer (with a copy to the Administrative Agent) the Borrower shall Cash Collateralize such L/C Issuer’s Fronting Exposure with respect to such Defaulting Lender (determined after giving effect to </w:t>
      </w:r>
      <w:r>
        <w:rPr>
          <w:rFonts w:ascii="Arial" w:cs="Arial" w:eastAsia="Arial" w:hAnsi="Arial"/>
          <w:sz w:val="18"/>
          <w:szCs w:val="18"/>
          <w:u w:val="single" w:color="auto"/>
          <w:color w:val="auto"/>
        </w:rPr>
        <w:t>Section 2.15(d)</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57" w:lineRule="exact"/>
        <w:rPr>
          <w:rFonts w:ascii="Arial" w:cs="Arial" w:eastAsia="Arial" w:hAnsi="Arial"/>
          <w:sz w:val="18"/>
          <w:szCs w:val="18"/>
          <w:color w:val="auto"/>
        </w:rPr>
      </w:pPr>
    </w:p>
    <w:p>
      <w:pPr>
        <w:ind w:firstLine="886"/>
        <w:spacing w:after="0" w:line="291" w:lineRule="auto"/>
        <w:tabs>
          <w:tab w:leader="none" w:pos="109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Borrower, and to the extent Cash Collateral is provided by any Defaulting Lender, such Defaulting Lender, hereby grants to the Administrative Agent, for the benefit of the L/C Issuers, and agrees to maintain, a first priority security interest in all such Cash Collateral as security for the Defaulting Lenders’ obligation to fund participations in respect of L/C Obligations, to be applied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If at any time the Administrative Agent determines that Cash Collateral is subject to any right or claim of any Person other than the Administrative Agent and the L/C Issuers as herein provided (other than any Permitted Liens),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32" w:lineRule="exact"/>
        <w:rPr>
          <w:rFonts w:ascii="Arial" w:cs="Arial" w:eastAsia="Arial" w:hAnsi="Arial"/>
          <w:sz w:val="16"/>
          <w:szCs w:val="16"/>
          <w:color w:val="auto"/>
        </w:rPr>
      </w:pPr>
    </w:p>
    <w:p>
      <w:pPr>
        <w:jc w:val="both"/>
        <w:ind w:right="140" w:firstLine="886"/>
        <w:spacing w:after="0" w:line="279" w:lineRule="auto"/>
        <w:tabs>
          <w:tab w:leader="none" w:pos="1143"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xml:space="preserve">. Notwithstanding anything to the contrary contained in this Agreement, Cash Collateral provided under this </w:t>
      </w:r>
      <w:r>
        <w:rPr>
          <w:rFonts w:ascii="Arial" w:cs="Arial" w:eastAsia="Arial" w:hAnsi="Arial"/>
          <w:sz w:val="17"/>
          <w:szCs w:val="17"/>
          <w:u w:val="single" w:color="auto"/>
          <w:color w:val="auto"/>
        </w:rPr>
        <w:t>Section 2.03(g)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36" w:lineRule="exact"/>
        <w:rPr>
          <w:rFonts w:ascii="Arial" w:cs="Arial" w:eastAsia="Arial" w:hAnsi="Arial"/>
          <w:sz w:val="17"/>
          <w:szCs w:val="17"/>
          <w:color w:val="auto"/>
        </w:rPr>
      </w:pPr>
    </w:p>
    <w:p>
      <w:pPr>
        <w:ind w:right="200" w:firstLine="886"/>
        <w:spacing w:after="0" w:line="297" w:lineRule="auto"/>
        <w:tabs>
          <w:tab w:leader="none" w:pos="119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Termination of Requirement</w:t>
      </w:r>
      <w:r>
        <w:rPr>
          <w:rFonts w:ascii="Arial" w:cs="Arial" w:eastAsia="Arial" w:hAnsi="Arial"/>
          <w:sz w:val="16"/>
          <w:szCs w:val="16"/>
          <w:color w:val="auto"/>
        </w:rPr>
        <w:t xml:space="preserve">. Cash Collateral (or the appropriate portion thereof) provided to reduce one or more L/C Issuer’s Fronting Exposure shall no longer be required to be held as Cash Collateral pursuant to this </w:t>
      </w:r>
      <w:r>
        <w:rPr>
          <w:rFonts w:ascii="Arial" w:cs="Arial" w:eastAsia="Arial" w:hAnsi="Arial"/>
          <w:sz w:val="16"/>
          <w:szCs w:val="16"/>
          <w:u w:val="single" w:color="auto"/>
          <w:color w:val="auto"/>
        </w:rPr>
        <w:t>Section 2.03(g)</w:t>
      </w:r>
      <w:r>
        <w:rPr>
          <w:rFonts w:ascii="Arial" w:cs="Arial" w:eastAsia="Arial" w:hAnsi="Arial"/>
          <w:sz w:val="16"/>
          <w:szCs w:val="16"/>
          <w:color w:val="auto"/>
        </w:rPr>
        <w:t xml:space="preserve"> following (A) the elimination of the applicable Fronting Exposure (including by the termination of Defaulting Lender status of the applicable Lender), or (B) the determination by the Administrative Agent and the applicable L/C Issuer(s)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Person providing Cash Collateral and the L/C Issuers may agree that Cash Collateral shall be held to support future anticipated Fronting Exposure or other obligations.</w:t>
      </w:r>
    </w:p>
    <w:p>
      <w:pPr>
        <w:spacing w:after="0" w:line="23" w:lineRule="exact"/>
        <w:rPr>
          <w:rFonts w:ascii="Arial" w:cs="Arial" w:eastAsia="Arial" w:hAnsi="Arial"/>
          <w:sz w:val="16"/>
          <w:szCs w:val="16"/>
          <w:color w:val="auto"/>
        </w:rPr>
      </w:pPr>
    </w:p>
    <w:p>
      <w:pPr>
        <w:ind w:right="60" w:firstLine="440"/>
        <w:spacing w:after="0" w:line="277" w:lineRule="auto"/>
        <w:tabs>
          <w:tab w:leader="none" w:pos="6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Applicability of ISP98</w:t>
      </w:r>
      <w:r>
        <w:rPr>
          <w:rFonts w:ascii="Arial" w:cs="Arial" w:eastAsia="Arial" w:hAnsi="Arial"/>
          <w:sz w:val="18"/>
          <w:szCs w:val="18"/>
          <w:color w:val="auto"/>
        </w:rPr>
        <w:t>. Unless otherwise expressly agreed by the applicable L/C Issuer and the Borrower when a Letter of Credit is issued, the rules of the ISP shall apply to each Letter of Credit.</w:t>
      </w:r>
    </w:p>
    <w:p>
      <w:pPr>
        <w:spacing w:after="0" w:line="116" w:lineRule="exact"/>
        <w:rPr>
          <w:rFonts w:ascii="Arial" w:cs="Arial" w:eastAsia="Arial" w:hAnsi="Arial"/>
          <w:sz w:val="18"/>
          <w:szCs w:val="18"/>
          <w:color w:val="auto"/>
        </w:rPr>
      </w:pPr>
    </w:p>
    <w:p>
      <w:pPr>
        <w:ind w:right="80" w:firstLine="440"/>
        <w:spacing w:after="0" w:line="255" w:lineRule="auto"/>
        <w:tabs>
          <w:tab w:leader="none" w:pos="64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The Borrower shall pay to the Administrative Agent for the account of each Lender in accordance with its Pro Rata Share 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for each Letter of Credit equal to the Applicable Rate times the daily maximum amount available to be drawn under such Letter of Credit (whether or not such maximum amount is then in effect under such Letter of Credit).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62" w:right="239" w:bottom="1440" w:gutter="0" w:footer="0" w:header="0"/>
        </w:sectPr>
      </w:pPr>
    </w:p>
    <w:bookmarkStart w:id="109" w:name="page110"/>
    <w:bookmarkEnd w:id="109"/>
    <w:p>
      <w:pPr>
        <w:ind w:right="220"/>
        <w:spacing w:after="0" w:line="308" w:lineRule="auto"/>
        <w:rPr>
          <w:sz w:val="20"/>
          <w:szCs w:val="20"/>
          <w:color w:val="auto"/>
        </w:rPr>
      </w:pPr>
      <w:r>
        <w:rPr>
          <w:rFonts w:ascii="Arial" w:cs="Arial" w:eastAsia="Arial" w:hAnsi="Arial"/>
          <w:sz w:val="17"/>
          <w:szCs w:val="17"/>
          <w:color w:val="auto"/>
        </w:rPr>
        <w:t>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1" w:lineRule="exact"/>
        <w:rPr>
          <w:sz w:val="20"/>
          <w:szCs w:val="20"/>
          <w:color w:val="auto"/>
        </w:rPr>
      </w:pPr>
    </w:p>
    <w:p>
      <w:pPr>
        <w:ind w:right="80" w:firstLine="440"/>
        <w:spacing w:after="0" w:line="290" w:lineRule="auto"/>
        <w:tabs>
          <w:tab w:leader="none" w:pos="64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The Borrower shall pay directly to the applicable L/C Issuer for its own account a fronting fee with respect to each Letter of Credit issued by such L/C Issuer in the amount specified in the Fee Letters, payable on the actual daily maximum amount available to be drawn under such Letter of Credit (whether or not such maximum amount is then in effect under such Letter of Credit). Such fronting fee shall be computed on a quarterly basis in arrears. Such fronting fee shall be due and payable on the first Business Day after the end of each March, June, September and December, commencing with the first such date to occur after the issuance of such Letter of Credit, on the Letter of Credit Expiration Date and thereafter on demand. In addition, the Borrower shall pay directly to the applicable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31" w:lineRule="exact"/>
        <w:rPr>
          <w:rFonts w:ascii="Arial" w:cs="Arial" w:eastAsia="Arial" w:hAnsi="Arial"/>
          <w:sz w:val="16"/>
          <w:szCs w:val="16"/>
          <w:color w:val="auto"/>
        </w:rPr>
      </w:pPr>
    </w:p>
    <w:p>
      <w:pPr>
        <w:ind w:left="700" w:hanging="260"/>
        <w:spacing w:after="0"/>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75" w:lineRule="exact"/>
        <w:rPr>
          <w:rFonts w:ascii="Arial" w:cs="Arial" w:eastAsia="Arial" w:hAnsi="Arial"/>
          <w:sz w:val="16"/>
          <w:szCs w:val="16"/>
          <w:color w:val="auto"/>
        </w:rPr>
      </w:pPr>
    </w:p>
    <w:p>
      <w:pPr>
        <w:ind w:right="40" w:firstLine="440"/>
        <w:spacing w:after="0" w:line="276" w:lineRule="auto"/>
        <w:tabs>
          <w:tab w:leader="none" w:pos="64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Loan Parties, Subsidiaries or Joint Ventures</w:t>
      </w:r>
      <w:r>
        <w:rPr>
          <w:rFonts w:ascii="Arial" w:cs="Arial" w:eastAsia="Arial" w:hAnsi="Arial"/>
          <w:sz w:val="17"/>
          <w:szCs w:val="17"/>
          <w:color w:val="auto"/>
        </w:rPr>
        <w:t>. Notwithstanding that a Letter of Credit issued or outstanding hereunder is in support of any obligations of, or is for the account of, any Loan Party or its Subsidiaries or Joint Ventures, the Borrower shall be obligated to reimburse the applicable L/C Issuer hereunder for any and all drawings under such Letter of Credit. The Borrower hereby acknowledges that the issuance of Letters of Credit for the account of any Loan Party or its Subsidiaries or Joint Ventures inures to the benefit of the Borrower, and that the Borrower’s business derives substantial benefits from the businesses of such Loan Parties, Subsidiaries and Joint Ventures.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b w:val="1"/>
          <w:bCs w:val="1"/>
          <w:color w:val="auto"/>
        </w:rPr>
        <w:t>Swing Line Loans.</w:t>
      </w:r>
    </w:p>
    <w:p>
      <w:pPr>
        <w:spacing w:after="0" w:line="94" w:lineRule="exact"/>
        <w:rPr>
          <w:sz w:val="20"/>
          <w:szCs w:val="20"/>
          <w:color w:val="auto"/>
        </w:rPr>
      </w:pPr>
    </w:p>
    <w:p>
      <w:pPr>
        <w:ind w:firstLine="440"/>
        <w:spacing w:after="0" w:line="287" w:lineRule="auto"/>
        <w:tabs>
          <w:tab w:leader="none" w:pos="67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agrees,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to make loans in Dollars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the Swing Line Sublimit, notwithstanding the fact that such Swing Line Loans, when aggregated with the Pro Rata Share of the Outstanding Amount of Loans and L/C Obligations of the Lender acting as Swing Line Lender, may exceed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Outstandings shall not exceed the Aggregate Commitments, and (ii) the aggregate Outstanding Amount of the Loans of any Lender, plus such Lender’s Pro Rata Share of the Outstanding Amount of all L/C Obligations, plus such Lender’s Pro Rata Share of the Outstanding Amount of all Swing Line Loans shall not exceed such Lender’s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62" w:right="239" w:bottom="1440" w:gutter="0" w:footer="0" w:header="0"/>
        </w:sectPr>
      </w:pPr>
    </w:p>
    <w:bookmarkStart w:id="110" w:name="page111"/>
    <w:bookmarkEnd w:id="110"/>
    <w:p>
      <w:pPr>
        <w:ind w:left="-20" w:right="20" w:firstLine="440"/>
        <w:spacing w:after="0" w:line="286" w:lineRule="auto"/>
        <w:tabs>
          <w:tab w:leader="none" w:pos="66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the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$2,000,000,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 of the Borrower on the books of the Swing Line Lender in immediately available funds.</w:t>
      </w:r>
    </w:p>
    <w:p>
      <w:pPr>
        <w:spacing w:after="0" w:line="39" w:lineRule="exact"/>
        <w:rPr>
          <w:rFonts w:ascii="Arial" w:cs="Arial" w:eastAsia="Arial" w:hAnsi="Arial"/>
          <w:sz w:val="16"/>
          <w:szCs w:val="16"/>
          <w:color w:val="auto"/>
        </w:rPr>
      </w:pPr>
    </w:p>
    <w:p>
      <w:pPr>
        <w:ind w:left="660" w:hanging="240"/>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firstLine="886"/>
        <w:spacing w:after="0" w:line="270" w:lineRule="auto"/>
        <w:tabs>
          <w:tab w:leader="none" w:pos="1073"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The Swing Line Lender at any time in its sole and absolute discretion may request, on behalf of the Borrower (which hereby irrevocably authorizes the Swing Line Lender to so request on its behalf), that each Lender make a Base Rate Loan in an amount equal to such Lender’s Pro Rata Share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without regard to the minimum and multiples specified therein for the principal amount of Base Rate Loans, but subject to the unutilized portion of the Aggregate Commitments and the conditions set forth in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The Swing Line Lender shall furnish the Borrower with a copy of the applicable Loan Notice promptly after delivering such notice to the Administrative Agent. Each Lender shall make an amount equal to its Pro Rata Share of the amount specified in such Loan Notice available to the Administrative Agent in immediately available funds for the account of the Swing Line Lender at the Administrative Agent’s Office not later than 2:00 p.m. on the day specified in such Loan Notice, whereupon, subject to </w:t>
      </w:r>
      <w:r>
        <w:rPr>
          <w:rFonts w:ascii="Arial" w:cs="Arial" w:eastAsia="Arial" w:hAnsi="Arial"/>
          <w:sz w:val="17"/>
          <w:szCs w:val="17"/>
          <w:u w:val="single" w:color="auto"/>
          <w:color w:val="auto"/>
        </w:rPr>
        <w:t>Section 2.04(c)(ii)</w:t>
      </w:r>
      <w:r>
        <w:rPr>
          <w:rFonts w:ascii="Arial" w:cs="Arial" w:eastAsia="Arial" w:hAnsi="Arial"/>
          <w:sz w:val="17"/>
          <w:szCs w:val="17"/>
          <w:color w:val="auto"/>
        </w:rPr>
        <w:t>, each Lender that so makes funds available shall be deemed to have made a Base Rate Loan to the Borrower in such amount. The Administrative Agent shall remit the funds so received to the Swing Line Lender.</w:t>
      </w:r>
    </w:p>
    <w:p>
      <w:pPr>
        <w:spacing w:after="0" w:line="42" w:lineRule="exact"/>
        <w:rPr>
          <w:rFonts w:ascii="Arial" w:cs="Arial" w:eastAsia="Arial" w:hAnsi="Arial"/>
          <w:sz w:val="17"/>
          <w:szCs w:val="17"/>
          <w:color w:val="auto"/>
        </w:rPr>
      </w:pPr>
    </w:p>
    <w:p>
      <w:pPr>
        <w:ind w:left="-20" w:firstLine="886"/>
        <w:spacing w:after="0" w:line="259" w:lineRule="auto"/>
        <w:tabs>
          <w:tab w:leader="none" w:pos="1123"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such a Borrowing in accordance with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51" w:lineRule="exact"/>
        <w:rPr>
          <w:rFonts w:ascii="Arial" w:cs="Arial" w:eastAsia="Arial" w:hAnsi="Arial"/>
          <w:sz w:val="18"/>
          <w:szCs w:val="18"/>
          <w:color w:val="auto"/>
        </w:rPr>
      </w:pPr>
    </w:p>
    <w:p>
      <w:pPr>
        <w:ind w:left="-20" w:right="20" w:firstLine="886"/>
        <w:spacing w:after="0" w:line="264" w:lineRule="auto"/>
        <w:tabs>
          <w:tab w:leader="none" w:pos="1173"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2.04(c)(i)</w:t>
      </w:r>
      <w:r>
        <w:rPr>
          <w:rFonts w:ascii="Arial" w:cs="Arial" w:eastAsia="Arial" w:hAnsi="Arial"/>
          <w:sz w:val="18"/>
          <w:szCs w:val="18"/>
          <w:color w:val="auto"/>
        </w:rPr>
        <w:t>, the Swing Line Lender shall be entitled to recover from such Lender (acting through the Administrative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881" w:right="239" w:bottom="1440" w:gutter="0" w:footer="0" w:header="0"/>
        </w:sectPr>
      </w:pPr>
    </w:p>
    <w:bookmarkStart w:id="111" w:name="page112"/>
    <w:bookmarkEnd w:id="111"/>
    <w:p>
      <w:pPr>
        <w:ind w:firstLine="432"/>
        <w:spacing w:after="0" w:line="255" w:lineRule="auto"/>
        <w:rPr>
          <w:sz w:val="20"/>
          <w:szCs w:val="20"/>
          <w:color w:val="auto"/>
        </w:rPr>
      </w:pPr>
      <w:r>
        <w:rPr>
          <w:rFonts w:ascii="Arial" w:cs="Arial" w:eastAsia="Arial" w:hAnsi="Arial"/>
          <w:sz w:val="18"/>
          <w:szCs w:val="18"/>
          <w:color w:val="auto"/>
        </w:rPr>
        <w:t>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Loan included in the relevant Borrowing or funded participation in the relevant Swing Line Loan, as the case may be. A certificate of the Swing Line Lender submitted to any Lender (through the Administrative Agent) with respect to any amounts owing under this clause shall be conclusive absent manifest error.</w:t>
      </w:r>
    </w:p>
    <w:p>
      <w:pPr>
        <w:spacing w:after="0" w:line="54" w:lineRule="exact"/>
        <w:rPr>
          <w:sz w:val="20"/>
          <w:szCs w:val="20"/>
          <w:color w:val="auto"/>
        </w:rPr>
      </w:pPr>
    </w:p>
    <w:p>
      <w:pPr>
        <w:ind w:right="60" w:firstLine="886"/>
        <w:spacing w:after="0" w:line="293" w:lineRule="auto"/>
        <w:tabs>
          <w:tab w:leader="none" w:pos="1183"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Each Lender’s obligation to make Loans or to purchase and fund risk participations in Swing Line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4.03</w:t>
      </w:r>
      <w:r>
        <w:rPr>
          <w:rFonts w:ascii="Arial" w:cs="Arial" w:eastAsia="Arial" w:hAnsi="Arial"/>
          <w:sz w:val="16"/>
          <w:szCs w:val="16"/>
          <w:color w:val="auto"/>
        </w:rPr>
        <w:t>. No such funding of risk participations shall relieve or otherwise impair the obligation of the Borrower to repay Swing Line Loans, together with interest as provided herein.</w:t>
      </w:r>
    </w:p>
    <w:p>
      <w:pPr>
        <w:spacing w:after="0" w:line="29" w:lineRule="exact"/>
        <w:rPr>
          <w:rFonts w:ascii="Arial" w:cs="Arial" w:eastAsia="Arial" w:hAnsi="Arial"/>
          <w:sz w:val="16"/>
          <w:szCs w:val="16"/>
          <w:color w:val="auto"/>
        </w:rPr>
      </w:pPr>
    </w:p>
    <w:p>
      <w:pPr>
        <w:ind w:left="700" w:hanging="260"/>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60" w:firstLine="886"/>
        <w:spacing w:after="0" w:line="264" w:lineRule="auto"/>
        <w:tabs>
          <w:tab w:leader="none" w:pos="109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Pro Rata Share thereof in the same funds as those received by the Swing Line Lender.</w:t>
      </w:r>
    </w:p>
    <w:p>
      <w:pPr>
        <w:spacing w:after="0" w:line="46" w:lineRule="exact"/>
        <w:rPr>
          <w:rFonts w:ascii="Arial" w:cs="Arial" w:eastAsia="Arial" w:hAnsi="Arial"/>
          <w:sz w:val="18"/>
          <w:szCs w:val="18"/>
          <w:color w:val="auto"/>
        </w:rPr>
      </w:pPr>
    </w:p>
    <w:p>
      <w:pPr>
        <w:jc w:val="both"/>
        <w:ind w:right="40" w:firstLine="886"/>
        <w:spacing w:after="0" w:line="255" w:lineRule="auto"/>
        <w:tabs>
          <w:tab w:leader="none" w:pos="1143"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58" w:lineRule="exact"/>
        <w:rPr>
          <w:rFonts w:ascii="Arial" w:cs="Arial" w:eastAsia="Arial" w:hAnsi="Arial"/>
          <w:sz w:val="18"/>
          <w:szCs w:val="18"/>
          <w:color w:val="auto"/>
        </w:rPr>
      </w:pPr>
    </w:p>
    <w:p>
      <w:pPr>
        <w:ind w:right="80" w:firstLine="440"/>
        <w:spacing w:after="0" w:line="264" w:lineRule="auto"/>
        <w:tabs>
          <w:tab w:leader="none" w:pos="67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Borrower for interest on the Swing Line Loans. Until each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Pro Rata Share of any Swing Line Loan, interest in respect of such Pro Rata Share shall be solely for the account of the Swing Line Lender.</w:t>
      </w:r>
    </w:p>
    <w:p>
      <w:pPr>
        <w:spacing w:after="0" w:line="46" w:lineRule="exact"/>
        <w:rPr>
          <w:rFonts w:ascii="Arial" w:cs="Arial" w:eastAsia="Arial" w:hAnsi="Arial"/>
          <w:sz w:val="18"/>
          <w:szCs w:val="18"/>
          <w:color w:val="auto"/>
        </w:rPr>
      </w:pPr>
    </w:p>
    <w:p>
      <w:pPr>
        <w:ind w:right="600" w:firstLine="440"/>
        <w:spacing w:after="0" w:line="277" w:lineRule="auto"/>
        <w:tabs>
          <w:tab w:leader="none" w:pos="65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81" w:right="239" w:bottom="1440" w:gutter="0" w:footer="0" w:header="0"/>
        </w:sectPr>
      </w:pPr>
    </w:p>
    <w:bookmarkStart w:id="112" w:name="page113"/>
    <w:bookmarkEnd w:id="112"/>
    <w:p>
      <w:pPr>
        <w:ind w:left="42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b w:val="1"/>
          <w:bCs w:val="1"/>
          <w:color w:val="auto"/>
        </w:rPr>
        <w:t>Prepayments.</w:t>
      </w:r>
    </w:p>
    <w:p>
      <w:pPr>
        <w:spacing w:after="0" w:line="94" w:lineRule="exact"/>
        <w:rPr>
          <w:sz w:val="20"/>
          <w:szCs w:val="20"/>
          <w:color w:val="auto"/>
        </w:rPr>
      </w:pPr>
    </w:p>
    <w:p>
      <w:pPr>
        <w:ind w:left="660" w:hanging="24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40" w:firstLine="886"/>
        <w:spacing w:after="0" w:line="288" w:lineRule="auto"/>
        <w:tabs>
          <w:tab w:leader="none" w:pos="1073"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The Borrower may, upon notice to the Administrative Agent, at any time or from time to time voluntarily prepay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Administrative Agent not later than 11:00 a.m. (A) three Business Days prior to any date of prepayment of Eurodollar Rate Loans and (B) on the date of prepayment of Base Rate Loans; (ii) any prepayment of Eurodollar Rate Loans shall be in a principal amount of $5,000,000 or a whole multiple of $1,000,000 in excess thereof; and (iii) any prepayment of Base Rate Loans shall be in a principal amount of $2,000,000 or a whole multiple of $500,000 in excess thereof; or, in each case, if less, the entire principal amount thereof then outstanding. Each such notice shall specify the date and amount of such prepayment and the Type(s) of Loans to be prepaid. The Administrative Agent will promptly notify each Lender of its receipt of each such notice, and of the amount of such Lender’s Pro Rata Share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thereon,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Each such prepayment shall be applied to the Loans of the Lenders in accordance with their respective Pro Rata Shares.</w:t>
      </w:r>
    </w:p>
    <w:p>
      <w:pPr>
        <w:spacing w:after="0" w:line="34" w:lineRule="exact"/>
        <w:rPr>
          <w:rFonts w:ascii="Arial" w:cs="Arial" w:eastAsia="Arial" w:hAnsi="Arial"/>
          <w:sz w:val="16"/>
          <w:szCs w:val="16"/>
          <w:color w:val="auto"/>
        </w:rPr>
      </w:pPr>
    </w:p>
    <w:p>
      <w:pPr>
        <w:ind w:left="-20" w:firstLine="886"/>
        <w:spacing w:after="0" w:line="273" w:lineRule="auto"/>
        <w:tabs>
          <w:tab w:leader="none" w:pos="1123"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notice must be received by the Swing Line Lender and the Administrative Agent not later than 1:00 p.m. on the date of the prepayment, and (B) any such prepayment shall be in a minimum principal amount of $2,000,000 or a whole multiple of $500,000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43" w:lineRule="exact"/>
        <w:rPr>
          <w:rFonts w:ascii="Arial" w:cs="Arial" w:eastAsia="Arial" w:hAnsi="Arial"/>
          <w:sz w:val="17"/>
          <w:szCs w:val="17"/>
          <w:color w:val="auto"/>
        </w:rPr>
      </w:pPr>
    </w:p>
    <w:p>
      <w:pPr>
        <w:ind w:left="680" w:hanging="260"/>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20" w:firstLine="886"/>
        <w:spacing w:after="0" w:line="279" w:lineRule="auto"/>
        <w:tabs>
          <w:tab w:leader="none" w:pos="1073"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If for any reason the Total Outstandings at any time exceed the Aggregate Commitments then in effect, the Borrower shall immediately prepay or repay all outstanding Loans and Swing Line Loans and/or Cash Collateralize the L/C Obligations in an aggregate amount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shall not be required to Cash Collateralize the L/C Obligations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unless after the prepayment in full of the Loans and the Swing Line Loans, the Total Outstandings exceed the Aggregate Commitments then in effect.</w:t>
      </w:r>
    </w:p>
    <w:p>
      <w:pPr>
        <w:spacing w:after="0" w:line="36" w:lineRule="exact"/>
        <w:rPr>
          <w:rFonts w:ascii="Arial" w:cs="Arial" w:eastAsia="Arial" w:hAnsi="Arial"/>
          <w:sz w:val="17"/>
          <w:szCs w:val="17"/>
          <w:color w:val="auto"/>
        </w:rPr>
      </w:pPr>
    </w:p>
    <w:p>
      <w:pPr>
        <w:ind w:left="-20" w:right="40" w:firstLine="886"/>
        <w:spacing w:after="0" w:line="259" w:lineRule="auto"/>
        <w:tabs>
          <w:tab w:leader="none" w:pos="11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To the extent that the aggregate amount of Net Cash Proceeds of Asset Sales and Net Cash Proceeds of Casualty Events received by all Loan Parties and Restricted Subsidiaries in a fiscal year exceeds five percent (5%) of Consolidated Net Tangible Assets of the Parent Guarantor as of the end of the most recently ended fiscal year, the Borrower shall apply an amount equal to 100% of such excess Net Cash Proceeds to prepay outstanding Loans and/or Cash Collateralize outstanding Letters of Credit in accordance with </w:t>
      </w:r>
      <w:r>
        <w:rPr>
          <w:rFonts w:ascii="Arial" w:cs="Arial" w:eastAsia="Arial" w:hAnsi="Arial"/>
          <w:sz w:val="18"/>
          <w:szCs w:val="18"/>
          <w:u w:val="single" w:color="auto"/>
          <w:color w:val="auto"/>
        </w:rPr>
        <w:t>Section 2.05(b)(iv)</w:t>
      </w:r>
      <w:r>
        <w:rPr>
          <w:rFonts w:ascii="Arial" w:cs="Arial" w:eastAsia="Arial" w:hAnsi="Arial"/>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60" w:top="877" w:right="259" w:bottom="1440" w:gutter="0" w:footer="0" w:header="0"/>
        </w:sectPr>
      </w:pPr>
    </w:p>
    <w:bookmarkStart w:id="113" w:name="page114"/>
    <w:bookmarkEnd w:id="113"/>
    <w:p>
      <w:pPr>
        <w:ind w:firstLine="886"/>
        <w:spacing w:after="0" w:line="257" w:lineRule="auto"/>
        <w:tabs>
          <w:tab w:leader="none" w:pos="11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In the event that the Parent Guarantor, the Borrower or any Restricted Subsidiary shall receive Net Cash Proceeds from the issuance or incurrence of Indebtedness for money borrowed (other than any cash proceeds from the issuance of Indebtedness permitted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the Borrower shall within three Business Day following the receipt of such Net Cash Proceeds by the Parent Guarantor, the Borrower or such Restricted Subsidiary, apply an amount equal to 100% of such Net Cash Proceeds to prepay outstanding Loans and/or Cash Collateralize outstanding Letters of Credit in accordance with </w:t>
      </w:r>
      <w:r>
        <w:rPr>
          <w:rFonts w:ascii="Arial" w:cs="Arial" w:eastAsia="Arial" w:hAnsi="Arial"/>
          <w:sz w:val="18"/>
          <w:szCs w:val="18"/>
          <w:u w:val="single" w:color="auto"/>
          <w:color w:val="auto"/>
        </w:rPr>
        <w:t>Section 2.05(b)(iv)</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right="40" w:firstLine="886"/>
        <w:spacing w:after="0" w:line="277" w:lineRule="auto"/>
        <w:tabs>
          <w:tab w:leader="none" w:pos="1183"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Mandatory prepayments under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applied first, to outstanding Loans and, second, to Cash Collateralize outstanding Letters of Credit on a pro rata basis, in each case, with no corresponding permanent reduction of the Commitments.</w:t>
      </w:r>
    </w:p>
    <w:p>
      <w:pPr>
        <w:spacing w:after="0" w:line="35" w:lineRule="exact"/>
        <w:rPr>
          <w:rFonts w:ascii="Arial" w:cs="Arial" w:eastAsia="Arial" w:hAnsi="Arial"/>
          <w:sz w:val="18"/>
          <w:szCs w:val="18"/>
          <w:color w:val="auto"/>
        </w:rPr>
      </w:pPr>
    </w:p>
    <w:p>
      <w:pPr>
        <w:ind w:right="320" w:firstLine="886"/>
        <w:spacing w:after="0" w:line="342" w:lineRule="auto"/>
        <w:tabs>
          <w:tab w:leader="none" w:pos="1133"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Prepayments of Loans under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to the extent interest is required to be paid pursuant to </w:t>
      </w:r>
      <w:r>
        <w:rPr>
          <w:rFonts w:ascii="Arial" w:cs="Arial" w:eastAsia="Arial" w:hAnsi="Arial"/>
          <w:sz w:val="16"/>
          <w:szCs w:val="16"/>
          <w:u w:val="single" w:color="auto"/>
          <w:color w:val="auto"/>
        </w:rPr>
        <w:t>Section 2.08(c)</w:t>
      </w:r>
      <w:r>
        <w:rPr>
          <w:rFonts w:ascii="Arial" w:cs="Arial" w:eastAsia="Arial" w:hAnsi="Arial"/>
          <w:sz w:val="16"/>
          <w:szCs w:val="16"/>
          <w:color w:val="auto"/>
        </w:rPr>
        <w:t>, shall be accompanied by accrued and unpaid interest on the principal amount to be prepaid to but excluding the date of payment.</w:t>
      </w:r>
    </w:p>
    <w:p>
      <w:pPr>
        <w:spacing w:after="0" w:line="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 xml:space="preserve">2.06 </w:t>
      </w:r>
      <w:r>
        <w:rPr>
          <w:rFonts w:ascii="Arial" w:cs="Arial" w:eastAsia="Arial" w:hAnsi="Arial"/>
          <w:sz w:val="17"/>
          <w:szCs w:val="17"/>
          <w:b w:val="1"/>
          <w:bCs w:val="1"/>
          <w:color w:val="auto"/>
        </w:rPr>
        <w:t>Termination or Reduction of Commitments.</w:t>
      </w:r>
      <w:r>
        <w:rPr>
          <w:rFonts w:ascii="Arial" w:cs="Arial" w:eastAsia="Arial" w:hAnsi="Arial"/>
          <w:sz w:val="17"/>
          <w:szCs w:val="17"/>
          <w:color w:val="auto"/>
        </w:rPr>
        <w:t xml:space="preserve"> The Borrower may, upon notice to the Administrative Agent, terminate the Aggregate Commitments, the Letter of Credit Sublimit or the Swing Line Sublimit, or from time to time permanently reduce the Aggregate Commitments, the Letter of Credit Sublimit or the Swing Line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the Administrative Agent not later than 11:00 a.m. three Business Days prior to the date of termination or reduction, (ii) any such partial reduction shall be in an aggregate amount of $5,000,000 or any whole multiple of $1,000,000 in excess thereof, (iii) the Borrower shall not terminate or reduce the (A) Aggregate Commitments if, after giving effect thereto and to any concurrent prepayments hereunder, the Total Outstandings would exceed the Aggregate Commitments,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and (iv) if, after giving effect to any reduction of the Aggregate Commitments, the Letter of Credit Sublimit or the Swing Line Sublimit, as applicable, exceeds the amount of the Aggregate Commitments, the Letter of Credit Sublimit or the Swing Line Sublimit, as applicable, shall be automatically reduced by the amount of such excess. The Administrative Agent will promptly notify the Lenders of any such notice of termination or reduction of the Aggregate Commitments. Any reduction of the Aggregate Commitments shall be applied to the Commitment of each Lender according to its Pro Rata Share. All fees accrued until the effective date of any termination of the Aggregate Commitments shall be paid on the effective date of such termination. Any reduction of the Letter of Credit Sublimit shall be applied to reduce the L/C Commitments of the L/C Issuers on a pro rata basis among them, unless otherwise agreed by the Borrower and all L/C Issuers.</w:t>
      </w:r>
    </w:p>
    <w:p>
      <w:pPr>
        <w:spacing w:after="0" w:line="129" w:lineRule="exact"/>
        <w:rPr>
          <w:sz w:val="20"/>
          <w:szCs w:val="20"/>
          <w:color w:val="auto"/>
        </w:rPr>
      </w:pPr>
    </w:p>
    <w:p>
      <w:pPr>
        <w:ind w:right="200" w:firstLine="432"/>
        <w:spacing w:after="0" w:line="266"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b w:val="1"/>
          <w:bCs w:val="1"/>
          <w:color w:val="auto"/>
        </w:rPr>
        <w:t>Repayment of Loans and Swing Line Loans.</w:t>
      </w:r>
      <w:r>
        <w:rPr>
          <w:rFonts w:ascii="Arial" w:cs="Arial" w:eastAsia="Arial" w:hAnsi="Arial"/>
          <w:sz w:val="18"/>
          <w:szCs w:val="18"/>
          <w:color w:val="auto"/>
        </w:rPr>
        <w:t xml:space="preserve"> The Borrower shall repay to the Lenders on the Maturity Date the aggregate principal amount of Loans outstanding on such date. The Borrower shall repay to the Swing Line Lender the aggregate principal amount of each Swing Line Loan on the fifth Business Day after such Swing Line Loan is made.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b w:val="1"/>
          <w:bCs w:val="1"/>
          <w:color w:val="auto"/>
        </w:rPr>
        <w:t>Interest.</w:t>
      </w:r>
    </w:p>
    <w:p>
      <w:pPr>
        <w:spacing w:after="0" w:line="94" w:lineRule="exact"/>
        <w:rPr>
          <w:sz w:val="20"/>
          <w:szCs w:val="20"/>
          <w:color w:val="auto"/>
        </w:rPr>
      </w:pPr>
    </w:p>
    <w:p>
      <w:pPr>
        <w:ind w:right="180" w:firstLine="440"/>
        <w:spacing w:after="0" w:line="334" w:lineRule="auto"/>
        <w:tabs>
          <w:tab w:leader="none" w:pos="677"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(i) each Eurodollar Rate Loan shall bear interest on the outstanding principal amount thereof for each Interest Period at a rate per annum equal to the Eurodollar Rate for such Interest Period plus the Applicable Rate; (ii) each Base Rate Loan shall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881" w:right="279" w:bottom="1440" w:gutter="0" w:footer="0" w:header="0"/>
        </w:sectPr>
      </w:pPr>
    </w:p>
    <w:bookmarkStart w:id="114" w:name="page115"/>
    <w:bookmarkEnd w:id="114"/>
    <w:p>
      <w:pPr>
        <w:jc w:val="both"/>
        <w:ind w:right="180"/>
        <w:spacing w:after="0" w:line="264" w:lineRule="auto"/>
        <w:rPr>
          <w:sz w:val="20"/>
          <w:szCs w:val="20"/>
          <w:color w:val="auto"/>
        </w:rPr>
      </w:pPr>
      <w:r>
        <w:rPr>
          <w:rFonts w:ascii="Arial" w:cs="Arial" w:eastAsia="Arial" w:hAnsi="Arial"/>
          <w:sz w:val="18"/>
          <w:szCs w:val="18"/>
          <w:color w:val="auto"/>
        </w:rPr>
        <w:t>bear interest on the outstanding principal amount thereof from the applicable borrowing date at a rate per annum equal to the Base Rate plus the Applicable Rate; and (iii) each Swing Line Loan shall bear interest on the Outstanding Amount thereof from the applicable borrowing date at a rate per annum equal to the Swing Line Rate.</w:t>
      </w:r>
    </w:p>
    <w:p>
      <w:pPr>
        <w:spacing w:after="0" w:line="46" w:lineRule="exact"/>
        <w:rPr>
          <w:sz w:val="20"/>
          <w:szCs w:val="20"/>
          <w:color w:val="auto"/>
        </w:rPr>
      </w:pPr>
    </w:p>
    <w:p>
      <w:pPr>
        <w:ind w:right="20" w:firstLine="440"/>
        <w:spacing w:after="0" w:line="264"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If any amount of principal of any Loan or Swing Line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46" w:lineRule="exact"/>
        <w:rPr>
          <w:rFonts w:ascii="Arial" w:cs="Arial" w:eastAsia="Arial" w:hAnsi="Arial"/>
          <w:sz w:val="18"/>
          <w:szCs w:val="18"/>
          <w:color w:val="auto"/>
        </w:rPr>
      </w:pPr>
    </w:p>
    <w:p>
      <w:pPr>
        <w:ind w:right="80" w:firstLine="886"/>
        <w:spacing w:after="0" w:line="259" w:lineRule="auto"/>
        <w:tabs>
          <w:tab w:leader="none" w:pos="1143"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any amount (other than principal of any Loan or Swing Line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51" w:lineRule="exact"/>
        <w:rPr>
          <w:rFonts w:ascii="Arial" w:cs="Arial" w:eastAsia="Arial" w:hAnsi="Arial"/>
          <w:sz w:val="18"/>
          <w:szCs w:val="18"/>
          <w:color w:val="auto"/>
        </w:rPr>
      </w:pPr>
    </w:p>
    <w:p>
      <w:pPr>
        <w:ind w:firstLine="886"/>
        <w:spacing w:after="0" w:line="334" w:lineRule="auto"/>
        <w:tabs>
          <w:tab w:leader="none" w:pos="1193" w:val="left"/>
        </w:tabs>
        <w:numPr>
          <w:ilvl w:val="1"/>
          <w:numId w:val="81"/>
        </w:numPr>
        <w:rPr>
          <w:rFonts w:ascii="Arial" w:cs="Arial" w:eastAsia="Arial" w:hAnsi="Arial"/>
          <w:sz w:val="16"/>
          <w:szCs w:val="16"/>
          <w:color w:val="auto"/>
        </w:rPr>
      </w:pPr>
      <w:r>
        <w:rPr>
          <w:rFonts w:ascii="Arial" w:cs="Arial" w:eastAsia="Arial" w:hAnsi="Arial"/>
          <w:sz w:val="16"/>
          <w:szCs w:val="16"/>
          <w:color w:val="auto"/>
        </w:rPr>
        <w:t>Upon the request of the Required Lenders, while any Event of Default exists, the Borrower shall pay interest on the amount of all outstanding Obligations hereunder at a fluctuating interest rate per annum at all times equal to the Default Rate to the fullest extent permitted by applicable Laws.</w:t>
      </w:r>
    </w:p>
    <w:p>
      <w:pPr>
        <w:spacing w:after="0" w:line="1" w:lineRule="exact"/>
        <w:rPr>
          <w:rFonts w:ascii="Arial" w:cs="Arial" w:eastAsia="Arial" w:hAnsi="Arial"/>
          <w:sz w:val="16"/>
          <w:szCs w:val="16"/>
          <w:color w:val="auto"/>
        </w:rPr>
      </w:pPr>
    </w:p>
    <w:p>
      <w:pPr>
        <w:ind w:left="1200" w:hanging="314"/>
        <w:spacing w:after="0"/>
        <w:tabs>
          <w:tab w:leader="none" w:pos="120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101" w:lineRule="exact"/>
        <w:rPr>
          <w:rFonts w:ascii="Arial" w:cs="Arial" w:eastAsia="Arial" w:hAnsi="Arial"/>
          <w:sz w:val="17"/>
          <w:szCs w:val="17"/>
          <w:color w:val="auto"/>
        </w:rPr>
      </w:pPr>
    </w:p>
    <w:p>
      <w:pPr>
        <w:ind w:right="120" w:firstLine="440"/>
        <w:spacing w:after="0" w:line="302" w:lineRule="auto"/>
        <w:tabs>
          <w:tab w:leader="none" w:pos="6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Interest on each Loan and Swing Line Loan shall be due and payable in arrears on each Interest Payment Date applicable thereto and at such other times as may be specified herein. In the event of any repayment or prepayment of any Loan other than a Base Rate Loan or a Swing Line Loan, accrued interest on the principal amount repaid or prepaid shall be payable on the date of such repayment or prepayment. Interest hereunder shall be due and payable in accordance with the terms hereof before and after judgment, and before and after the commencement of any proceeding under any Debtor Relief Law.</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b w:val="1"/>
          <w:bCs w:val="1"/>
          <w:color w:val="auto"/>
        </w:rPr>
        <w:t>Fees.</w:t>
      </w:r>
      <w:r>
        <w:rPr>
          <w:rFonts w:ascii="Arial" w:cs="Arial" w:eastAsia="Arial" w:hAnsi="Arial"/>
          <w:sz w:val="18"/>
          <w:szCs w:val="18"/>
          <w:color w:val="auto"/>
        </w:rPr>
        <w:t xml:space="preserve"> In addition to certain fees described in </w:t>
      </w:r>
      <w:r>
        <w:rPr>
          <w:rFonts w:ascii="Arial" w:cs="Arial" w:eastAsia="Arial" w:hAnsi="Arial"/>
          <w:sz w:val="18"/>
          <w:szCs w:val="18"/>
          <w:u w:val="single" w:color="auto"/>
          <w:color w:val="auto"/>
        </w:rPr>
        <w:t>subsections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94" w:lineRule="exact"/>
        <w:rPr>
          <w:sz w:val="20"/>
          <w:szCs w:val="20"/>
          <w:color w:val="auto"/>
        </w:rPr>
      </w:pPr>
    </w:p>
    <w:p>
      <w:pPr>
        <w:ind w:right="40" w:firstLine="440"/>
        <w:spacing w:after="0" w:line="290" w:lineRule="auto"/>
        <w:tabs>
          <w:tab w:leader="none" w:pos="67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The Borrower shall pay to the Administrative Agent for the account of each Lender in accordance with its Pro Rata Share, a commitment fee equal to the Applicable Rate times the actual daily amount by which the Aggregate Commitments exceed the sum of (i) the Outstanding Amount of Loans (for the avoidance of doubt, other than the Swing Line Loans) and (ii) the Outstanding Amount of L/C Obligations. The commitment fee shall accrue at all times during the Availability Period,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quarterly in arrears (i) promptly after Borrower receives notice of the amount of such commitment fee for such quarter, but not earlier than the last Business Day of each March, June, September and December, commencing with the first such date to occur after the Closing Date, and (ii) on the Maturity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881" w:right="259" w:bottom="1440" w:gutter="0" w:footer="0" w:header="0"/>
        </w:sectPr>
      </w:pPr>
    </w:p>
    <w:bookmarkStart w:id="115" w:name="page116"/>
    <w:bookmarkEnd w:id="115"/>
    <w:p>
      <w:pPr>
        <w:ind w:left="660" w:hanging="260"/>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140" w:firstLine="886"/>
        <w:spacing w:after="0" w:line="308" w:lineRule="auto"/>
        <w:tabs>
          <w:tab w:leader="none" w:pos="1053"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Borrower shall pay to the Arrangers and the Administrative Agent for their own respective accounts fees in the amounts and at the times specified in the Fee Letters. Such fees shall be fully earned when paid and shall not be refundable for any reason whatsoever.</w:t>
      </w:r>
    </w:p>
    <w:p>
      <w:pPr>
        <w:spacing w:after="0" w:line="11" w:lineRule="exact"/>
        <w:rPr>
          <w:rFonts w:ascii="Arial" w:cs="Arial" w:eastAsia="Arial" w:hAnsi="Arial"/>
          <w:sz w:val="17"/>
          <w:szCs w:val="17"/>
          <w:color w:val="auto"/>
        </w:rPr>
      </w:pPr>
    </w:p>
    <w:p>
      <w:pPr>
        <w:ind w:left="-40" w:right="460" w:firstLine="886"/>
        <w:spacing w:after="0" w:line="277" w:lineRule="auto"/>
        <w:tabs>
          <w:tab w:leader="none" w:pos="1103"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Computation of Interest and Fees.</w:t>
      </w:r>
    </w:p>
    <w:p>
      <w:pPr>
        <w:spacing w:after="0" w:line="94" w:lineRule="exact"/>
        <w:rPr>
          <w:sz w:val="20"/>
          <w:szCs w:val="20"/>
          <w:color w:val="auto"/>
        </w:rPr>
      </w:pPr>
    </w:p>
    <w:p>
      <w:pPr>
        <w:ind w:left="-40" w:right="120" w:firstLine="440"/>
        <w:spacing w:after="0" w:line="297" w:lineRule="auto"/>
        <w:tabs>
          <w:tab w:leader="none" w:pos="63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All computations of interest for Base Rate Loans when the Base Rate is determined by Wells Fargo Bank’s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w:t>
      </w:r>
    </w:p>
    <w:p>
      <w:pPr>
        <w:spacing w:after="0" w:line="23" w:lineRule="exact"/>
        <w:rPr>
          <w:rFonts w:ascii="Arial" w:cs="Arial" w:eastAsia="Arial" w:hAnsi="Arial"/>
          <w:sz w:val="16"/>
          <w:szCs w:val="16"/>
          <w:color w:val="auto"/>
        </w:rPr>
      </w:pPr>
    </w:p>
    <w:p>
      <w:pPr>
        <w:ind w:left="-40" w:right="160" w:firstLine="440"/>
        <w:spacing w:after="0" w:line="270" w:lineRule="auto"/>
        <w:tabs>
          <w:tab w:leader="none" w:pos="647"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the L/C Issuers or the Swing Line Lender,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any L/C Issuer or the Swing Line Lender), an amount equal to the excess of the amount of interest and fees that should have been paid for such period over the amount of interest and fees actually paid for such period. This paragraph shall not limit the rights of the Administrative Agent, any Lender, any L/C Issuer or the Swing Line Lender, as the case may be, under </w:t>
      </w:r>
      <w:r>
        <w:rPr>
          <w:rFonts w:ascii="Arial" w:cs="Arial" w:eastAsia="Arial" w:hAnsi="Arial"/>
          <w:sz w:val="17"/>
          <w:szCs w:val="17"/>
          <w:u w:val="single" w:color="auto"/>
          <w:color w:val="auto"/>
        </w:rPr>
        <w:t>Section 2.03(c)(iii)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2.08(b)</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Evidence of Debt.</w:t>
      </w:r>
    </w:p>
    <w:p>
      <w:pPr>
        <w:spacing w:after="0" w:line="94" w:lineRule="exact"/>
        <w:rPr>
          <w:sz w:val="20"/>
          <w:szCs w:val="20"/>
          <w:color w:val="auto"/>
        </w:rPr>
      </w:pPr>
    </w:p>
    <w:p>
      <w:pPr>
        <w:ind w:left="-40" w:firstLine="440"/>
        <w:spacing w:after="0" w:line="270" w:lineRule="auto"/>
        <w:tabs>
          <w:tab w:leader="none" w:pos="637"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80" w:top="881" w:right="259" w:bottom="1440" w:gutter="0" w:footer="0" w:header="0"/>
        </w:sectPr>
      </w:pPr>
    </w:p>
    <w:bookmarkStart w:id="116" w:name="page117"/>
    <w:bookmarkEnd w:id="116"/>
    <w:p>
      <w:pPr>
        <w:ind w:firstLine="440"/>
        <w:spacing w:after="0" w:line="259" w:lineRule="auto"/>
        <w:tabs>
          <w:tab w:leader="none" w:pos="6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In addition to the accounts and records referred to in </w:t>
      </w:r>
      <w:r>
        <w:rPr>
          <w:rFonts w:ascii="Arial" w:cs="Arial" w:eastAsia="Arial" w:hAnsi="Arial"/>
          <w:sz w:val="18"/>
          <w:szCs w:val="18"/>
          <w:u w:val="single" w:color="auto"/>
          <w:color w:val="auto"/>
        </w:rPr>
        <w:t>subsection (a)</w:t>
      </w:r>
      <w:r>
        <w:rPr>
          <w:rFonts w:ascii="Arial" w:cs="Arial" w:eastAsia="Arial" w:hAnsi="Arial"/>
          <w:sz w:val="18"/>
          <w:szCs w:val="18"/>
          <w:color w:val="auto"/>
        </w:rPr>
        <w:t>,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Payments Generally.</w:t>
      </w:r>
    </w:p>
    <w:p>
      <w:pPr>
        <w:spacing w:after="0" w:line="94" w:lineRule="exact"/>
        <w:rPr>
          <w:sz w:val="20"/>
          <w:szCs w:val="20"/>
          <w:color w:val="auto"/>
        </w:rPr>
      </w:pPr>
    </w:p>
    <w:p>
      <w:pPr>
        <w:ind w:right="120" w:firstLine="440"/>
        <w:spacing w:after="0" w:line="255" w:lineRule="auto"/>
        <w:tabs>
          <w:tab w:leader="none" w:pos="6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payments to be made by any Loan Party hereunder or under any other Loan Document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Pro Rata Share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w:t>
      </w:r>
    </w:p>
    <w:p>
      <w:pPr>
        <w:spacing w:after="0" w:line="54" w:lineRule="exact"/>
        <w:rPr>
          <w:rFonts w:ascii="Arial" w:cs="Arial" w:eastAsia="Arial" w:hAnsi="Arial"/>
          <w:sz w:val="18"/>
          <w:szCs w:val="18"/>
          <w:color w:val="auto"/>
        </w:rPr>
      </w:pPr>
    </w:p>
    <w:p>
      <w:pPr>
        <w:ind w:right="280" w:firstLine="440"/>
        <w:spacing w:after="0" w:line="334" w:lineRule="auto"/>
        <w:tabs>
          <w:tab w:leader="none" w:pos="687"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any payment to be made by any Loan Party hereunder or under any other Loan Document shall come due on a day other than a Business Day, payment shall be made on the next following Business Day, and such extension of time shall be reflected in computing interest or fees, as the case may be.</w:t>
      </w:r>
    </w:p>
    <w:p>
      <w:pPr>
        <w:spacing w:after="0" w:line="1" w:lineRule="exact"/>
        <w:rPr>
          <w:rFonts w:ascii="Arial" w:cs="Arial" w:eastAsia="Arial" w:hAnsi="Arial"/>
          <w:sz w:val="16"/>
          <w:szCs w:val="16"/>
          <w:color w:val="auto"/>
        </w:rPr>
      </w:pPr>
    </w:p>
    <w:p>
      <w:pPr>
        <w:ind w:right="40" w:firstLine="440"/>
        <w:spacing w:after="0" w:line="286" w:lineRule="auto"/>
        <w:tabs>
          <w:tab w:leader="none" w:pos="67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(i)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36" w:lineRule="exact"/>
        <w:rPr>
          <w:rFonts w:ascii="Arial" w:cs="Arial" w:eastAsia="Arial" w:hAnsi="Arial"/>
          <w:sz w:val="16"/>
          <w:szCs w:val="16"/>
          <w:color w:val="auto"/>
        </w:rPr>
      </w:pPr>
    </w:p>
    <w:p>
      <w:pPr>
        <w:ind w:right="240" w:firstLine="886"/>
        <w:spacing w:after="0" w:line="264" w:lineRule="auto"/>
        <w:tabs>
          <w:tab w:leader="none" w:pos="1143" w:val="left"/>
        </w:tabs>
        <w:numPr>
          <w:ilvl w:val="1"/>
          <w:numId w:val="87"/>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81" w:right="239" w:bottom="1440" w:gutter="0" w:footer="0" w:header="0"/>
        </w:sectPr>
      </w:pPr>
    </w:p>
    <w:bookmarkStart w:id="117" w:name="page118"/>
    <w:bookmarkEnd w:id="117"/>
    <w:p>
      <w:pPr>
        <w:ind w:right="60"/>
        <w:spacing w:after="0" w:line="276" w:lineRule="auto"/>
        <w:rPr>
          <w:sz w:val="20"/>
          <w:szCs w:val="20"/>
          <w:color w:val="auto"/>
        </w:rPr>
      </w:pPr>
      <w:r>
        <w:rPr>
          <w:rFonts w:ascii="Arial" w:cs="Arial" w:eastAsia="Arial" w:hAnsi="Arial"/>
          <w:sz w:val="17"/>
          <w:szCs w:val="17"/>
          <w:color w:val="auto"/>
        </w:rPr>
        <w:t>reliance upon such assumption, distribute to the Lenders or the L/C Issuers, as the case may be, the amount due. In such event, if the Borrower has not in fact made such payment, then each Lender or L/C Issuer, as the case may be, severally agrees to repay to the Administrative Agent forthwith on demand the amount so distributed to such Lender or such L/C Issuer,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1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shall be conclusive, absent manifest error.</w:t>
      </w:r>
    </w:p>
    <w:p>
      <w:pPr>
        <w:spacing w:after="0" w:line="35" w:lineRule="exact"/>
        <w:rPr>
          <w:sz w:val="20"/>
          <w:szCs w:val="20"/>
          <w:color w:val="auto"/>
        </w:rPr>
      </w:pPr>
    </w:p>
    <w:p>
      <w:pPr>
        <w:ind w:right="20" w:firstLine="440"/>
        <w:spacing w:after="0" w:line="259" w:lineRule="auto"/>
        <w:tabs>
          <w:tab w:leader="none" w:pos="687"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such funds are not made available to the Borrower by the Administrative Agent because the conditions to the applicable Credit Extension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51" w:lineRule="exact"/>
        <w:rPr>
          <w:rFonts w:ascii="Arial" w:cs="Arial" w:eastAsia="Arial" w:hAnsi="Arial"/>
          <w:sz w:val="18"/>
          <w:szCs w:val="18"/>
          <w:color w:val="auto"/>
        </w:rPr>
      </w:pPr>
    </w:p>
    <w:p>
      <w:pPr>
        <w:ind w:left="680" w:hanging="240"/>
        <w:spacing w:after="0"/>
        <w:tabs>
          <w:tab w:leader="none" w:pos="6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obligations of the Lenders hereunder to make Loans, to fund participations in Letters of Credit and to make payments pursuant to </w:t>
      </w:r>
      <w:r>
        <w:rPr>
          <w:rFonts w:ascii="Arial" w:cs="Arial" w:eastAsia="Arial" w:hAnsi="Arial"/>
          <w:sz w:val="17"/>
          <w:szCs w:val="17"/>
          <w:u w:val="single" w:color="auto"/>
          <w:color w:val="auto"/>
        </w:rPr>
        <w:t>Section</w:t>
      </w:r>
    </w:p>
    <w:p>
      <w:pPr>
        <w:spacing w:after="0" w:line="35"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u w:val="single" w:color="auto"/>
          <w:color w:val="auto"/>
        </w:rPr>
        <w:t>11.04(c)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38" w:lineRule="exact"/>
        <w:rPr>
          <w:sz w:val="20"/>
          <w:szCs w:val="20"/>
          <w:color w:val="auto"/>
        </w:rPr>
      </w:pPr>
    </w:p>
    <w:p>
      <w:pPr>
        <w:ind w:right="760" w:firstLine="440"/>
        <w:spacing w:after="0" w:line="308" w:lineRule="auto"/>
        <w:tabs>
          <w:tab w:leader="none" w:pos="657"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Nothing herein shall be deemed to obligate any Lender to obtain the funds for any Loan in any particular place or manner or to constitute a representation by any Lender that it has obtained or it will obtain the funds for any Loan in any particular place or manner.</w:t>
      </w:r>
    </w:p>
    <w:p>
      <w:pPr>
        <w:spacing w:after="0" w:line="8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color w:val="auto"/>
        </w:rPr>
        <w:t>Sharing of Payments by Lenders.</w:t>
      </w:r>
      <w:r>
        <w:rPr>
          <w:rFonts w:ascii="Arial" w:cs="Arial" w:eastAsia="Arial" w:hAnsi="Arial"/>
          <w:sz w:val="17"/>
          <w:szCs w:val="17"/>
          <w:color w:val="auto"/>
        </w:rPr>
        <w:t xml:space="preserve"> If any Lender shall, by exercising any right of setoff or counterclaim or otherwise, obtain payment in respect of any principal of or interest on any of its Loans made by it, or the participations in L/C Obligations or in Swing Line Loans held by it resulting in such Lender receiving payment of a proportion of the aggregate amount of such Loans or participations and accrued interest thereon greater than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41" w:lineRule="exact"/>
        <w:rPr>
          <w:sz w:val="20"/>
          <w:szCs w:val="20"/>
          <w:color w:val="auto"/>
        </w:rPr>
      </w:pPr>
    </w:p>
    <w:p>
      <w:pPr>
        <w:ind w:right="420" w:firstLine="886"/>
        <w:spacing w:after="0" w:line="277" w:lineRule="auto"/>
        <w:tabs>
          <w:tab w:leader="none" w:pos="10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35" w:lineRule="exact"/>
        <w:rPr>
          <w:rFonts w:ascii="Arial" w:cs="Arial" w:eastAsia="Arial" w:hAnsi="Arial"/>
          <w:sz w:val="18"/>
          <w:szCs w:val="18"/>
          <w:color w:val="auto"/>
        </w:rPr>
      </w:pPr>
    </w:p>
    <w:p>
      <w:pPr>
        <w:ind w:right="20" w:firstLine="886"/>
        <w:spacing w:after="0" w:line="257" w:lineRule="auto"/>
        <w:tabs>
          <w:tab w:leader="none" w:pos="11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the application of Cash Collateral in accordance with this Agreement, or (z) any payment obtained by a Lender as consideration for the assignment of or sale of a participation in any of its Loans or participations in L/C Obligations or Swing Line Loans to any assignee or participant, other than to the Borrower or any Subsidiary thereof (as to which the provisions of this Section shall apply).</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81" w:right="239" w:bottom="1440" w:gutter="0" w:footer="0" w:header="0"/>
        </w:sectPr>
      </w:pPr>
    </w:p>
    <w:bookmarkStart w:id="118" w:name="page119"/>
    <w:bookmarkEnd w:id="118"/>
    <w:p>
      <w:pPr>
        <w:ind w:right="260"/>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Increase in Commitments.</w:t>
      </w:r>
    </w:p>
    <w:p>
      <w:pPr>
        <w:spacing w:after="0" w:line="94" w:lineRule="exact"/>
        <w:rPr>
          <w:sz w:val="20"/>
          <w:szCs w:val="20"/>
          <w:color w:val="auto"/>
        </w:rPr>
      </w:pPr>
    </w:p>
    <w:p>
      <w:pPr>
        <w:ind w:firstLine="440"/>
        <w:spacing w:after="0" w:line="293" w:lineRule="auto"/>
        <w:tabs>
          <w:tab w:leader="none" w:pos="677"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Provided there exists no Default, upon notice to the Administrative Agent (which shall promptly notify the Lenders), the Borrower may from time to time, (with the approval of the Administrative Agent, which approval shall not be unreasonably withheld, conditioned or delayed) request an increase in the Aggregate Commitments by an amount (for all such requests) not exceeding $250,000,000;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request for an increase shall be in a minimum amount of $25,000,000. To achieve the requested increase, the Borrower may ask one or more Lenders to increase their existing Commitments and/or invite additional Eligible Assignees to become Lenders pursuant to a joinder agreement in form and substance reasonably satisfactory to the Administrative Agent. For the avoidance of doubt, no Lender shall be obligated to increase its Commitment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right="100" w:firstLine="440"/>
        <w:spacing w:after="0" w:line="287" w:lineRule="auto"/>
        <w:tabs>
          <w:tab w:leader="none" w:pos="687"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Aggregate Commitments are increased in accordance with this Section, the Administrative Agent and the Borrower shall determine the effective date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xml:space="preserve">”) and the final allocation of such increase. The Administrative Agent shall promptly notify the Borrower and the Lenders of the final allocation of such increase and the Increase Effective Date. As a condition precedent to such increase, the Borrower shall deliver to the Administrative Agent a certificate dated as of the Increase Effective Date signed by a Responsible Officer (i) certifying and attaching the resolutions approving or consenting to such increase, and (ii) certifying that, before and after giving effect to such increase (A)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true and correct in all material respects (except that such materiality qualifier shall not be applicable to any representations and warranties that already are qualified or modified by materiality in the text thereof)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Sections 5.06(a)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5.06(b)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exists. The Borrower shall prepay any Loans outstanding on the Increase Effective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if necessary to keep the outstanding Loans ratable with any revised Pro Rata Shares arising from any nonratable increase in the Commitments under this Section.</w:t>
      </w:r>
    </w:p>
    <w:p>
      <w:pPr>
        <w:spacing w:after="0" w:line="33" w:lineRule="exact"/>
        <w:rPr>
          <w:rFonts w:ascii="Arial" w:cs="Arial" w:eastAsia="Arial" w:hAnsi="Arial"/>
          <w:sz w:val="16"/>
          <w:szCs w:val="16"/>
          <w:color w:val="auto"/>
        </w:rPr>
      </w:pPr>
    </w:p>
    <w:p>
      <w:pPr>
        <w:ind w:left="680" w:hanging="240"/>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167" w:lineRule="exact"/>
        <w:rPr>
          <w:sz w:val="20"/>
          <w:szCs w:val="20"/>
          <w:color w:val="auto"/>
        </w:rPr>
      </w:pPr>
    </w:p>
    <w:p>
      <w:pPr>
        <w:ind w:right="300" w:firstLine="432"/>
        <w:spacing w:after="0" w:line="282"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Defaulting Lenders.</w:t>
      </w:r>
      <w:r>
        <w:rPr>
          <w:rFonts w:ascii="Arial" w:cs="Arial" w:eastAsia="Arial" w:hAnsi="Arial"/>
          <w:sz w:val="18"/>
          <w:szCs w:val="18"/>
          <w:color w:val="auto"/>
        </w:rPr>
        <w:t xml:space="preserve"> Notwithstanding anything to the contrary contained in this Agreement, if any Lender becomes a Defaulting Lender, then, until such time as such Lender is no longer a Defaulting Lender, to the extent permitted by applicable Laws:</w:t>
      </w:r>
    </w:p>
    <w:p>
      <w:pPr>
        <w:spacing w:after="0" w:line="31" w:lineRule="exact"/>
        <w:rPr>
          <w:sz w:val="20"/>
          <w:szCs w:val="20"/>
          <w:color w:val="auto"/>
        </w:rPr>
      </w:pPr>
    </w:p>
    <w:p>
      <w:pPr>
        <w:ind w:right="680" w:firstLine="440"/>
        <w:spacing w:after="0" w:line="308" w:lineRule="auto"/>
        <w:tabs>
          <w:tab w:leader="none" w:pos="677"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the definition of Required Lenders, subject to the penultimate sentence of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881" w:right="259" w:bottom="1440" w:gutter="0" w:footer="0" w:header="0"/>
        </w:sectPr>
      </w:pPr>
    </w:p>
    <w:bookmarkStart w:id="119" w:name="page120"/>
    <w:bookmarkEnd w:id="119"/>
    <w:p>
      <w:pPr>
        <w:ind w:right="20" w:firstLine="440"/>
        <w:spacing w:after="0" w:line="283" w:lineRule="auto"/>
        <w:tabs>
          <w:tab w:leader="none" w:pos="687"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the L/C Issuers or Swing 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each L/C Issuer’s Fronting Exposure with respect to such Defaulting Lender in accordance with </w:t>
      </w:r>
      <w:r>
        <w:rPr>
          <w:rFonts w:ascii="Arial" w:cs="Arial" w:eastAsia="Arial" w:hAnsi="Arial"/>
          <w:sz w:val="16"/>
          <w:szCs w:val="16"/>
          <w:u w:val="single" w:color="auto"/>
          <w:color w:val="auto"/>
        </w:rPr>
        <w:t>Section 2.03(g)</w:t>
      </w:r>
      <w:r>
        <w:rPr>
          <w:rFonts w:ascii="Arial" w:cs="Arial" w:eastAsia="Arial" w:hAnsi="Arial"/>
          <w:sz w:val="16"/>
          <w:szCs w:val="16"/>
          <w:color w:val="auto"/>
        </w:rPr>
        <w:t xml:space="preserv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w:t>
      </w:r>
    </w:p>
    <w:p>
      <w:pPr>
        <w:spacing w:after="0" w:line="5"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2.03(g)</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L/C Issuers or Swing Line Lender as a result of any judgment of a court of competent jurisdiction obtained by any Lender, any L/C Issuer or Swing 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spacing w:after="0" w:line="3" w:lineRule="exact"/>
        <w:rPr>
          <w:rFonts w:ascii="Arial" w:cs="Arial" w:eastAsia="Arial" w:hAnsi="Arial"/>
          <w:sz w:val="16"/>
          <w:szCs w:val="16"/>
          <w:color w:val="auto"/>
        </w:rPr>
      </w:pPr>
    </w:p>
    <w:p>
      <w:pPr>
        <w:ind w:right="200" w:firstLine="8"/>
        <w:spacing w:after="0" w:line="268" w:lineRule="auto"/>
        <w:tabs>
          <w:tab w:leader="none" w:pos="2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7"/>
          <w:szCs w:val="17"/>
          <w:u w:val="single" w:color="auto"/>
          <w:color w:val="auto"/>
        </w:rPr>
        <w:t>Section 2.15(d)</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49" w:lineRule="exact"/>
        <w:rPr>
          <w:rFonts w:ascii="Arial" w:cs="Arial" w:eastAsia="Arial" w:hAnsi="Arial"/>
          <w:sz w:val="17"/>
          <w:szCs w:val="17"/>
          <w:color w:val="auto"/>
        </w:rPr>
      </w:pPr>
    </w:p>
    <w:p>
      <w:pPr>
        <w:ind w:left="680" w:hanging="240"/>
        <w:spacing w:after="0"/>
        <w:tabs>
          <w:tab w:leader="none" w:pos="68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40" w:firstLine="886"/>
        <w:spacing w:after="0" w:line="308" w:lineRule="auto"/>
        <w:tabs>
          <w:tab w:leader="none" w:pos="1093" w:val="left"/>
        </w:tabs>
        <w:numPr>
          <w:ilvl w:val="2"/>
          <w:numId w:val="94"/>
        </w:numPr>
        <w:rPr>
          <w:rFonts w:ascii="Arial" w:cs="Arial" w:eastAsia="Arial" w:hAnsi="Arial"/>
          <w:sz w:val="17"/>
          <w:szCs w:val="17"/>
          <w:color w:val="auto"/>
        </w:rPr>
      </w:pPr>
      <w:r>
        <w:rPr>
          <w:rFonts w:ascii="Arial" w:cs="Arial" w:eastAsia="Arial" w:hAnsi="Arial"/>
          <w:sz w:val="17"/>
          <w:szCs w:val="17"/>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1" w:lineRule="exact"/>
        <w:rPr>
          <w:rFonts w:ascii="Arial" w:cs="Arial" w:eastAsia="Arial" w:hAnsi="Arial"/>
          <w:sz w:val="17"/>
          <w:szCs w:val="17"/>
          <w:color w:val="auto"/>
        </w:rPr>
      </w:pPr>
    </w:p>
    <w:p>
      <w:pPr>
        <w:ind w:right="100" w:firstLine="886"/>
        <w:spacing w:after="0" w:line="334" w:lineRule="auto"/>
        <w:tabs>
          <w:tab w:leader="none" w:pos="1143" w:val="left"/>
        </w:tabs>
        <w:numPr>
          <w:ilvl w:val="2"/>
          <w:numId w:val="94"/>
        </w:numPr>
        <w:rPr>
          <w:rFonts w:ascii="Arial" w:cs="Arial" w:eastAsia="Arial" w:hAnsi="Arial"/>
          <w:sz w:val="16"/>
          <w:szCs w:val="16"/>
          <w:color w:val="auto"/>
        </w:rPr>
      </w:pPr>
      <w:r>
        <w:rPr>
          <w:rFonts w:ascii="Arial" w:cs="Arial" w:eastAsia="Arial" w:hAnsi="Arial"/>
          <w:sz w:val="16"/>
          <w:szCs w:val="16"/>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16"/>
          <w:szCs w:val="16"/>
          <w:u w:val="single" w:color="auto"/>
          <w:color w:val="auto"/>
        </w:rPr>
        <w:t>Section 2.03(g)</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1200" w:hanging="314"/>
        <w:spacing w:after="0"/>
        <w:tabs>
          <w:tab w:leader="none" w:pos="1200" w:val="left"/>
        </w:tabs>
        <w:numPr>
          <w:ilvl w:val="2"/>
          <w:numId w:val="94"/>
        </w:numPr>
        <w:rPr>
          <w:rFonts w:ascii="Arial" w:cs="Arial" w:eastAsia="Arial" w:hAnsi="Arial"/>
          <w:sz w:val="17"/>
          <w:szCs w:val="17"/>
          <w:color w:val="auto"/>
        </w:rPr>
      </w:pPr>
      <w:r>
        <w:rPr>
          <w:rFonts w:ascii="Arial" w:cs="Arial" w:eastAsia="Arial" w:hAnsi="Arial"/>
          <w:sz w:val="17"/>
          <w:szCs w:val="17"/>
          <w:color w:val="auto"/>
        </w:rPr>
        <w:t xml:space="preserve">With respect to any Commitment Fee or Letter of Credit Fee not required to be paid to any Defaulting Lender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w:t>
      </w:r>
    </w:p>
    <w:p>
      <w:pPr>
        <w:spacing w:after="0" w:line="35" w:lineRule="exact"/>
        <w:rPr>
          <w:sz w:val="20"/>
          <w:szCs w:val="20"/>
          <w:color w:val="auto"/>
        </w:rPr>
      </w:pPr>
    </w:p>
    <w:p>
      <w:pPr>
        <w:ind w:right="20" w:firstLine="8"/>
        <w:spacing w:after="0" w:line="261" w:lineRule="auto"/>
        <w:tabs>
          <w:tab w:leader="none" w:pos="265"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color w:val="auto"/>
        </w:rPr>
        <w:t>above, the Borrower shall (A) pay to each non-Defaulting Lender that portion of any such fee otherwise payable to such Defaulting Lender with respect to such Defaulting Lender’s participation in L/C Obligations or Swing Line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81" w:right="239" w:bottom="1440" w:gutter="0" w:footer="0" w:header="0"/>
        </w:sectPr>
      </w:pPr>
    </w:p>
    <w:bookmarkStart w:id="120" w:name="page121"/>
    <w:bookmarkEnd w:id="120"/>
    <w:p>
      <w:pPr>
        <w:ind w:right="240" w:firstLine="432"/>
        <w:spacing w:after="0" w:line="286" w:lineRule="auto"/>
        <w:rPr>
          <w:sz w:val="20"/>
          <w:szCs w:val="20"/>
          <w:color w:val="auto"/>
        </w:rPr>
      </w:pPr>
      <w:r>
        <w:rPr>
          <w:rFonts w:ascii="Arial" w:cs="Arial" w:eastAsia="Arial" w:hAnsi="Arial"/>
          <w:sz w:val="17"/>
          <w:szCs w:val="17"/>
          <w:color w:val="auto"/>
        </w:rPr>
        <w:t xml:space="preserve">Loans that has been reallocated to such non-Defaulting Lender pursuant to </w:t>
      </w:r>
      <w:r>
        <w:rPr>
          <w:rFonts w:ascii="Arial" w:cs="Arial" w:eastAsia="Arial" w:hAnsi="Arial"/>
          <w:sz w:val="17"/>
          <w:szCs w:val="17"/>
          <w:u w:val="single" w:color="auto"/>
          <w:color w:val="auto"/>
        </w:rPr>
        <w:t>Section 2.15(d)</w:t>
      </w:r>
      <w:r>
        <w:rPr>
          <w:rFonts w:ascii="Arial" w:cs="Arial" w:eastAsia="Arial" w:hAnsi="Arial"/>
          <w:sz w:val="17"/>
          <w:szCs w:val="17"/>
          <w:color w:val="auto"/>
        </w:rPr>
        <w:t>, (B) pay to the L/C Issuers and the Swing Line Lender, as applicable, the amount of any such fee otherwise payable to such Defaulting Lender to the extent allocable to the L/C Issuers’ or Swing Line Lender’s Fronting Exposure to such Defaulting Lender, and (C) not be required to pay the remaining amount of any such fee.</w:t>
      </w:r>
    </w:p>
    <w:p>
      <w:pPr>
        <w:spacing w:after="0" w:line="30" w:lineRule="exact"/>
        <w:rPr>
          <w:sz w:val="20"/>
          <w:szCs w:val="20"/>
          <w:color w:val="auto"/>
        </w:rPr>
      </w:pPr>
    </w:p>
    <w:p>
      <w:pPr>
        <w:ind w:right="20" w:firstLine="440"/>
        <w:spacing w:after="0" w:line="271" w:lineRule="auto"/>
        <w:tabs>
          <w:tab w:leader="none" w:pos="68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Reallocation of Participations to Reduce Fronting Exposure</w:t>
      </w:r>
      <w:r>
        <w:rPr>
          <w:rFonts w:ascii="Arial" w:cs="Arial" w:eastAsia="Arial" w:hAnsi="Arial"/>
          <w:sz w:val="17"/>
          <w:szCs w:val="17"/>
          <w:color w:val="auto"/>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(i) the conditions set forth in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(ii) such reallocation does not cause the aggregate Outstanding Amount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43" w:lineRule="exact"/>
        <w:rPr>
          <w:rFonts w:ascii="Arial" w:cs="Arial" w:eastAsia="Arial" w:hAnsi="Arial"/>
          <w:sz w:val="17"/>
          <w:szCs w:val="17"/>
          <w:color w:val="auto"/>
        </w:rPr>
      </w:pPr>
    </w:p>
    <w:p>
      <w:pPr>
        <w:ind w:right="40" w:firstLine="440"/>
        <w:spacing w:after="0" w:line="259" w:lineRule="auto"/>
        <w:tabs>
          <w:tab w:leader="none" w:pos="67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Section 2.15(d)</w:t>
      </w:r>
      <w:r>
        <w:rPr>
          <w:rFonts w:ascii="Arial" w:cs="Arial" w:eastAsia="Arial" w:hAnsi="Arial"/>
          <w:sz w:val="18"/>
          <w:szCs w:val="18"/>
          <w:color w:val="auto"/>
        </w:rPr>
        <w:t xml:space="preserve"> cannot, or can only partially, be effected, the Borrower shall, without prejudice to any right or remedy available to it hereunder or under law,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Swing Line Loans in an amount equal to the Swing Line Lender’s Fronting Exposure and (ii)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L/C Issuers’ Fronting Exposure in accordance with the procedures set forth in </w:t>
      </w:r>
      <w:r>
        <w:rPr>
          <w:rFonts w:ascii="Arial" w:cs="Arial" w:eastAsia="Arial" w:hAnsi="Arial"/>
          <w:sz w:val="18"/>
          <w:szCs w:val="18"/>
          <w:u w:val="single" w:color="auto"/>
          <w:color w:val="auto"/>
        </w:rPr>
        <w:t>Section 2.03(g)</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firstLine="440"/>
        <w:spacing w:after="0" w:line="289" w:lineRule="auto"/>
        <w:tabs>
          <w:tab w:leader="none" w:pos="65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the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pro rata by the Lenders in accordance with the Commitments under this Agreement (without giving effect to </w:t>
      </w:r>
      <w:r>
        <w:rPr>
          <w:rFonts w:ascii="Arial" w:cs="Arial" w:eastAsia="Arial" w:hAnsi="Arial"/>
          <w:sz w:val="16"/>
          <w:szCs w:val="16"/>
          <w:u w:val="single" w:color="auto"/>
          <w:color w:val="auto"/>
        </w:rPr>
        <w:t>Section 2.15(d)</w:t>
      </w:r>
      <w:r>
        <w:rPr>
          <w:rFonts w:ascii="Arial" w:cs="Arial" w:eastAsia="Arial" w:hAnsi="Arial"/>
          <w:sz w:val="16"/>
          <w:szCs w:val="16"/>
          <w:color w:val="auto"/>
        </w:rPr>
        <w:t xml:space="preserv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1" w:lineRule="exact"/>
        <w:rPr>
          <w:rFonts w:ascii="Arial" w:cs="Arial" w:eastAsia="Arial" w:hAnsi="Arial"/>
          <w:sz w:val="16"/>
          <w:szCs w:val="16"/>
          <w:color w:val="auto"/>
        </w:rPr>
      </w:pPr>
    </w:p>
    <w:p>
      <w:pPr>
        <w:ind w:right="60" w:firstLine="440"/>
        <w:spacing w:after="0" w:line="312" w:lineRule="auto"/>
        <w:tabs>
          <w:tab w:leader="none" w:pos="68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New Swing Line Loans/Letters of Credit</w:t>
      </w:r>
      <w:r>
        <w:rPr>
          <w:rFonts w:ascii="Arial" w:cs="Arial" w:eastAsia="Arial" w:hAnsi="Arial"/>
          <w:sz w:val="16"/>
          <w:szCs w:val="16"/>
          <w:color w:val="auto"/>
        </w:rPr>
        <w:t>.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renew or increase any Letter of Credit unless it is satisfied that it will have no Fronting Exposure after giving effect thereto.</w:t>
      </w:r>
    </w:p>
    <w:p>
      <w:pPr>
        <w:spacing w:after="0" w:line="11" w:lineRule="exact"/>
        <w:rPr>
          <w:rFonts w:ascii="Arial" w:cs="Arial" w:eastAsia="Arial" w:hAnsi="Arial"/>
          <w:sz w:val="16"/>
          <w:szCs w:val="16"/>
          <w:color w:val="auto"/>
        </w:rPr>
      </w:pPr>
    </w:p>
    <w:p>
      <w:pPr>
        <w:ind w:right="440" w:firstLine="440"/>
        <w:spacing w:after="0" w:line="277" w:lineRule="auto"/>
        <w:tabs>
          <w:tab w:leader="none" w:pos="68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Replacement of Defaulting Lender</w:t>
      </w:r>
      <w:r>
        <w:rPr>
          <w:rFonts w:ascii="Arial" w:cs="Arial" w:eastAsia="Arial" w:hAnsi="Arial"/>
          <w:sz w:val="18"/>
          <w:szCs w:val="18"/>
          <w:color w:val="auto"/>
        </w:rPr>
        <w:t xml:space="preserve">. So long as any Lender is a Defaulting Lender, such Defaulting Lender may be replaced in accordance with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881" w:right="25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94" w:lineRule="exact"/>
        <w:rPr>
          <w:sz w:val="20"/>
          <w:szCs w:val="20"/>
          <w:color w:val="auto"/>
        </w:rPr>
      </w:pPr>
    </w:p>
    <w:p>
      <w:pPr>
        <w:ind w:right="120" w:firstLine="440"/>
        <w:spacing w:after="0" w:line="277" w:lineRule="auto"/>
        <w:tabs>
          <w:tab w:leader="none" w:pos="67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term “Lender” includes each L/C Issuer and the Swing Line Lender and the term “applicable law” includes FATCA.</w:t>
      </w:r>
    </w:p>
    <w:p>
      <w:pPr>
        <w:spacing w:after="0" w:line="35" w:lineRule="exact"/>
        <w:rPr>
          <w:rFonts w:ascii="Arial" w:cs="Arial" w:eastAsia="Arial" w:hAnsi="Arial"/>
          <w:sz w:val="18"/>
          <w:szCs w:val="18"/>
          <w:color w:val="auto"/>
        </w:rPr>
      </w:pPr>
    </w:p>
    <w:p>
      <w:pPr>
        <w:ind w:left="700" w:hanging="260"/>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w:t>
      </w:r>
    </w:p>
    <w:p>
      <w:pPr>
        <w:spacing w:after="0" w:line="90" w:lineRule="exact"/>
        <w:rPr>
          <w:sz w:val="20"/>
          <w:szCs w:val="20"/>
          <w:color w:val="auto"/>
        </w:rPr>
      </w:pPr>
    </w:p>
    <w:p>
      <w:pPr>
        <w:ind w:right="20" w:firstLine="878"/>
        <w:spacing w:after="0" w:line="254" w:lineRule="auto"/>
        <w:rPr>
          <w:sz w:val="20"/>
          <w:szCs w:val="20"/>
          <w:color w:val="auto"/>
        </w:rPr>
      </w:pPr>
      <w:r>
        <w:rPr>
          <w:rFonts w:ascii="Arial" w:cs="Arial" w:eastAsia="Arial" w:hAnsi="Arial"/>
          <w:sz w:val="18"/>
          <w:szCs w:val="18"/>
          <w:color w:val="auto"/>
        </w:rPr>
        <w:t>Any and all payments by or on account of any obligation of any Loan Party under any Loan Document shall to the extent permitted by applicable Laws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57" w:lineRule="exact"/>
        <w:rPr>
          <w:sz w:val="20"/>
          <w:szCs w:val="20"/>
          <w:color w:val="auto"/>
        </w:rPr>
      </w:pPr>
    </w:p>
    <w:p>
      <w:pPr>
        <w:ind w:right="140" w:firstLine="440"/>
        <w:spacing w:after="0" w:line="277" w:lineRule="auto"/>
        <w:tabs>
          <w:tab w:leader="none" w:pos="67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the payment of, any Other Taxes.</w:t>
      </w:r>
    </w:p>
    <w:p>
      <w:pPr>
        <w:spacing w:after="0" w:line="35" w:lineRule="exact"/>
        <w:rPr>
          <w:rFonts w:ascii="Arial" w:cs="Arial" w:eastAsia="Arial" w:hAnsi="Arial"/>
          <w:sz w:val="18"/>
          <w:szCs w:val="18"/>
          <w:color w:val="auto"/>
        </w:rPr>
      </w:pPr>
    </w:p>
    <w:p>
      <w:pPr>
        <w:ind w:firstLine="440"/>
        <w:spacing w:after="0" w:line="273" w:lineRule="auto"/>
        <w:tabs>
          <w:tab w:leader="none" w:pos="687"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43" w:lineRule="exact"/>
        <w:rPr>
          <w:rFonts w:ascii="Arial" w:cs="Arial" w:eastAsia="Arial" w:hAnsi="Arial"/>
          <w:sz w:val="17"/>
          <w:szCs w:val="17"/>
          <w:color w:val="auto"/>
        </w:rPr>
      </w:pPr>
    </w:p>
    <w:p>
      <w:pPr>
        <w:ind w:right="20" w:firstLine="440"/>
        <w:spacing w:after="0" w:line="289" w:lineRule="auto"/>
        <w:tabs>
          <w:tab w:leader="none" w:pos="67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xml:space="preserve">. Each Lender shall severally indemnify the Administrative Agent, within 10 days after demand therefor, for (i) any Indemnified Taxes attributable to such Lender (but only to the extent that a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6"/>
          <w:szCs w:val="16"/>
          <w:u w:val="single" w:color="auto"/>
          <w:color w:val="auto"/>
        </w:rPr>
        <w:t>Section 11.06(f)</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878" w:right="279" w:bottom="1440" w:gutter="0" w:footer="0" w:header="0"/>
        </w:sectPr>
      </w:pPr>
    </w:p>
    <w:bookmarkStart w:id="122" w:name="page123"/>
    <w:bookmarkEnd w:id="122"/>
    <w:p>
      <w:pPr>
        <w:ind w:left="440"/>
        <w:spacing w:after="0"/>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As soon as practicable after any payment of Taxes by a Loan Party to a Governmental Authority pursuant to this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3.01</w:t>
      </w:r>
      <w:r>
        <w:rPr>
          <w:rFonts w:ascii="Arial" w:cs="Arial" w:eastAsia="Arial" w:hAnsi="Arial"/>
          <w:sz w:val="16"/>
          <w:szCs w:val="16"/>
          <w:color w:val="auto"/>
        </w:rPr>
        <w:t>, such Loan Party shall deliver to the Administrative Agent the original or a certified copy of a receipt issued by such Governmental Authority evidencing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payment, a copy of the return reporting such payment or other evidence of such payment reasonably satisfactory to the Administrative Agent.</w:t>
      </w:r>
    </w:p>
    <w:p>
      <w:pPr>
        <w:spacing w:after="0" w:line="87" w:lineRule="exact"/>
        <w:rPr>
          <w:sz w:val="20"/>
          <w:szCs w:val="20"/>
          <w:color w:val="auto"/>
        </w:rPr>
      </w:pPr>
    </w:p>
    <w:p>
      <w:pPr>
        <w:ind w:left="700" w:hanging="260"/>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886"/>
        <w:spacing w:after="0" w:line="270" w:lineRule="auto"/>
        <w:tabs>
          <w:tab w:leader="none" w:pos="1093" w:val="left"/>
        </w:tabs>
        <w:numPr>
          <w:ilvl w:val="1"/>
          <w:numId w:val="99"/>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3.01(g)(ii)(A)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42" w:lineRule="exact"/>
        <w:rPr>
          <w:rFonts w:ascii="Arial" w:cs="Arial" w:eastAsia="Arial" w:hAnsi="Arial"/>
          <w:sz w:val="17"/>
          <w:szCs w:val="17"/>
          <w:color w:val="auto"/>
        </w:rPr>
      </w:pPr>
    </w:p>
    <w:p>
      <w:pPr>
        <w:ind w:left="1160" w:hanging="274"/>
        <w:spacing w:after="0"/>
        <w:tabs>
          <w:tab w:leader="none" w:pos="11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90" w:lineRule="exact"/>
        <w:rPr>
          <w:rFonts w:ascii="Arial" w:cs="Arial" w:eastAsia="Arial" w:hAnsi="Arial"/>
          <w:sz w:val="18"/>
          <w:szCs w:val="18"/>
          <w:color w:val="auto"/>
        </w:rPr>
      </w:pPr>
    </w:p>
    <w:p>
      <w:pPr>
        <w:ind w:right="100" w:firstLine="1318"/>
        <w:spacing w:after="0" w:line="264" w:lineRule="auto"/>
        <w:tabs>
          <w:tab w:leader="none" w:pos="1605" w:val="left"/>
        </w:tabs>
        <w:numPr>
          <w:ilvl w:val="2"/>
          <w:numId w:val="9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46" w:lineRule="exact"/>
        <w:rPr>
          <w:rFonts w:ascii="Arial" w:cs="Arial" w:eastAsia="Arial" w:hAnsi="Arial"/>
          <w:sz w:val="18"/>
          <w:szCs w:val="18"/>
          <w:color w:val="auto"/>
        </w:rPr>
      </w:pPr>
    </w:p>
    <w:p>
      <w:pPr>
        <w:ind w:right="220" w:firstLine="1318"/>
        <w:spacing w:after="0" w:line="312" w:lineRule="auto"/>
        <w:tabs>
          <w:tab w:leader="none" w:pos="1595" w:val="left"/>
        </w:tabs>
        <w:numPr>
          <w:ilvl w:val="2"/>
          <w:numId w:val="99"/>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1" w:lineRule="exact"/>
        <w:rPr>
          <w:rFonts w:ascii="Arial" w:cs="Arial" w:eastAsia="Arial" w:hAnsi="Arial"/>
          <w:sz w:val="16"/>
          <w:szCs w:val="16"/>
          <w:color w:val="auto"/>
        </w:rPr>
      </w:pPr>
    </w:p>
    <w:p>
      <w:pPr>
        <w:ind w:firstLine="1872"/>
        <w:spacing w:after="0" w:line="257" w:lineRule="auto"/>
        <w:tabs>
          <w:tab w:leader="none" w:pos="2079" w:val="left"/>
        </w:tabs>
        <w:numPr>
          <w:ilvl w:val="3"/>
          <w:numId w:val="9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53" w:lineRule="exact"/>
        <w:rPr>
          <w:rFonts w:ascii="Arial" w:cs="Arial" w:eastAsia="Arial" w:hAnsi="Arial"/>
          <w:sz w:val="18"/>
          <w:szCs w:val="18"/>
          <w:color w:val="auto"/>
        </w:rPr>
      </w:pPr>
    </w:p>
    <w:p>
      <w:pPr>
        <w:ind w:left="2140" w:hanging="268"/>
        <w:spacing w:after="0"/>
        <w:tabs>
          <w:tab w:leader="none" w:pos="2140" w:val="left"/>
        </w:tabs>
        <w:numPr>
          <w:ilvl w:val="3"/>
          <w:numId w:val="99"/>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881" w:right="259" w:bottom="1440" w:gutter="0" w:footer="0" w:header="0"/>
        </w:sectPr>
      </w:pPr>
    </w:p>
    <w:bookmarkStart w:id="123" w:name="page124"/>
    <w:bookmarkEnd w:id="123"/>
    <w:p>
      <w:pPr>
        <w:ind w:left="2180" w:hanging="308"/>
        <w:spacing w:after="0"/>
        <w:tabs>
          <w:tab w:leader="none" w:pos="218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right="20" w:firstLine="8"/>
        <w:spacing w:after="0" w:line="277" w:lineRule="auto"/>
        <w:tabs>
          <w:tab w:leader="none" w:pos="2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 certificate substantially in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 (y) executed originals of IRS Form W-8BEN; or</w:t>
      </w:r>
    </w:p>
    <w:p>
      <w:pPr>
        <w:spacing w:after="0" w:line="38" w:lineRule="exact"/>
        <w:rPr>
          <w:rFonts w:ascii="Arial" w:cs="Arial" w:eastAsia="Arial" w:hAnsi="Arial"/>
          <w:sz w:val="17"/>
          <w:szCs w:val="17"/>
          <w:color w:val="auto"/>
        </w:rPr>
      </w:pPr>
    </w:p>
    <w:p>
      <w:pPr>
        <w:ind w:right="60" w:firstLine="1872"/>
        <w:spacing w:after="0" w:line="257" w:lineRule="auto"/>
        <w:tabs>
          <w:tab w:leader="none" w:pos="2169" w:val="left"/>
        </w:tabs>
        <w:numPr>
          <w:ilvl w:val="2"/>
          <w:numId w:val="101"/>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E-3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E-4</w:t>
      </w:r>
      <w:r>
        <w:rPr>
          <w:rFonts w:ascii="Arial" w:cs="Arial" w:eastAsia="Arial" w:hAnsi="Arial"/>
          <w:sz w:val="18"/>
          <w:szCs w:val="18"/>
          <w:color w:val="auto"/>
        </w:rPr>
        <w:t xml:space="preserve"> on behalf of each such direct and indirect partner.</w:t>
      </w:r>
    </w:p>
    <w:p>
      <w:pPr>
        <w:spacing w:after="0" w:line="53" w:lineRule="exact"/>
        <w:rPr>
          <w:rFonts w:ascii="Arial" w:cs="Arial" w:eastAsia="Arial" w:hAnsi="Arial"/>
          <w:sz w:val="18"/>
          <w:szCs w:val="18"/>
          <w:color w:val="auto"/>
        </w:rPr>
      </w:pPr>
    </w:p>
    <w:p>
      <w:pPr>
        <w:ind w:right="240" w:firstLine="1318"/>
        <w:spacing w:after="0" w:line="255" w:lineRule="auto"/>
        <w:tabs>
          <w:tab w:leader="none" w:pos="15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58" w:lineRule="exact"/>
        <w:rPr>
          <w:rFonts w:ascii="Arial" w:cs="Arial" w:eastAsia="Arial" w:hAnsi="Arial"/>
          <w:sz w:val="18"/>
          <w:szCs w:val="18"/>
          <w:color w:val="auto"/>
        </w:rPr>
      </w:pPr>
    </w:p>
    <w:p>
      <w:pPr>
        <w:jc w:val="both"/>
        <w:ind w:right="40" w:firstLine="1318"/>
        <w:spacing w:after="0" w:line="269" w:lineRule="auto"/>
        <w:tabs>
          <w:tab w:leader="none" w:pos="160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w:t>
      </w:r>
    </w:p>
    <w:p>
      <w:pPr>
        <w:spacing w:after="0" w:line="2"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3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For purposes of this </w:t>
      </w:r>
      <w:r>
        <w:rPr>
          <w:rFonts w:ascii="Arial" w:cs="Arial" w:eastAsia="Arial" w:hAnsi="Arial"/>
          <w:sz w:val="18"/>
          <w:szCs w:val="18"/>
          <w:u w:val="single" w:color="auto"/>
          <w:color w:val="auto"/>
        </w:rPr>
        <w:t>Section 3.01(g)</w:t>
      </w:r>
      <w:r>
        <w:rPr>
          <w:rFonts w:ascii="Arial" w:cs="Arial" w:eastAsia="Arial" w:hAnsi="Arial"/>
          <w:sz w:val="18"/>
          <w:szCs w:val="18"/>
          <w:color w:val="auto"/>
        </w:rPr>
        <w:t>, references to a Lender shall include the Administrative Agent.</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81" w:right="239" w:bottom="1440" w:gutter="0" w:footer="0" w:header="0"/>
        </w:sectPr>
      </w:pPr>
    </w:p>
    <w:bookmarkStart w:id="124" w:name="page125"/>
    <w:bookmarkEnd w:id="124"/>
    <w:p>
      <w:pPr>
        <w:ind w:left="-8" w:right="100" w:firstLine="440"/>
        <w:spacing w:after="0" w:line="284" w:lineRule="auto"/>
        <w:tabs>
          <w:tab w:leader="none" w:pos="679"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w:t>
      </w:r>
    </w:p>
    <w:p>
      <w:pPr>
        <w:spacing w:after="0" w:line="1" w:lineRule="exact"/>
        <w:rPr>
          <w:rFonts w:ascii="Arial" w:cs="Arial" w:eastAsia="Arial" w:hAnsi="Arial"/>
          <w:sz w:val="16"/>
          <w:szCs w:val="16"/>
          <w:color w:val="auto"/>
        </w:rPr>
      </w:pPr>
    </w:p>
    <w:p>
      <w:pPr>
        <w:ind w:left="-8" w:firstLine="8"/>
        <w:spacing w:after="0" w:line="273" w:lineRule="auto"/>
        <w:tabs>
          <w:tab w:leader="none" w:pos="24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41" w:lineRule="exact"/>
        <w:rPr>
          <w:rFonts w:ascii="Arial" w:cs="Arial" w:eastAsia="Arial" w:hAnsi="Arial"/>
          <w:sz w:val="17"/>
          <w:szCs w:val="17"/>
          <w:color w:val="auto"/>
        </w:rPr>
      </w:pPr>
    </w:p>
    <w:p>
      <w:pPr>
        <w:ind w:left="-8" w:firstLine="440"/>
        <w:spacing w:after="0" w:line="264" w:lineRule="auto"/>
        <w:tabs>
          <w:tab w:leader="none" w:pos="639"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46" w:lineRule="exact"/>
        <w:rPr>
          <w:rFonts w:ascii="Arial" w:cs="Arial" w:eastAsia="Arial" w:hAnsi="Arial"/>
          <w:sz w:val="18"/>
          <w:szCs w:val="18"/>
          <w:color w:val="auto"/>
        </w:rPr>
      </w:pPr>
    </w:p>
    <w:p>
      <w:pPr>
        <w:ind w:left="-8" w:right="60" w:firstLine="440"/>
        <w:spacing w:after="0" w:line="253" w:lineRule="auto"/>
        <w:tabs>
          <w:tab w:leader="none" w:pos="639"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or requires the Borrower to make any payments pursuant to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then such Lender shall (at the request of the Borrower) use reasonable efforts to designate a different Lending Office for funding or booking its Loans and, if applicable, Letters of Credit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in the future, and (ii) would not subject such Lender to any unreimbursed cost or expense and would not otherwise be disadvantageous to such Lender. If the Borrower requests a Lender to designate a different Lending Office or assign its rights and obligations to another of its offices, branches or affiliates, the Borrower hereby agrees to pay all reasonable costs and expenses incurred by such Lender in connection with any such designation or assignment. Subject to the foregoing, Lenders agree to use reasonable efforts to select lending offices which will minimize taxes and other costs and expenses for the Borrower.</w:t>
      </w:r>
    </w:p>
    <w:p>
      <w:pPr>
        <w:spacing w:after="0" w:line="139" w:lineRule="exact"/>
        <w:rPr>
          <w:sz w:val="20"/>
          <w:szCs w:val="20"/>
          <w:color w:val="auto"/>
        </w:rPr>
      </w:pPr>
    </w:p>
    <w:p>
      <w:pPr>
        <w:ind w:left="432"/>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b w:val="1"/>
          <w:bCs w:val="1"/>
          <w:color w:val="auto"/>
        </w:rPr>
        <w:t>Illegality.</w:t>
      </w:r>
    </w:p>
    <w:p>
      <w:pPr>
        <w:spacing w:after="0" w:line="94" w:lineRule="exact"/>
        <w:rPr>
          <w:sz w:val="20"/>
          <w:szCs w:val="20"/>
          <w:color w:val="auto"/>
        </w:rPr>
      </w:pPr>
    </w:p>
    <w:p>
      <w:pPr>
        <w:ind w:left="-8" w:right="100" w:firstLine="440"/>
        <w:spacing w:after="0" w:line="293" w:lineRule="auto"/>
        <w:tabs>
          <w:tab w:leader="none" w:pos="66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applicable Lending Office to make, maintain or fund Eurodollar Rate Loans, or to determine or charge interest rates based upon the Eurodollar Rate, then, on notice thereof by such Lender to the Borrower through the Administrative Agent, any obligation of such Lender to make or continue Eurodollar Rate Loans or to convert Base Rate Loans to Eurodollar Rate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Rate Loans of such Lender to Base Rate Loans, either on</w:t>
      </w:r>
    </w:p>
    <w:p>
      <w:pPr>
        <w:spacing w:after="0" w:line="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12"/>
          </w:cols>
          <w:pgMar w:left="248" w:top="962" w:right="239" w:bottom="1440" w:gutter="0" w:footer="0" w:header="0"/>
        </w:sectPr>
      </w:pPr>
    </w:p>
    <w:bookmarkStart w:id="125" w:name="page126"/>
    <w:bookmarkEnd w:id="125"/>
    <w:p>
      <w:pPr>
        <w:ind w:right="100"/>
        <w:spacing w:after="0" w:line="279" w:lineRule="auto"/>
        <w:rPr>
          <w:sz w:val="20"/>
          <w:szCs w:val="20"/>
          <w:color w:val="auto"/>
        </w:rPr>
      </w:pPr>
      <w:r>
        <w:rPr>
          <w:rFonts w:ascii="Arial" w:cs="Arial" w:eastAsia="Arial" w:hAnsi="Arial"/>
          <w:sz w:val="17"/>
          <w:szCs w:val="17"/>
          <w:color w:val="auto"/>
        </w:rPr>
        <w:t>the last day of the Interest Period therefor, if such Lender may lawfully continue to maintain such Eurodollar Rate Loans to such day, or immediately, if such Lender may not lawfully continue to maintain such Eurodollar Rate Loans. Upon any such prepayment or conversion, the Borrower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pacing w:after="0" w:line="36" w:lineRule="exact"/>
        <w:rPr>
          <w:sz w:val="20"/>
          <w:szCs w:val="20"/>
          <w:color w:val="auto"/>
        </w:rPr>
      </w:pPr>
    </w:p>
    <w:p>
      <w:pPr>
        <w:ind w:firstLine="440"/>
        <w:spacing w:after="0" w:line="257" w:lineRule="auto"/>
        <w:tabs>
          <w:tab w:leader="none" w:pos="68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Export Development Corporation as a Lender (“EDC”) determines, acting reasonably, that any applicable law of the United States or any State thereof has made it unlawful, or that any Governmental Authority asserts that it is unlawful, for EDC as a Lender to hold or benefit from a Lien on Real Property pursuant to any law of the United States or any State thereof, EDC may notify the Administrative Agent and may disclaim any benefit of such security interest to the extent of such illegality, but such determination or disclaimer shall not invalidate, render unenforceable or otherwise adversely affect in any manner such Lien for the benefit of any other Lender or other holder of Secured Obligations.</w:t>
      </w:r>
    </w:p>
    <w:p>
      <w:pPr>
        <w:spacing w:after="0" w:line="13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b w:val="1"/>
          <w:bCs w:val="1"/>
          <w:color w:val="auto"/>
        </w:rPr>
        <w:t>Inability to Determine Rates.</w:t>
      </w:r>
      <w:r>
        <w:rPr>
          <w:rFonts w:ascii="Arial" w:cs="Arial" w:eastAsia="Arial" w:hAnsi="Arial"/>
          <w:sz w:val="17"/>
          <w:szCs w:val="17"/>
          <w:color w:val="auto"/>
        </w:rPr>
        <w:t xml:space="preserve"> If the Required Lenders determine that for any reason adequate and reasonable means do not exist for determining the Eurodollar Rate for any requested Interest Period with respect to a proposed Eurodollar Rate Loan, or that the Eurodollar Rate for any requested Interest Period with respect to a proposed Eurodollar Rate Loan does not adequately and fairly reflect the cost to such Lenders of funding such Loan, the Administrative Agent will promptly so notify the Borrower and each Lender. Thereafter, the obligation of the Lenders to make or maintain Eurodollar Rate Loans shall be suspended until the Administrative Agent (upon the instruction of the 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b w:val="1"/>
          <w:bCs w:val="1"/>
          <w:color w:val="auto"/>
        </w:rPr>
        <w:t>Increased Cost and Reduced Return; Capital Adequacy; Reserves on Eurodollar Rate Loans.</w:t>
      </w:r>
    </w:p>
    <w:p>
      <w:pPr>
        <w:spacing w:after="0" w:line="94" w:lineRule="exact"/>
        <w:rPr>
          <w:sz w:val="20"/>
          <w:szCs w:val="20"/>
          <w:color w:val="auto"/>
        </w:rPr>
      </w:pPr>
    </w:p>
    <w:p>
      <w:pPr>
        <w:ind w:left="680" w:hanging="240"/>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90" w:lineRule="exact"/>
        <w:rPr>
          <w:rFonts w:ascii="Arial" w:cs="Arial" w:eastAsia="Arial" w:hAnsi="Arial"/>
          <w:sz w:val="18"/>
          <w:szCs w:val="18"/>
          <w:color w:val="auto"/>
        </w:rPr>
      </w:pPr>
    </w:p>
    <w:p>
      <w:pPr>
        <w:ind w:right="140" w:firstLine="886"/>
        <w:spacing w:after="0" w:line="264" w:lineRule="auto"/>
        <w:tabs>
          <w:tab w:leader="none" w:pos="109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46" w:lineRule="exact"/>
        <w:rPr>
          <w:rFonts w:ascii="Arial" w:cs="Arial" w:eastAsia="Arial" w:hAnsi="Arial"/>
          <w:sz w:val="18"/>
          <w:szCs w:val="18"/>
          <w:color w:val="auto"/>
        </w:rPr>
      </w:pPr>
    </w:p>
    <w:p>
      <w:pPr>
        <w:ind w:right="160" w:firstLine="886"/>
        <w:spacing w:after="0" w:line="264" w:lineRule="auto"/>
        <w:tabs>
          <w:tab w:leader="none" w:pos="114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46" w:lineRule="exact"/>
        <w:rPr>
          <w:rFonts w:ascii="Arial" w:cs="Arial" w:eastAsia="Arial" w:hAnsi="Arial"/>
          <w:sz w:val="18"/>
          <w:szCs w:val="18"/>
          <w:color w:val="auto"/>
        </w:rPr>
      </w:pPr>
    </w:p>
    <w:p>
      <w:pPr>
        <w:ind w:right="280" w:firstLine="886"/>
        <w:spacing w:after="0" w:line="277" w:lineRule="auto"/>
        <w:tabs>
          <w:tab w:leader="none" w:pos="119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impose on any Lender or L/C Issuer or the London interbank market any other condition, cost or expense (other than Taxes) affecting this Agreement or Loans made by such Lender or any Letter of Credit or participation therein;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the result of any of the foregoing shall be to increase the cost to such Lender of making, continuing, converting to or maintaining any Loan the interest on which is determined by reference to the Eurodollar Rate (or of maintaining its obligation to make any such Loan), or to increase the cost to such Lender or the L/C Issuer of participating in, issuing or maintaining any Letter of Credit (or of maintaining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881" w:right="259" w:bottom="1440" w:gutter="0" w:footer="0" w:header="0"/>
        </w:sectPr>
      </w:pPr>
    </w:p>
    <w:bookmarkStart w:id="126" w:name="page127"/>
    <w:bookmarkEnd w:id="126"/>
    <w:p>
      <w:pPr>
        <w:ind w:right="220"/>
        <w:spacing w:after="0" w:line="259" w:lineRule="auto"/>
        <w:rPr>
          <w:sz w:val="20"/>
          <w:szCs w:val="20"/>
          <w:color w:val="auto"/>
        </w:rPr>
      </w:pPr>
      <w:r>
        <w:rPr>
          <w:rFonts w:ascii="Arial" w:cs="Arial" w:eastAsia="Arial" w:hAnsi="Arial"/>
          <w:sz w:val="18"/>
          <w:szCs w:val="18"/>
          <w:color w:val="auto"/>
        </w:rPr>
        <w:t>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52" w:lineRule="exact"/>
        <w:rPr>
          <w:sz w:val="20"/>
          <w:szCs w:val="20"/>
          <w:color w:val="auto"/>
        </w:rPr>
      </w:pPr>
    </w:p>
    <w:p>
      <w:pPr>
        <w:ind w:right="20" w:firstLine="440"/>
        <w:spacing w:after="0" w:line="290" w:lineRule="auto"/>
        <w:tabs>
          <w:tab w:leader="none" w:pos="68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31" w:lineRule="exact"/>
        <w:rPr>
          <w:rFonts w:ascii="Arial" w:cs="Arial" w:eastAsia="Arial" w:hAnsi="Arial"/>
          <w:sz w:val="16"/>
          <w:szCs w:val="16"/>
          <w:color w:val="auto"/>
        </w:rPr>
      </w:pPr>
    </w:p>
    <w:p>
      <w:pPr>
        <w:jc w:val="both"/>
        <w:ind w:right="80" w:firstLine="440"/>
        <w:spacing w:after="0" w:line="312" w:lineRule="auto"/>
        <w:tabs>
          <w:tab w:leader="none" w:pos="67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certificate of a Lender or a L/C Issuer setting forth the amount or amounts necessary to compensate such Lender or such L/C Issuer or its holding company, as the case may be, as specified in subsection (a) or (b) of this Section and delivered to the Borrower shall be conclusive absent manifest error. The Borrower shall pay such Lender or such L/C Issuer, as the case may be, the amount shown as due on any such certificate within 15 days after receipt thereof.</w:t>
      </w:r>
    </w:p>
    <w:p>
      <w:pPr>
        <w:spacing w:after="0" w:line="11" w:lineRule="exact"/>
        <w:rPr>
          <w:rFonts w:ascii="Arial" w:cs="Arial" w:eastAsia="Arial" w:hAnsi="Arial"/>
          <w:sz w:val="16"/>
          <w:szCs w:val="16"/>
          <w:color w:val="auto"/>
        </w:rPr>
      </w:pPr>
    </w:p>
    <w:p>
      <w:pPr>
        <w:ind w:right="120" w:firstLine="440"/>
        <w:spacing w:after="0" w:line="293" w:lineRule="auto"/>
        <w:tabs>
          <w:tab w:leader="none" w:pos="68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L/C Issuer pursuant to the foregoing provisions of this Section for any increased costs incurred or reductions suffered more than 270 days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270-day period referred to above shall be extended to include the period of retroactive effect thereof).</w:t>
      </w:r>
    </w:p>
    <w:p>
      <w:pPr>
        <w:spacing w:after="0" w:line="29" w:lineRule="exact"/>
        <w:rPr>
          <w:rFonts w:ascii="Arial" w:cs="Arial" w:eastAsia="Arial" w:hAnsi="Arial"/>
          <w:sz w:val="16"/>
          <w:szCs w:val="16"/>
          <w:color w:val="auto"/>
        </w:rPr>
      </w:pPr>
    </w:p>
    <w:p>
      <w:pPr>
        <w:ind w:firstLine="440"/>
        <w:spacing w:after="0" w:line="272" w:lineRule="auto"/>
        <w:tabs>
          <w:tab w:leader="none" w:pos="67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Borrower shall pay to each Lender, as long as such Lender shall be required to maintain reserves with respect to liabilities or assets consisting of or including Eurocurrency funds or deposits (currently known as “</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additional interest on the unpaid principal amount of each Eurodollar Rate Loan, and of each Base Rate Loan bearing interest based on the Eurodollar Rate, equal to the actual costs of such reserves allocated to such Loan by such Lender (as determined by such Lender in good faith, which determination shall be conclusive), which shall be due and payable on each date on which interest is payable on such Loan, provided the Borrower shall have received at least 15 days’ prior notice (with a copy to the Administrative Agent) of such additional interest from such Lender. If a Lender fails to give notice 15 days prior to the relevant Interest Payment Date, such additional interest shall be due and payable 15 days from receipt of such notice.</w:t>
      </w:r>
    </w:p>
    <w:p>
      <w:pPr>
        <w:spacing w:after="0" w:line="120"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b w:val="1"/>
          <w:bCs w:val="1"/>
          <w:color w:val="auto"/>
        </w:rPr>
        <w:t>Compensation for Losses.</w:t>
      </w:r>
      <w:r>
        <w:rPr>
          <w:rFonts w:ascii="Arial" w:cs="Arial" w:eastAsia="Arial" w:hAnsi="Arial"/>
          <w:sz w:val="18"/>
          <w:szCs w:val="18"/>
          <w:color w:val="auto"/>
        </w:rPr>
        <w:t xml:space="preserve"> Upon demand of any Lender (with a copy to the Administrative Agent) from time to time, the Borrower shall promptly compensate such Lender for and hold such Lender harmless from any loss, cost or expense incurred by it as a result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963" w:right="239" w:bottom="1440" w:gutter="0" w:footer="0" w:header="0"/>
        </w:sectPr>
      </w:pPr>
    </w:p>
    <w:bookmarkStart w:id="127" w:name="page128"/>
    <w:bookmarkEnd w:id="127"/>
    <w:p>
      <w:pPr>
        <w:ind w:firstLine="440"/>
        <w:spacing w:after="0" w:line="277" w:lineRule="auto"/>
        <w:tabs>
          <w:tab w:leader="none" w:pos="6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spacing w:after="0" w:line="35" w:lineRule="exact"/>
        <w:rPr>
          <w:rFonts w:ascii="Arial" w:cs="Arial" w:eastAsia="Arial" w:hAnsi="Arial"/>
          <w:sz w:val="18"/>
          <w:szCs w:val="18"/>
          <w:color w:val="auto"/>
        </w:rPr>
      </w:pPr>
    </w:p>
    <w:p>
      <w:pPr>
        <w:ind w:right="360" w:firstLine="440"/>
        <w:spacing w:after="0" w:line="277" w:lineRule="auto"/>
        <w:tabs>
          <w:tab w:leader="none" w:pos="68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35" w:lineRule="exact"/>
        <w:rPr>
          <w:rFonts w:ascii="Arial" w:cs="Arial" w:eastAsia="Arial" w:hAnsi="Arial"/>
          <w:sz w:val="18"/>
          <w:szCs w:val="18"/>
          <w:color w:val="auto"/>
        </w:rPr>
      </w:pPr>
    </w:p>
    <w:p>
      <w:pPr>
        <w:ind w:right="360" w:firstLine="440"/>
        <w:spacing w:after="0" w:line="277" w:lineRule="auto"/>
        <w:tabs>
          <w:tab w:leader="none" w:pos="6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b w:val="1"/>
          <w:bCs w:val="1"/>
          <w:color w:val="auto"/>
        </w:rPr>
        <w:t>Matters Applicable to all Requests for Compensation.</w:t>
      </w:r>
    </w:p>
    <w:p>
      <w:pPr>
        <w:spacing w:after="0" w:line="94" w:lineRule="exact"/>
        <w:rPr>
          <w:sz w:val="20"/>
          <w:szCs w:val="20"/>
          <w:color w:val="auto"/>
        </w:rPr>
      </w:pPr>
    </w:p>
    <w:p>
      <w:pPr>
        <w:ind w:right="80" w:firstLine="440"/>
        <w:spacing w:after="0" w:line="264" w:lineRule="auto"/>
        <w:tabs>
          <w:tab w:leader="none" w:pos="67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 certificate of the Administrative Agent or any Lender claiming compensation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setting forth the additional amount or amounts to be paid to it hereunder shall be conclusive in the absence of manifest error. In determining such amount, the Administrative Agent or such Lender may use any reasonable averaging and attribution methods.</w:t>
      </w:r>
    </w:p>
    <w:p>
      <w:pPr>
        <w:spacing w:after="0" w:line="46" w:lineRule="exact"/>
        <w:rPr>
          <w:rFonts w:ascii="Arial" w:cs="Arial" w:eastAsia="Arial" w:hAnsi="Arial"/>
          <w:sz w:val="18"/>
          <w:szCs w:val="18"/>
          <w:color w:val="auto"/>
        </w:rPr>
      </w:pPr>
    </w:p>
    <w:p>
      <w:pPr>
        <w:ind w:right="80" w:firstLine="440"/>
        <w:spacing w:after="0" w:line="277" w:lineRule="auto"/>
        <w:tabs>
          <w:tab w:leader="none" w:pos="68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Upon any Lender’s making a claim for compensation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or if the Borrower is required to pay any amount for the account of any Lender or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12"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and repayment of all other Obligations hereunder.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153" w:lineRule="exact"/>
        <w:rPr>
          <w:sz w:val="20"/>
          <w:szCs w:val="20"/>
          <w:color w:val="auto"/>
        </w:rPr>
      </w:pPr>
    </w:p>
    <w:p>
      <w:pPr>
        <w:ind w:right="160" w:firstLine="432"/>
        <w:spacing w:after="0" w:line="314"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b w:val="1"/>
          <w:bCs w:val="1"/>
          <w:color w:val="auto"/>
        </w:rPr>
        <w:t>Conditions to Effectiveness of this Agreement (Execution Date).</w:t>
      </w:r>
      <w:r>
        <w:rPr>
          <w:rFonts w:ascii="Arial" w:cs="Arial" w:eastAsia="Arial" w:hAnsi="Arial"/>
          <w:sz w:val="16"/>
          <w:szCs w:val="16"/>
          <w:color w:val="auto"/>
        </w:rPr>
        <w:t xml:space="preserve"> This Agreement shall be effective upon satisfaction (or waiver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of the conditions precedent set forth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obligations of the Lenders to make Credit Extensions hereunder are subject to satisfaction (or waiver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of the conditions precedent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4.03</w:t>
      </w:r>
      <w:r>
        <w:rPr>
          <w:rFonts w:ascii="Arial" w:cs="Arial" w:eastAsia="Arial" w:hAnsi="Arial"/>
          <w:sz w:val="16"/>
          <w:szCs w:val="16"/>
          <w:color w:val="auto"/>
        </w:rPr>
        <w:t>:</w:t>
      </w:r>
    </w:p>
    <w:p>
      <w:pPr>
        <w:spacing w:after="0" w:line="11" w:lineRule="exact"/>
        <w:rPr>
          <w:sz w:val="20"/>
          <w:szCs w:val="20"/>
          <w:color w:val="auto"/>
        </w:rPr>
      </w:pPr>
    </w:p>
    <w:p>
      <w:pPr>
        <w:jc w:val="both"/>
        <w:ind w:right="720" w:firstLine="440"/>
        <w:spacing w:after="0" w:line="334" w:lineRule="auto"/>
        <w:tabs>
          <w:tab w:leader="none" w:pos="67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or facsimiles (followed promptly by originals) unless otherwise specified, each dated the Execution Date (or, in the case of certificates of governmental officials, a recent date before the Execution Date):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962" w:right="239" w:bottom="1440" w:gutter="0" w:footer="0" w:header="0"/>
        </w:sectPr>
      </w:pPr>
    </w:p>
    <w:bookmarkStart w:id="128" w:name="page129"/>
    <w:bookmarkEnd w:id="128"/>
    <w:p>
      <w:pPr>
        <w:ind w:left="1100" w:hanging="214"/>
        <w:spacing w:after="0"/>
        <w:tabs>
          <w:tab w:leader="none" w:pos="11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executed counterparts of this Agreement, in the number requested by the Administrative Agent;</w:t>
      </w:r>
    </w:p>
    <w:p>
      <w:pPr>
        <w:spacing w:after="0" w:line="90" w:lineRule="exact"/>
        <w:rPr>
          <w:rFonts w:ascii="Arial" w:cs="Arial" w:eastAsia="Arial" w:hAnsi="Arial"/>
          <w:sz w:val="18"/>
          <w:szCs w:val="18"/>
          <w:color w:val="auto"/>
        </w:rPr>
      </w:pPr>
    </w:p>
    <w:p>
      <w:pPr>
        <w:ind w:firstLine="886"/>
        <w:spacing w:after="0" w:line="291" w:lineRule="auto"/>
        <w:tabs>
          <w:tab w:leader="none" w:pos="114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following, each in form and substance satisfactory to the Administrative Agent: a certificate of the secretary or an assistant secretary of the General Partner on behalf of the Parent Guarantor and the Borrower certifying as to the incumbency and genuineness of the signature of each officer of the General Partner executing the Loan Documents and certifying that attached thereto is a true, correct and complete copy of (A) the certificate of limited partnership or formation of such party and all amendments thereto, certified as of a recent date by the appropriate Governmental Authority in its jurisdiction of incorporation or formation, (B) the limited partnership agreement, limited liability company agreement or other governing document of such party as in effect on the Execution Date, and (C) resolutions duly adopted by the board of directors (or other governing body) of such party authorizing and approving the transactions contemplated hereunder and the execution, delivery and performance of this Agreement and the other Loan Documents to which it is a party;</w:t>
      </w:r>
    </w:p>
    <w:p>
      <w:pPr>
        <w:spacing w:after="0" w:line="32" w:lineRule="exact"/>
        <w:rPr>
          <w:rFonts w:ascii="Arial" w:cs="Arial" w:eastAsia="Arial" w:hAnsi="Arial"/>
          <w:sz w:val="16"/>
          <w:szCs w:val="16"/>
          <w:color w:val="auto"/>
        </w:rPr>
      </w:pPr>
    </w:p>
    <w:p>
      <w:pPr>
        <w:ind w:right="60" w:firstLine="886"/>
        <w:spacing w:after="0" w:line="264" w:lineRule="auto"/>
        <w:tabs>
          <w:tab w:leader="none" w:pos="119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certificate of a Responsible Officer of the General Partner on behalf of the Parent Guarantor and the Borrower stating that all governmental and regulatory approvals necessary in connection with execution and delivery of this Agreement by the Parent Guarantor and the Borrower shall have been obtained and be in full force and effect or stating that no such approvals are required; and</w:t>
      </w:r>
    </w:p>
    <w:p>
      <w:pPr>
        <w:spacing w:after="0" w:line="46" w:lineRule="exact"/>
        <w:rPr>
          <w:rFonts w:ascii="Arial" w:cs="Arial" w:eastAsia="Arial" w:hAnsi="Arial"/>
          <w:sz w:val="18"/>
          <w:szCs w:val="18"/>
          <w:color w:val="auto"/>
        </w:rPr>
      </w:pPr>
    </w:p>
    <w:p>
      <w:pPr>
        <w:ind w:right="180" w:firstLine="886"/>
        <w:spacing w:after="0" w:line="277" w:lineRule="auto"/>
        <w:tabs>
          <w:tab w:leader="none" w:pos="118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certificates evidencing existence and good standing of each Loan Party, issued by the applicable Governmental Authority of the state where each is organized.</w:t>
      </w:r>
    </w:p>
    <w:p>
      <w:pPr>
        <w:spacing w:after="0" w:line="35" w:lineRule="exact"/>
        <w:rPr>
          <w:rFonts w:ascii="Arial" w:cs="Arial" w:eastAsia="Arial" w:hAnsi="Arial"/>
          <w:sz w:val="18"/>
          <w:szCs w:val="18"/>
          <w:color w:val="auto"/>
        </w:rPr>
      </w:pPr>
    </w:p>
    <w:p>
      <w:pPr>
        <w:ind w:right="620" w:firstLine="440"/>
        <w:spacing w:after="0" w:line="264" w:lineRule="auto"/>
        <w:tabs>
          <w:tab w:leader="none" w:pos="68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Lenders shall have received such documentation and other information as may be required by them in order to enable compliance with applicable “know your customer” and anti-money laundering rules and regulations, including the information required by the USA PATRIOT Act and information described in </w:t>
      </w:r>
      <w:r>
        <w:rPr>
          <w:rFonts w:ascii="Arial" w:cs="Arial" w:eastAsia="Arial" w:hAnsi="Arial"/>
          <w:sz w:val="18"/>
          <w:szCs w:val="18"/>
          <w:u w:val="single" w:color="auto"/>
          <w:color w:val="auto"/>
        </w:rPr>
        <w:t>Section 11.19</w:t>
      </w:r>
      <w:r>
        <w:rPr>
          <w:rFonts w:ascii="Arial" w:cs="Arial" w:eastAsia="Arial" w:hAnsi="Arial"/>
          <w:sz w:val="18"/>
          <w:szCs w:val="18"/>
          <w:color w:val="auto"/>
        </w:rPr>
        <w:t>.</w:t>
      </w:r>
    </w:p>
    <w:p>
      <w:pPr>
        <w:spacing w:after="0" w:line="12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Execution Date specifying its objection thereto.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Administrative Agent shall notify the Lenders and the Borrower of the Execution Date, and such notice shall be conclusive and binding.</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b w:val="1"/>
          <w:bCs w:val="1"/>
          <w:color w:val="auto"/>
        </w:rPr>
        <w:t>Conditions of the Closing Date.</w:t>
      </w:r>
      <w:r>
        <w:rPr>
          <w:rFonts w:ascii="Arial" w:cs="Arial" w:eastAsia="Arial" w:hAnsi="Arial"/>
          <w:sz w:val="16"/>
          <w:szCs w:val="16"/>
          <w:color w:val="auto"/>
        </w:rPr>
        <w:t xml:space="preserve"> The obligation of each Lender to make its initial Credit Extension hereunder is subject to the occurrence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Execution Date and satisfaction (or waiver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of the following conditions precedent:</w:t>
      </w:r>
    </w:p>
    <w:p>
      <w:pPr>
        <w:spacing w:after="0" w:line="76" w:lineRule="exact"/>
        <w:rPr>
          <w:sz w:val="20"/>
          <w:szCs w:val="20"/>
          <w:color w:val="auto"/>
        </w:rPr>
      </w:pPr>
    </w:p>
    <w:p>
      <w:pPr>
        <w:ind w:right="360" w:firstLine="440"/>
        <w:spacing w:after="0" w:line="259" w:lineRule="auto"/>
        <w:tabs>
          <w:tab w:leader="none" w:pos="67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facsimiles (followed promptly by originals) unless otherwise specified, each properly executed by a Responsible Officer to the extent required to be executed, each dated the Closing Date (or, in the case of certificates of governmental officials, a recent date before the Closing Date) and each in form and substance reasonably satisfactory to the Administrative Agent and the Required Lenders: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81" w:right="239" w:bottom="1440" w:gutter="0" w:footer="0" w:header="0"/>
        </w:sectPr>
      </w:pPr>
    </w:p>
    <w:bookmarkStart w:id="129" w:name="page130"/>
    <w:bookmarkEnd w:id="129"/>
    <w:p>
      <w:pPr>
        <w:ind w:left="1100" w:hanging="214"/>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w:t>
      </w:r>
    </w:p>
    <w:p>
      <w:pPr>
        <w:spacing w:after="0" w:line="90" w:lineRule="exact"/>
        <w:rPr>
          <w:rFonts w:ascii="Arial" w:cs="Arial" w:eastAsia="Arial" w:hAnsi="Arial"/>
          <w:sz w:val="18"/>
          <w:szCs w:val="18"/>
          <w:color w:val="auto"/>
        </w:rPr>
      </w:pPr>
    </w:p>
    <w:p>
      <w:pPr>
        <w:ind w:left="1160" w:hanging="274"/>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executed counterparts of the Subsidiary Guaranty Agreement;</w:t>
      </w:r>
    </w:p>
    <w:p>
      <w:pPr>
        <w:spacing w:after="0" w:line="90" w:lineRule="exact"/>
        <w:rPr>
          <w:rFonts w:ascii="Arial" w:cs="Arial" w:eastAsia="Arial" w:hAnsi="Arial"/>
          <w:sz w:val="18"/>
          <w:szCs w:val="18"/>
          <w:color w:val="auto"/>
        </w:rPr>
      </w:pPr>
    </w:p>
    <w:p>
      <w:pPr>
        <w:ind w:right="200" w:firstLine="886"/>
        <w:spacing w:after="0" w:line="277" w:lineRule="auto"/>
        <w:tabs>
          <w:tab w:leader="none" w:pos="11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executed counterparts of the Security Agreement and such other security agreements, if any, as may be required to be delivered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together with</w:t>
      </w:r>
    </w:p>
    <w:p>
      <w:pPr>
        <w:spacing w:after="0" w:line="35" w:lineRule="exact"/>
        <w:rPr>
          <w:rFonts w:ascii="Arial" w:cs="Arial" w:eastAsia="Arial" w:hAnsi="Arial"/>
          <w:sz w:val="18"/>
          <w:szCs w:val="18"/>
          <w:color w:val="auto"/>
        </w:rPr>
      </w:pPr>
    </w:p>
    <w:p>
      <w:pPr>
        <w:jc w:val="both"/>
        <w:ind w:right="20" w:firstLine="1318"/>
        <w:spacing w:after="0" w:line="264" w:lineRule="auto"/>
        <w:tabs>
          <w:tab w:leader="none" w:pos="160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original stock certificates or other certificates evidencing the Equity Interests pledged pursuant thereto, an undated stock power for each such certificate duly executed in blank by the registered owner thereof and, in the case of a pledge of Equity Interests issued by a Person who is not a party to the Security Agreement, an acknowledgment of pledge executed by such Person;</w:t>
      </w:r>
    </w:p>
    <w:p>
      <w:pPr>
        <w:spacing w:after="0" w:line="46" w:lineRule="exact"/>
        <w:rPr>
          <w:rFonts w:ascii="Arial" w:cs="Arial" w:eastAsia="Arial" w:hAnsi="Arial"/>
          <w:sz w:val="18"/>
          <w:szCs w:val="18"/>
          <w:color w:val="auto"/>
        </w:rPr>
      </w:pPr>
    </w:p>
    <w:p>
      <w:pPr>
        <w:ind w:left="1600" w:hanging="282"/>
        <w:spacing w:after="0"/>
        <w:tabs>
          <w:tab w:leader="none" w:pos="16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copies of the Organization Documents of each issuer of Equity Interests being pledged to the extent not previously delivered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75" w:lineRule="exact"/>
        <w:rPr>
          <w:rFonts w:ascii="Arial" w:cs="Arial" w:eastAsia="Arial" w:hAnsi="Arial"/>
          <w:sz w:val="16"/>
          <w:szCs w:val="16"/>
          <w:color w:val="auto"/>
        </w:rPr>
      </w:pPr>
    </w:p>
    <w:p>
      <w:pPr>
        <w:ind w:right="40" w:firstLine="1318"/>
        <w:spacing w:after="0" w:line="277" w:lineRule="auto"/>
        <w:tabs>
          <w:tab w:leader="none" w:pos="159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original promissory note, if any, pledged pursuant to the Security Agreements together with an undated endorsement for each such promissory note duly executed in blank by the holder thereof;</w:t>
      </w:r>
    </w:p>
    <w:p>
      <w:pPr>
        <w:spacing w:after="0" w:line="35" w:lineRule="exact"/>
        <w:rPr>
          <w:rFonts w:ascii="Arial" w:cs="Arial" w:eastAsia="Arial" w:hAnsi="Arial"/>
          <w:sz w:val="18"/>
          <w:szCs w:val="18"/>
          <w:color w:val="auto"/>
        </w:rPr>
      </w:pPr>
    </w:p>
    <w:p>
      <w:pPr>
        <w:ind w:right="20" w:firstLine="1318"/>
        <w:spacing w:after="0" w:line="264" w:lineRule="auto"/>
        <w:tabs>
          <w:tab w:leader="none" w:pos="160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financing statements in form appropriate for filing under the Uniform Commercial Code of all jurisdictions in which the Administrative Agent may deem necessary or desirable in order to perfect the Liens created under the Security Agreements, covering the Collateral, provided however that no mortgages or fixture filings shall be required to be filed in county recording offices;</w:t>
      </w:r>
    </w:p>
    <w:p>
      <w:pPr>
        <w:spacing w:after="0" w:line="46" w:lineRule="exact"/>
        <w:rPr>
          <w:rFonts w:ascii="Arial" w:cs="Arial" w:eastAsia="Arial" w:hAnsi="Arial"/>
          <w:sz w:val="18"/>
          <w:szCs w:val="18"/>
          <w:color w:val="auto"/>
        </w:rPr>
      </w:pPr>
    </w:p>
    <w:p>
      <w:pPr>
        <w:ind w:left="1600" w:hanging="282"/>
        <w:spacing w:after="0"/>
        <w:tabs>
          <w:tab w:leader="none" w:pos="16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such UCC-3 termination statements as may be required in order to release Liens on the Collateral, if any, other than Liens permitted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75" w:lineRule="exact"/>
        <w:rPr>
          <w:rFonts w:ascii="Arial" w:cs="Arial" w:eastAsia="Arial" w:hAnsi="Arial"/>
          <w:sz w:val="16"/>
          <w:szCs w:val="16"/>
          <w:color w:val="auto"/>
        </w:rPr>
      </w:pPr>
    </w:p>
    <w:p>
      <w:pPr>
        <w:ind w:left="1580" w:hanging="262"/>
        <w:spacing w:after="0"/>
        <w:tabs>
          <w:tab w:leader="none" w:pos="15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such lien searches as the Administrative Agent shall reasonably request; and</w:t>
      </w:r>
    </w:p>
    <w:p>
      <w:pPr>
        <w:spacing w:after="0" w:line="90" w:lineRule="exact"/>
        <w:rPr>
          <w:rFonts w:ascii="Arial" w:cs="Arial" w:eastAsia="Arial" w:hAnsi="Arial"/>
          <w:sz w:val="18"/>
          <w:szCs w:val="18"/>
          <w:color w:val="auto"/>
        </w:rPr>
      </w:pPr>
    </w:p>
    <w:p>
      <w:pPr>
        <w:ind w:right="80" w:firstLine="1318"/>
        <w:spacing w:after="0" w:line="277" w:lineRule="auto"/>
        <w:tabs>
          <w:tab w:leader="none" w:pos="160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evidence of the completion of such other actions that the Administrative Agent may deem reasonably necessary or desirable in order to perfect the Liens created thereby;</w:t>
      </w:r>
    </w:p>
    <w:p>
      <w:pPr>
        <w:spacing w:after="0" w:line="35" w:lineRule="exact"/>
        <w:rPr>
          <w:rFonts w:ascii="Arial" w:cs="Arial" w:eastAsia="Arial" w:hAnsi="Arial"/>
          <w:sz w:val="18"/>
          <w:szCs w:val="18"/>
          <w:color w:val="auto"/>
        </w:rPr>
      </w:pPr>
    </w:p>
    <w:p>
      <w:pPr>
        <w:ind w:right="40" w:firstLine="886"/>
        <w:spacing w:after="0" w:line="302" w:lineRule="auto"/>
        <w:tabs>
          <w:tab w:leader="none" w:pos="11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favorable opinion of (i) Latham &amp; Watkins, LLP, counsel to the Loan Parties, covering such matters concerning the Loan Parties, the Loan Documents and the Collateral as the Arrangers may reasonably request, (ii) Colorado counsel to the Loan Parties, covering such matters concerning any Loan Party organized in Colorado as the Arrangers may reasonably request and (iii) Utah and Wyoming counsel to the Loan Parties, covering the transmitting utility financing statements to be filed in each such state, in the case of each opinion, in form and substance reasonably satisfactory to the Arrangers;</w:t>
      </w:r>
    </w:p>
    <w:p>
      <w:pPr>
        <w:spacing w:after="0" w:line="19" w:lineRule="exact"/>
        <w:rPr>
          <w:rFonts w:ascii="Arial" w:cs="Arial" w:eastAsia="Arial" w:hAnsi="Arial"/>
          <w:sz w:val="16"/>
          <w:szCs w:val="16"/>
          <w:color w:val="auto"/>
        </w:rPr>
      </w:pPr>
    </w:p>
    <w:p>
      <w:pPr>
        <w:ind w:right="560" w:firstLine="886"/>
        <w:spacing w:after="0" w:line="308" w:lineRule="auto"/>
        <w:tabs>
          <w:tab w:leader="none" w:pos="113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financial projections of the Borrower and the Acquired Businesses through December 31, 2015, prepared on a basis consistent with the financial projections of the Borrower and the Acquired Businesses delivered to the Arrangers prior to the Closing Date; and</w:t>
      </w:r>
    </w:p>
    <w:p>
      <w:pPr>
        <w:spacing w:after="0" w:line="11" w:lineRule="exact"/>
        <w:rPr>
          <w:rFonts w:ascii="Arial" w:cs="Arial" w:eastAsia="Arial" w:hAnsi="Arial"/>
          <w:sz w:val="17"/>
          <w:szCs w:val="17"/>
          <w:color w:val="auto"/>
        </w:rPr>
      </w:pPr>
    </w:p>
    <w:p>
      <w:pPr>
        <w:ind w:right="20" w:firstLine="886"/>
        <w:spacing w:after="0" w:line="308" w:lineRule="auto"/>
        <w:tabs>
          <w:tab w:leader="none" w:pos="118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certificates of insurance evidencing the insurance required to be maintained pursuant to this Agreement, naming the Administrative Agent, on behalf of the Secured Parties as an additional insured or loss payee, as the case may be, delivered together with a certificate of a</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82" w:right="239" w:bottom="1440" w:gutter="0" w:footer="0" w:header="0"/>
        </w:sectPr>
      </w:pPr>
    </w:p>
    <w:bookmarkStart w:id="130" w:name="page131"/>
    <w:bookmarkEnd w:id="130"/>
    <w:p>
      <w:pPr>
        <w:ind w:right="140" w:firstLine="432"/>
        <w:spacing w:after="0" w:line="334" w:lineRule="auto"/>
        <w:rPr>
          <w:sz w:val="20"/>
          <w:szCs w:val="20"/>
          <w:color w:val="auto"/>
        </w:rPr>
      </w:pPr>
      <w:r>
        <w:rPr>
          <w:rFonts w:ascii="Arial" w:cs="Arial" w:eastAsia="Arial" w:hAnsi="Arial"/>
          <w:sz w:val="16"/>
          <w:szCs w:val="16"/>
          <w:color w:val="auto"/>
        </w:rPr>
        <w:t xml:space="preserve">Responsible Officer of the General Partner on behalf of the Parent Guarantor and the Borrower (which may be combined with the certificate delivered pursuant to </w:t>
      </w:r>
      <w:r>
        <w:rPr>
          <w:rFonts w:ascii="Arial" w:cs="Arial" w:eastAsia="Arial" w:hAnsi="Arial"/>
          <w:sz w:val="16"/>
          <w:szCs w:val="16"/>
          <w:u w:val="single" w:color="auto"/>
          <w:color w:val="auto"/>
        </w:rPr>
        <w:t>Section 4.02(b)(iii)</w:t>
      </w:r>
      <w:r>
        <w:rPr>
          <w:rFonts w:ascii="Arial" w:cs="Arial" w:eastAsia="Arial" w:hAnsi="Arial"/>
          <w:sz w:val="16"/>
          <w:szCs w:val="16"/>
          <w:color w:val="auto"/>
        </w:rPr>
        <w:t>) certifying that all insurance required to be maintained pursuant to this Agreement has been obtained and is in effect.</w:t>
      </w:r>
    </w:p>
    <w:p>
      <w:pPr>
        <w:spacing w:after="0" w:line="1" w:lineRule="exact"/>
        <w:rPr>
          <w:sz w:val="20"/>
          <w:szCs w:val="20"/>
          <w:color w:val="auto"/>
        </w:rPr>
      </w:pPr>
    </w:p>
    <w:p>
      <w:pPr>
        <w:ind w:right="340" w:firstLine="440"/>
        <w:spacing w:after="0" w:line="312" w:lineRule="auto"/>
        <w:tabs>
          <w:tab w:leader="none" w:pos="68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or facsimiles (followed promptly by originals) unless otherwise specified, each properly executed by a Responsible Officer to the extent required to be executed, each dated the Closing Date (or, in the case of certificates of government officials, a recent date before the Closing Date) and each in form and substance satisfactory to the Administrative Agent:</w:t>
      </w:r>
    </w:p>
    <w:p>
      <w:pPr>
        <w:spacing w:after="0" w:line="11" w:lineRule="exact"/>
        <w:rPr>
          <w:rFonts w:ascii="Arial" w:cs="Arial" w:eastAsia="Arial" w:hAnsi="Arial"/>
          <w:sz w:val="16"/>
          <w:szCs w:val="16"/>
          <w:color w:val="auto"/>
        </w:rPr>
      </w:pPr>
    </w:p>
    <w:p>
      <w:pPr>
        <w:ind w:firstLine="886"/>
        <w:spacing w:after="0" w:line="271" w:lineRule="auto"/>
        <w:tabs>
          <w:tab w:leader="none" w:pos="1093" w:val="left"/>
        </w:tabs>
        <w:numPr>
          <w:ilvl w:val="2"/>
          <w:numId w:val="115"/>
        </w:numPr>
        <w:rPr>
          <w:rFonts w:ascii="Arial" w:cs="Arial" w:eastAsia="Arial" w:hAnsi="Arial"/>
          <w:sz w:val="17"/>
          <w:szCs w:val="17"/>
          <w:color w:val="auto"/>
        </w:rPr>
      </w:pPr>
      <w:r>
        <w:rPr>
          <w:rFonts w:ascii="Arial" w:cs="Arial" w:eastAsia="Arial" w:hAnsi="Arial"/>
          <w:sz w:val="17"/>
          <w:szCs w:val="17"/>
          <w:color w:val="auto"/>
        </w:rPr>
        <w:t>a certificate of a secretary or assistant secretary of the General Partner on behalf of each Loan Party certifying as to the incumbency and genuineness of the signature of each officer of the General Partner executing the Loan Documents and certifying that attached thereto is a true, correct and complete copy of each of the following, or certifying that such documents were delivered on the Execution Date and certifying that since such date there have been no changes thereto: (A) the articles or certificate of limited partnership or formation of such Loan Party and all amendments thereto, certified as of a recent date by the appropriate Governmental Authority in its jurisdiction of incorporation or formation, (B) the limited partnership agreement, limited liability company agreement or other governing document of such Loan Party as in effect on the Closing Date, (C) resolutions duly adopted by the board of directors (or other governing body) of the General Partner authorizing and approving the transactions contemplated hereunder and the execution, delivery and performance of this Agreement and the other Loan Documents to which such Loan Party is a party; and</w:t>
      </w:r>
    </w:p>
    <w:p>
      <w:pPr>
        <w:spacing w:after="0" w:line="43" w:lineRule="exact"/>
        <w:rPr>
          <w:rFonts w:ascii="Arial" w:cs="Arial" w:eastAsia="Arial" w:hAnsi="Arial"/>
          <w:sz w:val="17"/>
          <w:szCs w:val="17"/>
          <w:color w:val="auto"/>
        </w:rPr>
      </w:pPr>
    </w:p>
    <w:p>
      <w:pPr>
        <w:ind w:right="360" w:firstLine="886"/>
        <w:spacing w:after="0" w:line="277" w:lineRule="auto"/>
        <w:tabs>
          <w:tab w:leader="none" w:pos="1143" w:val="left"/>
        </w:tabs>
        <w:numPr>
          <w:ilvl w:val="2"/>
          <w:numId w:val="115"/>
        </w:numPr>
        <w:rPr>
          <w:rFonts w:ascii="Arial" w:cs="Arial" w:eastAsia="Arial" w:hAnsi="Arial"/>
          <w:sz w:val="18"/>
          <w:szCs w:val="18"/>
          <w:color w:val="auto"/>
        </w:rPr>
      </w:pPr>
      <w:r>
        <w:rPr>
          <w:rFonts w:ascii="Arial" w:cs="Arial" w:eastAsia="Arial" w:hAnsi="Arial"/>
          <w:sz w:val="18"/>
          <w:szCs w:val="18"/>
          <w:color w:val="auto"/>
        </w:rPr>
        <w:t>certificates evidencing valid existence and good standing of each Loan Party, issued by the applicable governmental authority of the state where each is organized;</w:t>
      </w:r>
    </w:p>
    <w:p>
      <w:pPr>
        <w:spacing w:after="0" w:line="35" w:lineRule="exact"/>
        <w:rPr>
          <w:rFonts w:ascii="Arial" w:cs="Arial" w:eastAsia="Arial" w:hAnsi="Arial"/>
          <w:sz w:val="18"/>
          <w:szCs w:val="18"/>
          <w:color w:val="auto"/>
        </w:rPr>
      </w:pPr>
    </w:p>
    <w:p>
      <w:pPr>
        <w:ind w:right="300" w:firstLine="886"/>
        <w:spacing w:after="0" w:line="277" w:lineRule="auto"/>
        <w:tabs>
          <w:tab w:leader="none" w:pos="1193"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certificate, dated the Closing Date and signed by a Responsible Officer of the General Partner on behalf of the Parent Guarantor and the Borrower certifying</w:t>
      </w:r>
    </w:p>
    <w:p>
      <w:pPr>
        <w:spacing w:after="0" w:line="35" w:lineRule="exact"/>
        <w:rPr>
          <w:rFonts w:ascii="Arial" w:cs="Arial" w:eastAsia="Arial" w:hAnsi="Arial"/>
          <w:sz w:val="18"/>
          <w:szCs w:val="18"/>
          <w:color w:val="auto"/>
        </w:rPr>
      </w:pPr>
    </w:p>
    <w:p>
      <w:pPr>
        <w:ind w:right="100" w:firstLine="1318"/>
        <w:spacing w:after="0" w:line="277" w:lineRule="auto"/>
        <w:tabs>
          <w:tab w:leader="none" w:pos="1605" w:val="left"/>
        </w:tabs>
        <w:numPr>
          <w:ilvl w:val="3"/>
          <w:numId w:val="115"/>
        </w:numPr>
        <w:rPr>
          <w:rFonts w:ascii="Arial" w:cs="Arial" w:eastAsia="Arial" w:hAnsi="Arial"/>
          <w:sz w:val="18"/>
          <w:szCs w:val="18"/>
          <w:color w:val="auto"/>
        </w:rPr>
      </w:pPr>
      <w:r>
        <w:rPr>
          <w:rFonts w:ascii="Arial" w:cs="Arial" w:eastAsia="Arial" w:hAnsi="Arial"/>
          <w:sz w:val="18"/>
          <w:szCs w:val="18"/>
          <w:color w:val="auto"/>
        </w:rPr>
        <w:t>that each of the Borrower and the Parent Guarantor (on a Consolidated basis together with its Consolidated Subsidiaries) is Solvent on such date after giving effect to the Transactions;</w:t>
      </w:r>
    </w:p>
    <w:p>
      <w:pPr>
        <w:spacing w:after="0" w:line="35" w:lineRule="exact"/>
        <w:rPr>
          <w:rFonts w:ascii="Arial" w:cs="Arial" w:eastAsia="Arial" w:hAnsi="Arial"/>
          <w:sz w:val="18"/>
          <w:szCs w:val="18"/>
          <w:color w:val="auto"/>
        </w:rPr>
      </w:pPr>
    </w:p>
    <w:p>
      <w:pPr>
        <w:ind w:left="1600" w:hanging="282"/>
        <w:spacing w:after="0"/>
        <w:tabs>
          <w:tab w:leader="none" w:pos="1600" w:val="left"/>
        </w:tabs>
        <w:numPr>
          <w:ilvl w:val="3"/>
          <w:numId w:val="115"/>
        </w:numPr>
        <w:rPr>
          <w:rFonts w:ascii="Arial" w:cs="Arial" w:eastAsia="Arial" w:hAnsi="Arial"/>
          <w:sz w:val="18"/>
          <w:szCs w:val="18"/>
          <w:color w:val="auto"/>
        </w:rPr>
      </w:pPr>
      <w:r>
        <w:rPr>
          <w:rFonts w:ascii="Arial" w:cs="Arial" w:eastAsia="Arial" w:hAnsi="Arial"/>
          <w:sz w:val="18"/>
          <w:szCs w:val="18"/>
          <w:color w:val="auto"/>
        </w:rPr>
        <w:t>that, both before and immediately after giving effect to the Transactions, no Default exists on such date;</w:t>
      </w:r>
    </w:p>
    <w:p>
      <w:pPr>
        <w:spacing w:after="0" w:line="90" w:lineRule="exact"/>
        <w:rPr>
          <w:rFonts w:ascii="Arial" w:cs="Arial" w:eastAsia="Arial" w:hAnsi="Arial"/>
          <w:sz w:val="18"/>
          <w:szCs w:val="18"/>
          <w:color w:val="auto"/>
        </w:rPr>
      </w:pPr>
    </w:p>
    <w:p>
      <w:pPr>
        <w:ind w:right="320" w:firstLine="1318"/>
        <w:spacing w:after="0" w:line="277" w:lineRule="auto"/>
        <w:tabs>
          <w:tab w:leader="none" w:pos="1595" w:val="left"/>
        </w:tabs>
        <w:numPr>
          <w:ilvl w:val="3"/>
          <w:numId w:val="115"/>
        </w:numPr>
        <w:rPr>
          <w:rFonts w:ascii="Arial" w:cs="Arial" w:eastAsia="Arial" w:hAnsi="Arial"/>
          <w:sz w:val="18"/>
          <w:szCs w:val="18"/>
          <w:color w:val="auto"/>
        </w:rPr>
      </w:pPr>
      <w:r>
        <w:rPr>
          <w:rFonts w:ascii="Arial" w:cs="Arial" w:eastAsia="Arial" w:hAnsi="Arial"/>
          <w:sz w:val="18"/>
          <w:szCs w:val="18"/>
          <w:color w:val="auto"/>
        </w:rPr>
        <w:t xml:space="preserve">that, both before and immediately after giving effect to the Transactions and the incurrence of Indebtedness on such date, if any,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true and correct on and as of such date;</w:t>
      </w:r>
    </w:p>
    <w:p>
      <w:pPr>
        <w:spacing w:after="0" w:line="35" w:lineRule="exact"/>
        <w:rPr>
          <w:rFonts w:ascii="Arial" w:cs="Arial" w:eastAsia="Arial" w:hAnsi="Arial"/>
          <w:sz w:val="18"/>
          <w:szCs w:val="18"/>
          <w:color w:val="auto"/>
        </w:rPr>
      </w:pPr>
    </w:p>
    <w:p>
      <w:pPr>
        <w:ind w:right="60" w:firstLine="1318"/>
        <w:spacing w:after="0" w:line="291" w:lineRule="auto"/>
        <w:tabs>
          <w:tab w:leader="none" w:pos="1605" w:val="left"/>
        </w:tabs>
        <w:numPr>
          <w:ilvl w:val="3"/>
          <w:numId w:val="115"/>
        </w:numPr>
        <w:rPr>
          <w:rFonts w:ascii="Arial" w:cs="Arial" w:eastAsia="Arial" w:hAnsi="Arial"/>
          <w:sz w:val="16"/>
          <w:szCs w:val="16"/>
          <w:color w:val="auto"/>
        </w:rPr>
      </w:pPr>
      <w:r>
        <w:rPr>
          <w:rFonts w:ascii="Arial" w:cs="Arial" w:eastAsia="Arial" w:hAnsi="Arial"/>
          <w:sz w:val="16"/>
          <w:szCs w:val="16"/>
          <w:color w:val="auto"/>
        </w:rPr>
        <w:t>that a true and correct copy of each Material Agreement either (i) has been filed with the SEC by the Parent Guarantor as exhibits to its Registration Statement as in effect on the date of the IPO (with certain terms thereof having been redacted as permitted by applicable SEC regulations) or</w:t>
      </w:r>
    </w:p>
    <w:p>
      <w:pPr>
        <w:ind w:left="280" w:hanging="272"/>
        <w:spacing w:after="0"/>
        <w:tabs>
          <w:tab w:leader="none" w:pos="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is attached to such certificate; and</w:t>
      </w:r>
    </w:p>
    <w:p>
      <w:pPr>
        <w:spacing w:after="0" w:line="75" w:lineRule="exact"/>
        <w:rPr>
          <w:rFonts w:ascii="Arial" w:cs="Arial" w:eastAsia="Arial" w:hAnsi="Arial"/>
          <w:sz w:val="18"/>
          <w:szCs w:val="18"/>
          <w:color w:val="auto"/>
        </w:rPr>
      </w:pPr>
    </w:p>
    <w:p>
      <w:pPr>
        <w:ind w:right="640" w:firstLine="1318"/>
        <w:spacing w:after="0" w:line="277" w:lineRule="auto"/>
        <w:tabs>
          <w:tab w:leader="none" w:pos="1585" w:val="left"/>
        </w:tabs>
        <w:numPr>
          <w:ilvl w:val="3"/>
          <w:numId w:val="116"/>
        </w:numPr>
        <w:rPr>
          <w:rFonts w:ascii="Arial" w:cs="Arial" w:eastAsia="Arial" w:hAnsi="Arial"/>
          <w:sz w:val="18"/>
          <w:szCs w:val="18"/>
          <w:color w:val="auto"/>
        </w:rPr>
      </w:pPr>
      <w:r>
        <w:rPr>
          <w:rFonts w:ascii="Arial" w:cs="Arial" w:eastAsia="Arial" w:hAnsi="Arial"/>
          <w:sz w:val="18"/>
          <w:szCs w:val="18"/>
          <w:color w:val="auto"/>
        </w:rPr>
        <w:t xml:space="preserve">as to the matters set forth in </w:t>
      </w:r>
      <w:r>
        <w:rPr>
          <w:rFonts w:ascii="Arial" w:cs="Arial" w:eastAsia="Arial" w:hAnsi="Arial"/>
          <w:sz w:val="18"/>
          <w:szCs w:val="18"/>
          <w:u w:val="single" w:color="auto"/>
          <w:color w:val="auto"/>
        </w:rPr>
        <w:t>paragraphs (e)</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in form and substance reasonably satisfactory to the Administrative Agent.</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881" w:right="259" w:bottom="1440" w:gutter="0" w:footer="0" w:header="0"/>
        </w:sectPr>
      </w:pPr>
    </w:p>
    <w:bookmarkStart w:id="131" w:name="page132"/>
    <w:bookmarkEnd w:id="131"/>
    <w:p>
      <w:pPr>
        <w:ind w:left="-40" w:right="40" w:firstLine="440"/>
        <w:spacing w:after="0" w:line="277" w:lineRule="auto"/>
        <w:tabs>
          <w:tab w:leader="none" w:pos="63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Parent Guarantor shall have delivered the Initial Financial Statements to the Administrative Agent, which delivery may be accomplished by the filing of the Registration Statement containing such financial statements.</w:t>
      </w:r>
    </w:p>
    <w:p>
      <w:pPr>
        <w:spacing w:after="0" w:line="35" w:lineRule="exact"/>
        <w:rPr>
          <w:rFonts w:ascii="Arial" w:cs="Arial" w:eastAsia="Arial" w:hAnsi="Arial"/>
          <w:sz w:val="18"/>
          <w:szCs w:val="18"/>
          <w:color w:val="auto"/>
        </w:rPr>
      </w:pPr>
    </w:p>
    <w:p>
      <w:pPr>
        <w:ind w:left="-40" w:right="20" w:firstLine="440"/>
        <w:spacing w:after="0" w:line="259" w:lineRule="auto"/>
        <w:tabs>
          <w:tab w:leader="none" w:pos="6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Joint Bookrunners shall be reasonably satisfied with the material terms of the agreements (other than the Underwriting Agreement) filed by the Parent Guarantor with the SEC as exhibits to its Registration Statement as in effect on the date of the IPO (it being understood and agreed that the material terms of any such documents described in detail in the Registration Statement as so described or otherwise provided to the Lenders and the Arrangers prior to the Execution Date shall be deemed to be reasonably satisfactory).</w:t>
      </w:r>
    </w:p>
    <w:p>
      <w:pPr>
        <w:spacing w:after="0" w:line="51" w:lineRule="exact"/>
        <w:rPr>
          <w:rFonts w:ascii="Arial" w:cs="Arial" w:eastAsia="Arial" w:hAnsi="Arial"/>
          <w:sz w:val="18"/>
          <w:szCs w:val="18"/>
          <w:color w:val="auto"/>
        </w:rPr>
      </w:pPr>
    </w:p>
    <w:p>
      <w:pPr>
        <w:jc w:val="both"/>
        <w:ind w:left="-40" w:right="20" w:firstLine="440"/>
        <w:spacing w:after="0" w:line="264" w:lineRule="auto"/>
        <w:tabs>
          <w:tab w:leader="none" w:pos="63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Contribution and the IPO shall have been, or contemporaneously with the satisfaction (or waiver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other conditions precedent set forth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being, consummated in all material respects as described in the Registration Statement in compliance in all material respects with applicable law and regulatory approvals.</w:t>
      </w:r>
    </w:p>
    <w:p>
      <w:pPr>
        <w:spacing w:after="0" w:line="46" w:lineRule="exact"/>
        <w:rPr>
          <w:rFonts w:ascii="Arial" w:cs="Arial" w:eastAsia="Arial" w:hAnsi="Arial"/>
          <w:sz w:val="18"/>
          <w:szCs w:val="18"/>
          <w:color w:val="auto"/>
        </w:rPr>
      </w:pPr>
    </w:p>
    <w:p>
      <w:pPr>
        <w:ind w:left="-40" w:right="900" w:firstLine="440"/>
        <w:spacing w:after="0" w:line="277" w:lineRule="auto"/>
        <w:tabs>
          <w:tab w:leader="none" w:pos="61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partnership and company, governmental and applicable material third-party consents and approvals necessary in connection with the Transactions shall have been obtained.</w:t>
      </w:r>
    </w:p>
    <w:p>
      <w:pPr>
        <w:spacing w:after="0" w:line="35" w:lineRule="exact"/>
        <w:rPr>
          <w:rFonts w:ascii="Arial" w:cs="Arial" w:eastAsia="Arial" w:hAnsi="Arial"/>
          <w:sz w:val="18"/>
          <w:szCs w:val="18"/>
          <w:color w:val="auto"/>
        </w:rPr>
      </w:pPr>
    </w:p>
    <w:p>
      <w:pPr>
        <w:ind w:left="-40" w:right="280" w:firstLine="440"/>
        <w:spacing w:after="0" w:line="312" w:lineRule="auto"/>
        <w:tabs>
          <w:tab w:leader="none" w:pos="6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There shall not have occurred since December 31, 2012 any event or condition that has had or would reasonably expected to have, either individually or in the aggregate, a material adverse effect on the business, assets (including the assets or business to be contributed to the Borrower and its Subsidiaries pursuant to the Contribution and IPO), financial condition, or operations of the Borrower and its Subsidiaries, taken as a whole.</w:t>
      </w:r>
    </w:p>
    <w:p>
      <w:pPr>
        <w:spacing w:after="0" w:line="11" w:lineRule="exact"/>
        <w:rPr>
          <w:rFonts w:ascii="Arial" w:cs="Arial" w:eastAsia="Arial" w:hAnsi="Arial"/>
          <w:sz w:val="16"/>
          <w:szCs w:val="16"/>
          <w:color w:val="auto"/>
        </w:rPr>
      </w:pPr>
    </w:p>
    <w:p>
      <w:pPr>
        <w:ind w:left="-40" w:right="40" w:firstLine="440"/>
        <w:spacing w:after="0" w:line="264" w:lineRule="auto"/>
        <w:tabs>
          <w:tab w:leader="none" w:pos="6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there is no litigation, arbitration or governmental investigation, proceeding or inquiry as to which there is a reasonable possibility of an adverse determination which (i) would reasonably be expected to have a Material Adverse Effect or (ii) which seeks to prevent, enjoin or delay the Contribution or IPO or the making of the initial Credit Extensions.</w:t>
      </w:r>
    </w:p>
    <w:p>
      <w:pPr>
        <w:spacing w:after="0" w:line="46" w:lineRule="exact"/>
        <w:rPr>
          <w:rFonts w:ascii="Arial" w:cs="Arial" w:eastAsia="Arial" w:hAnsi="Arial"/>
          <w:sz w:val="18"/>
          <w:szCs w:val="18"/>
          <w:color w:val="auto"/>
        </w:rPr>
      </w:pPr>
    </w:p>
    <w:p>
      <w:pPr>
        <w:jc w:val="both"/>
        <w:ind w:left="-40" w:right="320" w:firstLine="440"/>
        <w:spacing w:after="0" w:line="312" w:lineRule="auto"/>
        <w:tabs>
          <w:tab w:leader="none" w:pos="60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Credit Agreement dated as of August 25, 2011 among QRI, Wells Fargo Bank, as administrative agent, and the lenders and letter of credit issuers parties thereto and the Term Loan Agreement dated as of April 18, 2012 among QRI, Wells Fargo Bank, as administrative agent, and the lenders parties thereto, shall have been amended, or are being amended effective on the Closing Date, to the extent necessary to permit the Contribution and IPO.</w:t>
      </w:r>
    </w:p>
    <w:p>
      <w:pPr>
        <w:spacing w:after="0" w:line="11" w:lineRule="exact"/>
        <w:rPr>
          <w:rFonts w:ascii="Arial" w:cs="Arial" w:eastAsia="Arial" w:hAnsi="Arial"/>
          <w:sz w:val="16"/>
          <w:szCs w:val="16"/>
          <w:color w:val="auto"/>
        </w:rPr>
      </w:pPr>
    </w:p>
    <w:p>
      <w:pPr>
        <w:ind w:left="-40" w:firstLine="440"/>
        <w:spacing w:after="0" w:line="264" w:lineRule="auto"/>
        <w:tabs>
          <w:tab w:leader="none" w:pos="60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To the extent not previously delivered, the Lenders shall have received such documentation and other information as may be required by them in order to enable compliance with applicable “know your customer” and anti-money laundering rules and regulations, including the information required by the USA PATRIOT Act including information required by the Act and information described in </w:t>
      </w:r>
      <w:r>
        <w:rPr>
          <w:rFonts w:ascii="Arial" w:cs="Arial" w:eastAsia="Arial" w:hAnsi="Arial"/>
          <w:sz w:val="18"/>
          <w:szCs w:val="18"/>
          <w:u w:val="single" w:color="auto"/>
          <w:color w:val="auto"/>
        </w:rPr>
        <w:t>Section 11.19</w:t>
      </w:r>
      <w:r>
        <w:rPr>
          <w:rFonts w:ascii="Arial" w:cs="Arial" w:eastAsia="Arial" w:hAnsi="Arial"/>
          <w:sz w:val="18"/>
          <w:szCs w:val="18"/>
          <w:color w:val="auto"/>
        </w:rPr>
        <w:t>.</w:t>
      </w:r>
    </w:p>
    <w:p>
      <w:pPr>
        <w:spacing w:after="0" w:line="46" w:lineRule="exact"/>
        <w:rPr>
          <w:rFonts w:ascii="Arial" w:cs="Arial" w:eastAsia="Arial" w:hAnsi="Arial"/>
          <w:sz w:val="18"/>
          <w:szCs w:val="18"/>
          <w:color w:val="auto"/>
        </w:rPr>
      </w:pPr>
    </w:p>
    <w:p>
      <w:pPr>
        <w:ind w:left="-40" w:right="260" w:firstLine="440"/>
        <w:spacing w:after="0" w:line="312" w:lineRule="auto"/>
        <w:tabs>
          <w:tab w:leader="none" w:pos="6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Administrative Agent and the Arrangers shall have received all fees and expenses that are due and payable by the Borrower on or before the Closing Date, including fees payable to the Lenders, and including, to the extent invoiced, reimbursement or payment of all expenses (including, without limitation, Attorney Costs of one firm as counsel to the Administrative Agent) required to be reimbursed or paid by the Borrower hereunder.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80" w:top="881" w:right="279" w:bottom="1440" w:gutter="0" w:footer="0" w:header="0"/>
        </w:sectPr>
      </w:pPr>
    </w:p>
    <w:bookmarkStart w:id="132" w:name="page133"/>
    <w:bookmarkEnd w:id="132"/>
    <w:p>
      <w:pPr>
        <w:ind w:firstLine="432"/>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Administrative Agent shall notify the Borrower and the Lenders of the Closing Date, and such notice shall be conclusive and binding.</w:t>
      </w:r>
    </w:p>
    <w:p>
      <w:pPr>
        <w:spacing w:after="0" w:line="171" w:lineRule="exact"/>
        <w:rPr>
          <w:sz w:val="20"/>
          <w:szCs w:val="20"/>
          <w:color w:val="auto"/>
        </w:rPr>
      </w:pPr>
    </w:p>
    <w:p>
      <w:pPr>
        <w:ind w:right="40" w:firstLine="432"/>
        <w:spacing w:after="0" w:line="311" w:lineRule="auto"/>
        <w:rPr>
          <w:sz w:val="20"/>
          <w:szCs w:val="20"/>
          <w:color w:val="auto"/>
        </w:rPr>
      </w:pPr>
      <w:r>
        <w:rPr>
          <w:rFonts w:ascii="Arial" w:cs="Arial" w:eastAsia="Arial" w:hAnsi="Arial"/>
          <w:sz w:val="16"/>
          <w:szCs w:val="16"/>
          <w:color w:val="auto"/>
        </w:rPr>
        <w:t xml:space="preserve">Notwithstanding the foregoing, the obligations of the Lenders to make Loans and of the L/C Issuers to issue Letters of Credit hereunder shall not become effective unless each of the foregoing conditions is satisfied (or waived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at or prior to 5 p.m., New York City time, on the ninetieth (90</w:t>
      </w:r>
      <w:r>
        <w:rPr>
          <w:rFonts w:ascii="Arial" w:cs="Arial" w:eastAsia="Arial" w:hAnsi="Arial"/>
          <w:sz w:val="22"/>
          <w:szCs w:val="22"/>
          <w:color w:val="auto"/>
          <w:vertAlign w:val="superscript"/>
        </w:rPr>
        <w:t>th</w:t>
      </w:r>
      <w:r>
        <w:rPr>
          <w:rFonts w:ascii="Arial" w:cs="Arial" w:eastAsia="Arial" w:hAnsi="Arial"/>
          <w:sz w:val="16"/>
          <w:szCs w:val="16"/>
          <w:color w:val="auto"/>
        </w:rPr>
        <w:t>) day after the Execution Date (and, in the event such conditions are not so satisfied or waived, the Commitments shall terminate at such time).</w:t>
      </w:r>
    </w:p>
    <w:p>
      <w:pPr>
        <w:spacing w:after="0" w:line="2" w:lineRule="exact"/>
        <w:rPr>
          <w:sz w:val="20"/>
          <w:szCs w:val="20"/>
          <w:color w:val="auto"/>
        </w:rPr>
      </w:pPr>
    </w:p>
    <w:p>
      <w:pPr>
        <w:jc w:val="both"/>
        <w:ind w:right="520" w:firstLine="432"/>
        <w:spacing w:after="0" w:line="266"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b w:val="1"/>
          <w:bCs w:val="1"/>
          <w:color w:val="auto"/>
        </w:rPr>
        <w:t>Conditions to all Credit Extensions.</w:t>
      </w:r>
      <w:r>
        <w:rPr>
          <w:rFonts w:ascii="Arial" w:cs="Arial" w:eastAsia="Arial" w:hAnsi="Arial"/>
          <w:sz w:val="18"/>
          <w:szCs w:val="18"/>
          <w:color w:val="auto"/>
        </w:rPr>
        <w:t xml:space="preserve"> The obligation of each Lender to honor any Request for Credit Extension (other than a Loan Notice requesting only the conversion of Loans from one Type to another or the continuation of Eurodollar Rate Loans) is subject to the following conditions precedent:</w:t>
      </w:r>
    </w:p>
    <w:p>
      <w:pPr>
        <w:spacing w:after="0" w:line="45" w:lineRule="exact"/>
        <w:rPr>
          <w:sz w:val="20"/>
          <w:szCs w:val="20"/>
          <w:color w:val="auto"/>
        </w:rPr>
      </w:pPr>
    </w:p>
    <w:p>
      <w:pPr>
        <w:ind w:right="20" w:firstLine="440"/>
        <w:spacing w:after="0" w:line="272" w:lineRule="auto"/>
        <w:tabs>
          <w:tab w:leader="none" w:pos="67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the Parent Guarantor and the other Loan Parties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Loan Document, or which are contained in any document furnished by the Borrower to the Administrative Agent or the Lenders under or in connection with this Agreement, shall be true and correct in all material respects (except that such materiality qualifier shall not be applicable to any representations and warranties that already are qualified or modified by materiality in the text thereof)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7"/>
          <w:szCs w:val="17"/>
          <w:u w:val="single" w:color="auto"/>
          <w:color w:val="auto"/>
        </w:rPr>
        <w:t>Section 4.03(a)</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 5.06(b)</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42" w:lineRule="exact"/>
        <w:rPr>
          <w:rFonts w:ascii="Arial" w:cs="Arial" w:eastAsia="Arial" w:hAnsi="Arial"/>
          <w:sz w:val="17"/>
          <w:szCs w:val="17"/>
          <w:color w:val="auto"/>
        </w:rPr>
      </w:pPr>
    </w:p>
    <w:p>
      <w:pPr>
        <w:ind w:left="700" w:hanging="260"/>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w:t>
      </w:r>
    </w:p>
    <w:p>
      <w:pPr>
        <w:spacing w:after="0" w:line="90" w:lineRule="exact"/>
        <w:rPr>
          <w:rFonts w:ascii="Arial" w:cs="Arial" w:eastAsia="Arial" w:hAnsi="Arial"/>
          <w:sz w:val="18"/>
          <w:szCs w:val="18"/>
          <w:color w:val="auto"/>
        </w:rPr>
      </w:pPr>
    </w:p>
    <w:p>
      <w:pPr>
        <w:ind w:firstLine="440"/>
        <w:spacing w:after="0" w:line="277" w:lineRule="auto"/>
        <w:tabs>
          <w:tab w:leader="none" w:pos="6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or the Swing Line Lender shall have received a Request for Credit Extension in accordance with the requirements hereof.</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 4.03(a)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AND WARRANTIES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Loan Party represents and warrants to the Administrative Agent and each Lender that: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b w:val="1"/>
          <w:bCs w:val="1"/>
          <w:color w:val="auto"/>
        </w:rPr>
        <w:t>No Default.</w:t>
      </w:r>
      <w:r>
        <w:rPr>
          <w:rFonts w:ascii="Arial" w:cs="Arial" w:eastAsia="Arial" w:hAnsi="Arial"/>
          <w:sz w:val="18"/>
          <w:szCs w:val="18"/>
          <w:color w:val="auto"/>
        </w:rPr>
        <w:t xml:space="preserve"> No event has occurred and is continuing which constitutes a Default.</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881" w:right="319" w:bottom="1440" w:gutter="0" w:footer="0" w:header="0"/>
        </w:sectPr>
      </w:pPr>
    </w:p>
    <w:bookmarkStart w:id="133" w:name="page134"/>
    <w:bookmarkEnd w:id="133"/>
    <w:p>
      <w:pPr>
        <w:ind w:right="60" w:firstLine="432"/>
        <w:spacing w:after="0" w:line="258"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b w:val="1"/>
          <w:bCs w:val="1"/>
          <w:color w:val="auto"/>
        </w:rPr>
        <w:t>Organization and Good Standing.</w:t>
      </w:r>
      <w:r>
        <w:rPr>
          <w:rFonts w:ascii="Arial" w:cs="Arial" w:eastAsia="Arial" w:hAnsi="Arial"/>
          <w:sz w:val="18"/>
          <w:szCs w:val="18"/>
          <w:color w:val="auto"/>
        </w:rPr>
        <w:t xml:space="preserve"> Each Loan Party and each of its Material Subsidiaries is duly organized, validly existing and in good standing under the Laws of its jurisdiction of organization, having all powers required to carry on its business and enter into and carry out the transactions contemplated hereby. Each Loan Party and each of its Material Subsidiaries is duly qualified, in good standing, and authorized to do business in all other jurisdictions wherein the character of the properties owned or held by it or the nature of the business transacted by it makes such qualification necessary, except as would not, individually or in the aggregate, have a Material Adverse Effect.</w:t>
      </w:r>
    </w:p>
    <w:p>
      <w:pPr>
        <w:spacing w:after="0" w:line="130" w:lineRule="exact"/>
        <w:rPr>
          <w:sz w:val="20"/>
          <w:szCs w:val="20"/>
          <w:color w:val="auto"/>
        </w:rPr>
      </w:pPr>
    </w:p>
    <w:p>
      <w:pPr>
        <w:ind w:right="20" w:firstLine="432"/>
        <w:spacing w:after="0" w:line="266"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b w:val="1"/>
          <w:bCs w:val="1"/>
          <w:color w:val="auto"/>
        </w:rPr>
        <w:t>Authorization.</w:t>
      </w:r>
      <w:r>
        <w:rPr>
          <w:rFonts w:ascii="Arial" w:cs="Arial" w:eastAsia="Arial" w:hAnsi="Arial"/>
          <w:sz w:val="18"/>
          <w:szCs w:val="18"/>
          <w:color w:val="auto"/>
        </w:rPr>
        <w:t xml:space="preserve"> Each Loan Party has duly taken all necessary corporate action to authorize the execution and delivery by it of the Loan Documents to which it is a party and to authorize the consummation of the transactions contemplated thereby and the performance of its obligations thereunder. The Borrower is duly authorized to borrow funds hereunder.</w:t>
      </w:r>
    </w:p>
    <w:p>
      <w:pPr>
        <w:spacing w:after="0" w:line="12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b w:val="1"/>
          <w:bCs w:val="1"/>
          <w:color w:val="auto"/>
        </w:rPr>
        <w:t>No Conflicts or Consents.</w:t>
      </w:r>
      <w:r>
        <w:rPr>
          <w:rFonts w:ascii="Arial" w:cs="Arial" w:eastAsia="Arial" w:hAnsi="Arial"/>
          <w:sz w:val="18"/>
          <w:szCs w:val="18"/>
          <w:color w:val="auto"/>
        </w:rPr>
        <w:t xml:space="preserve"> The execution and delivery by each Loan Party of the Loan Documents to which it is a party, the performance of its obligations under such Loan Documents, and the consummation of the transactions contemplated by the Loan Documents, do not and will not (a) conflict with any provision of (i) any Law, (ii) the Organization Documents of any Loan Party, or (iii) any material agreement, judgment, license, order or permit applicable to or binding upon any Loan Party, (b) result in the acceleration of any material Indebtedness owed by any Loan Party, or (c) result in or require the creation of any Lien upon any assets or properties of any Loan Party, except as expressly contemplated or permitted in the Loan Documents. Except as expressly contemplated in the Loan Documents and, with respect to the Contribution, except as described in the Registration Statement, no material consent, approval, authorization or order of, and no notice to or filing with, any Governmental Authority or third party is required in connection with the execution, delivery or performance by any Loan Party of any Loan Document to which it is a party or to consummate any transactions contemplated by the Loan Documents.</w:t>
      </w:r>
    </w:p>
    <w:p>
      <w:pPr>
        <w:spacing w:after="0" w:line="135" w:lineRule="exact"/>
        <w:rPr>
          <w:sz w:val="20"/>
          <w:szCs w:val="20"/>
          <w:color w:val="auto"/>
        </w:rPr>
      </w:pPr>
    </w:p>
    <w:p>
      <w:pPr>
        <w:ind w:right="200" w:firstLine="432"/>
        <w:spacing w:after="0" w:line="261"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b w:val="1"/>
          <w:bCs w:val="1"/>
          <w:color w:val="auto"/>
        </w:rPr>
        <w:t>Enforceable Obligations.</w:t>
      </w:r>
      <w:r>
        <w:rPr>
          <w:rFonts w:ascii="Arial" w:cs="Arial" w:eastAsia="Arial" w:hAnsi="Arial"/>
          <w:sz w:val="18"/>
          <w:szCs w:val="18"/>
          <w:color w:val="auto"/>
        </w:rPr>
        <w:t xml:space="preserve"> This Agreement is, and the other Loan Documents when duly executed and delivered will be, legal, valid and binding obligations of each Loan Party that is a party thereto, enforceable in accordance with their terms except as such enforcement may be limited by bankruptcy, insolvency or similar Laws of general application relating to the enforcement of creditors’ rights or by general principles of equity, regardless of whether considered in a proceeding in equity or at law.</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b w:val="1"/>
          <w:bCs w:val="1"/>
          <w:color w:val="auto"/>
        </w:rPr>
        <w:t>Financial Statements.</w:t>
      </w:r>
    </w:p>
    <w:p>
      <w:pPr>
        <w:spacing w:after="0" w:line="94" w:lineRule="exact"/>
        <w:rPr>
          <w:sz w:val="20"/>
          <w:szCs w:val="20"/>
          <w:color w:val="auto"/>
        </w:rPr>
      </w:pPr>
    </w:p>
    <w:p>
      <w:pPr>
        <w:ind w:right="260" w:firstLine="440"/>
        <w:spacing w:after="0" w:line="259" w:lineRule="auto"/>
        <w:tabs>
          <w:tab w:leader="none" w:pos="6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Initial Financial Statements (i) fairly present, in all material respects, the financial position of the Acquired Businesses at the respective dates thereof and the results of operations and consolidated cash flows of the Acquired Businesses for the respective periods thereof, and (ii) show all material indebtedness and other liabilities, direct or contingent, of the Parent Guarantor and its Subsidiaries as of the dates thereof that are required to be disclosed under GAAP. The Initial Financial Statements were prepared in accordance with GAAP.</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958" w:right="239" w:bottom="1440" w:gutter="0" w:footer="0" w:header="0"/>
        </w:sectPr>
      </w:pPr>
    </w:p>
    <w:bookmarkStart w:id="134" w:name="page135"/>
    <w:bookmarkEnd w:id="134"/>
    <w:p>
      <w:pPr>
        <w:ind w:right="80" w:firstLine="440"/>
        <w:spacing w:after="0" w:line="257" w:lineRule="auto"/>
        <w:tabs>
          <w:tab w:leader="none" w:pos="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Beginning with the initial delivery of the financial information required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6.01(b)</w:t>
      </w:r>
      <w:r>
        <w:rPr>
          <w:rFonts w:ascii="Arial" w:cs="Arial" w:eastAsia="Arial" w:hAnsi="Arial"/>
          <w:sz w:val="18"/>
          <w:szCs w:val="18"/>
          <w:color w:val="auto"/>
        </w:rPr>
        <w:t>, the financial information delivered by the Parent Guarantor pursuant to such Sections (i) was prepared in accordance with GAAP consistently applied throughout the period covered thereby, except as otherwise expressly noted therein, and (ii) fairly presents, in all material respects, the Parent Guarantor’s Consolidated financial condition as of the date thereof and the results of operations for the period covered thereby, subject, in the case of interim statements, to the absence of footnotes and to normal year-end adjustments.</w:t>
      </w:r>
    </w:p>
    <w:p>
      <w:pPr>
        <w:spacing w:after="0" w:line="53" w:lineRule="exact"/>
        <w:rPr>
          <w:rFonts w:ascii="Arial" w:cs="Arial" w:eastAsia="Arial" w:hAnsi="Arial"/>
          <w:sz w:val="18"/>
          <w:szCs w:val="18"/>
          <w:color w:val="auto"/>
        </w:rPr>
      </w:pPr>
    </w:p>
    <w:p>
      <w:pPr>
        <w:ind w:right="460" w:firstLine="440"/>
        <w:spacing w:after="0" w:line="277" w:lineRule="auto"/>
        <w:tabs>
          <w:tab w:leader="none" w:pos="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Since December 31, 2012, there has been no event or circumstance, either individually or in the aggregate, that has had or could reasonably be expected to have, a Material Adverse Effect.</w:t>
      </w:r>
    </w:p>
    <w:p>
      <w:pPr>
        <w:spacing w:after="0" w:line="11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b w:val="1"/>
          <w:bCs w:val="1"/>
          <w:color w:val="auto"/>
        </w:rPr>
        <w:t>Full Disclosure.</w:t>
      </w:r>
      <w:r>
        <w:rPr>
          <w:rFonts w:ascii="Arial" w:cs="Arial" w:eastAsia="Arial" w:hAnsi="Arial"/>
          <w:sz w:val="17"/>
          <w:szCs w:val="17"/>
          <w:color w:val="auto"/>
        </w:rPr>
        <w:t xml:space="preserve"> No certificate, statement or other information delivered herewith or heretofore by any Loan Party to the Administrative Agent or to any Lender in connection with the negotiation of this Agreement or in connection with any transaction contemplated hereby, taken as a whole, contains any untrue statement of a material fact or omits to state any material fact known to any Loan Party (other than industry-wide risks normally associated with the types of businesses conducted by the Loan Parties) necessary to make the statements contained herein or therein, in light of the circumstances under which they were made, not materially misleading as of the date made or deemed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projected financial information, the Borrower represents only that such information was prepared in good faith based upon assumptions believed by the Borrower to be reasonable at the time (it being recognized, however, that projections as to future events are not to be viewed as facts and that the actual results during the period or periods covered by any projections may materially differ from the projected results). There is no fact known to any Loan Party (other than industry-wide risks normally associated with the types of businesses conducted by the Loan Parties) that has not been disclosed by the Loan Parties to each Lender in writing which would reasonably be expected to have a Material Adverse Effect.</w:t>
      </w:r>
    </w:p>
    <w:p>
      <w:pPr>
        <w:spacing w:after="0" w:line="124"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b w:val="1"/>
          <w:bCs w:val="1"/>
          <w:color w:val="auto"/>
        </w:rPr>
        <w:t>Litigation.</w:t>
      </w:r>
      <w:r>
        <w:rPr>
          <w:rFonts w:ascii="Arial" w:cs="Arial" w:eastAsia="Arial" w:hAnsi="Arial"/>
          <w:sz w:val="18"/>
          <w:szCs w:val="18"/>
          <w:color w:val="auto"/>
        </w:rPr>
        <w:t xml:space="preserve"> Except as disclosed in the Registration Statement, there are no actions, suits or legal, equitable, arbitrative or administrative proceedings pending, or to the knowledge of the Borrower threatened, against any one or more Loan Parties or Subsidiaries before any Governmental Authority which, either individually or in the aggregate, would reasonably be expected to have a Material Adverse Effect, and there are no outstanding judgments, injunctions, writs, rulings or orders by any such Governmental Authority against any Loan Party or any Subsidiary which, either individually or in the aggregate, would reasonably be expected to have a Material Adverse Effect.</w:t>
      </w:r>
    </w:p>
    <w:p>
      <w:pPr>
        <w:spacing w:after="0" w:line="130" w:lineRule="exact"/>
        <w:rPr>
          <w:sz w:val="20"/>
          <w:szCs w:val="20"/>
          <w:color w:val="auto"/>
        </w:rPr>
      </w:pPr>
    </w:p>
    <w:p>
      <w:pPr>
        <w:ind w:right="20" w:firstLine="432"/>
        <w:spacing w:after="0" w:line="261"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b w:val="1"/>
          <w:bCs w:val="1"/>
          <w:color w:val="auto"/>
        </w:rPr>
        <w:t>Labor Disputes and Acts of God.</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5.09</w:t>
      </w:r>
      <w:r>
        <w:rPr>
          <w:rFonts w:ascii="Arial" w:cs="Arial" w:eastAsia="Arial" w:hAnsi="Arial"/>
          <w:sz w:val="18"/>
          <w:szCs w:val="18"/>
          <w:color w:val="auto"/>
        </w:rPr>
        <w:t>, neither the business nor the properties of any Loan Party or any Material Subsidiary has been affected by any fire, explosion, accident, strike, lockout or other labor dispute, drought, storm, hail, earthquake, embargo, act of God or of the public enemy or other casualty (whether or not covered by insurance), which, either individually or in the aggregate, would reasonably be expected to have a Material Adverse Effect.</w:t>
      </w:r>
    </w:p>
    <w:p>
      <w:pPr>
        <w:spacing w:after="0" w:line="126" w:lineRule="exact"/>
        <w:rPr>
          <w:sz w:val="20"/>
          <w:szCs w:val="20"/>
          <w:color w:val="auto"/>
        </w:rPr>
      </w:pPr>
    </w:p>
    <w:p>
      <w:pPr>
        <w:jc w:val="both"/>
        <w:ind w:right="80" w:firstLine="432"/>
        <w:spacing w:after="0" w:line="26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ERISA.</w:t>
      </w:r>
      <w:r>
        <w:rPr>
          <w:rFonts w:ascii="Arial" w:cs="Arial" w:eastAsia="Arial" w:hAnsi="Arial"/>
          <w:sz w:val="18"/>
          <w:szCs w:val="18"/>
          <w:color w:val="auto"/>
        </w:rPr>
        <w:t xml:space="preserve"> No ERISA Event has occurred or is reasonably expected to occur that, when taken together with all other such ERISA Events for which liability is reasonably expected to occur, would reasonably be expected to result in a Material Adverse Effect. Each Loan Party and each ERISA Affiliate has fulfilled its obligations under the Pension Funding Rules with respect to each Pension Plan, except to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881" w:right="259" w:bottom="1440" w:gutter="0" w:footer="0" w:header="0"/>
        </w:sectPr>
      </w:pPr>
    </w:p>
    <w:bookmarkStart w:id="135" w:name="page136"/>
    <w:bookmarkEnd w:id="135"/>
    <w:p>
      <w:pPr>
        <w:spacing w:after="0" w:line="276" w:lineRule="auto"/>
        <w:rPr>
          <w:sz w:val="20"/>
          <w:szCs w:val="20"/>
          <w:color w:val="auto"/>
        </w:rPr>
      </w:pPr>
      <w:r>
        <w:rPr>
          <w:rFonts w:ascii="Arial" w:cs="Arial" w:eastAsia="Arial" w:hAnsi="Arial"/>
          <w:sz w:val="17"/>
          <w:szCs w:val="17"/>
          <w:color w:val="auto"/>
        </w:rPr>
        <w:t>extent that such noncompliance would not reasonably be expected to result in a Material Adverse Effect. Except as would not reasonably be expected to result in a Material Adverse Effect, no Loan Party and no ERISA Affiliate has (a) sought a waiver of the minimum funding standard under the Pension Funding Rules in respect of any Plan, (b) failed to make any contribution or payment to any Plan or Multiemployer Plan, or made any amendment to any Plan that has resulted or could result in the imposition of a Lien or the posting of a bond or other security under ERISA or the Code, or (c) incurred any liability under Title IV of ERISA other than a liability to the PBGC for premiums under Section 4007 of ERISA that are not past due.</w:t>
      </w:r>
    </w:p>
    <w:p>
      <w:pPr>
        <w:spacing w:after="0" w:line="115" w:lineRule="exact"/>
        <w:rPr>
          <w:sz w:val="20"/>
          <w:szCs w:val="20"/>
          <w:color w:val="auto"/>
        </w:rPr>
      </w:pPr>
    </w:p>
    <w:p>
      <w:pPr>
        <w:ind w:right="60" w:firstLine="432"/>
        <w:spacing w:after="0" w:line="28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color w:val="auto"/>
        </w:rPr>
        <w:t>Environmental and Other Laws.</w:t>
      </w:r>
      <w:r>
        <w:rPr>
          <w:rFonts w:ascii="Arial" w:cs="Arial" w:eastAsia="Arial" w:hAnsi="Arial"/>
          <w:sz w:val="17"/>
          <w:szCs w:val="17"/>
          <w:color w:val="auto"/>
        </w:rPr>
        <w:t xml:space="preserve"> Except for matters that, individually or in the aggregate, would not reasonably be expected to result in a Material Adverse Effect, no Loan Party or any Subsidiary thereof (i) has failed to comply with any Environmental Law or to obtain, maintain or comply with any permit, license or other approval required under any Environmental Law or (ii) has become subject to any Environmental Liability.</w:t>
      </w:r>
    </w:p>
    <w:p>
      <w:pPr>
        <w:spacing w:after="0" w:line="104" w:lineRule="exact"/>
        <w:rPr>
          <w:sz w:val="20"/>
          <w:szCs w:val="20"/>
          <w:color w:val="auto"/>
        </w:rPr>
      </w:pPr>
    </w:p>
    <w:p>
      <w:pPr>
        <w:ind w:right="380" w:firstLine="432"/>
        <w:spacing w:after="0" w:line="261"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color w:val="auto"/>
        </w:rPr>
        <w:t>Borrower’s Subsidiaries; Equity Investments.</w:t>
      </w:r>
      <w:r>
        <w:rPr>
          <w:rFonts w:ascii="Arial" w:cs="Arial" w:eastAsia="Arial" w:hAnsi="Arial"/>
          <w:sz w:val="18"/>
          <w:szCs w:val="18"/>
          <w:color w:val="auto"/>
        </w:rPr>
        <w:t xml:space="preserve"> As of the Execution Date and as of the Closing Date, neither the Parent Guarantor nor the Borrower has (a) any Subsidiaries other than those disclosed on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and all of the outstanding Equity Interests in such Subsidiaries have been validly issued, are fully paid and non-assessable (to the extent applicable) and are owned by the Loan Party indicated on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or (b) any equity investment in any other entity other than those disclosed on </w:t>
      </w:r>
      <w:r>
        <w:rPr>
          <w:rFonts w:ascii="Arial" w:cs="Arial" w:eastAsia="Arial" w:hAnsi="Arial"/>
          <w:sz w:val="18"/>
          <w:szCs w:val="18"/>
          <w:u w:val="single" w:color="auto"/>
          <w:color w:val="auto"/>
        </w:rPr>
        <w:t>Schedule 5.12</w:t>
      </w:r>
      <w:r>
        <w:rPr>
          <w:rFonts w:ascii="Arial" w:cs="Arial" w:eastAsia="Arial" w:hAnsi="Arial"/>
          <w:sz w:val="18"/>
          <w:szCs w:val="18"/>
          <w:color w:val="auto"/>
        </w:rPr>
        <w:t>.</w:t>
      </w:r>
    </w:p>
    <w:p>
      <w:pPr>
        <w:spacing w:after="0" w:line="12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b w:val="1"/>
          <w:bCs w:val="1"/>
          <w:color w:val="auto"/>
        </w:rPr>
        <w:t>Title to Properties; Licenses.</w:t>
      </w:r>
      <w:r>
        <w:rPr>
          <w:rFonts w:ascii="Arial" w:cs="Arial" w:eastAsia="Arial" w:hAnsi="Arial"/>
          <w:sz w:val="17"/>
          <w:szCs w:val="17"/>
          <w:color w:val="auto"/>
        </w:rPr>
        <w:t xml:space="preserve"> Each Loan Party and Material Subsidiary has good title to, or valid leasehold interests in, its properties and assets material to its business, except for any failure, defect or other matter that would not, in the aggregate, be reasonably expected to have a Material Adverse Effect. The property of each Loan Party and Material Subsidiary material to the conduct of its business is free and clear of all Liens other than Permitted Liens. Each Loan Party and Material Subsidiary possesses all licenses, permits, franchises, patents, copyrights, trademarks and trade names, and other intellectual property (or otherwise possesses the right to use such intellectual property without violation of the rights of any other Person) which are reasonably necessary to carry out its business as presently conducted and as presently proposed to be conducted hereafter, and no Loan Party or Material Subsidiary is in violation in any material respect of the terms under which it possesses such intellectual property or the right to use such intellectual property, except as would not, individually or in the aggregate, have a Material Adverse Effect.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80" w:firstLine="440"/>
        <w:spacing w:after="0" w:line="259" w:lineRule="auto"/>
        <w:tabs>
          <w:tab w:leader="none" w:pos="6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Loan Party or Subsidiary is engaged, or will engage, principally or as one of its important activities, in the business of purchasing or carrying margin stock (within the meaning of Regulation U issued by the FRB), or extending credit for the purpose of purchasing or carrying margin stock. No part of the proceeds of any Loan or Letter of Credit will be used for purchasing or carrying margin stock or for any purpose which violates the provision of Regulation T, U or X of the FRB.</w:t>
      </w:r>
    </w:p>
    <w:p>
      <w:pPr>
        <w:spacing w:after="0" w:line="51" w:lineRule="exact"/>
        <w:rPr>
          <w:rFonts w:ascii="Arial" w:cs="Arial" w:eastAsia="Arial" w:hAnsi="Arial"/>
          <w:sz w:val="18"/>
          <w:szCs w:val="18"/>
          <w:color w:val="auto"/>
        </w:rPr>
      </w:pPr>
    </w:p>
    <w:p>
      <w:pPr>
        <w:ind w:right="480" w:firstLine="440"/>
        <w:spacing w:after="0" w:line="334" w:lineRule="auto"/>
        <w:tabs>
          <w:tab w:leader="none" w:pos="68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 Loan Party or Subsidiary is subject to regulation under any Law which regulates the incurring by such Person of Indebtedness. Neither the Borrower nor any of its Subsidiaries is an “investment company” as defined in, or regulated by, The Investment Company Act of 1940.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962" w:right="259" w:bottom="1440" w:gutter="0" w:footer="0" w:header="0"/>
        </w:sectPr>
      </w:pPr>
    </w:p>
    <w:bookmarkStart w:id="136" w:name="page137"/>
    <w:bookmarkEnd w:id="136"/>
    <w:p>
      <w:pPr>
        <w:ind w:right="220" w:firstLine="432"/>
        <w:spacing w:after="0" w:line="282"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color w:val="auto"/>
        </w:rPr>
        <w:t>Solvency.</w:t>
      </w:r>
      <w:r>
        <w:rPr>
          <w:rFonts w:ascii="Arial" w:cs="Arial" w:eastAsia="Arial" w:hAnsi="Arial"/>
          <w:sz w:val="18"/>
          <w:szCs w:val="18"/>
          <w:color w:val="auto"/>
        </w:rPr>
        <w:t xml:space="preserve"> The Borrower and its Subsidiaries on a Consolidated basis, and the Parent Guarantor and its Subsidiaries on a Consolidated basis, are Solvent.</w:t>
      </w:r>
    </w:p>
    <w:p>
      <w:pPr>
        <w:spacing w:after="0" w:line="108"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color w:val="auto"/>
        </w:rPr>
        <w:t>Compliance with Laws and Material Agreements.</w:t>
      </w:r>
      <w:r>
        <w:rPr>
          <w:rFonts w:ascii="Arial" w:cs="Arial" w:eastAsia="Arial" w:hAnsi="Arial"/>
          <w:sz w:val="18"/>
          <w:szCs w:val="18"/>
          <w:color w:val="auto"/>
        </w:rPr>
        <w:t xml:space="preserve"> Each Loan Party and Restricted Subsidiary is in compliance with (a) all Laws applicable to it or its property or assets and (b) all Material Agreements, except where the failure to do so, individually or in the aggregate, would not reasonably be expected to result in a Material Adverse Effect.</w:t>
      </w:r>
    </w:p>
    <w:p>
      <w:pPr>
        <w:spacing w:after="0" w:line="122" w:lineRule="exact"/>
        <w:rPr>
          <w:sz w:val="20"/>
          <w:szCs w:val="20"/>
          <w:color w:val="auto"/>
        </w:rPr>
      </w:pPr>
    </w:p>
    <w:p>
      <w:pPr>
        <w:ind w:right="60" w:firstLine="432"/>
        <w:spacing w:after="0" w:line="303"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b w:val="1"/>
          <w:bCs w:val="1"/>
          <w:color w:val="auto"/>
        </w:rPr>
        <w:t>Taxes.</w:t>
      </w:r>
      <w:r>
        <w:rPr>
          <w:rFonts w:ascii="Arial" w:cs="Arial" w:eastAsia="Arial" w:hAnsi="Arial"/>
          <w:sz w:val="16"/>
          <w:szCs w:val="16"/>
          <w:color w:val="auto"/>
        </w:rPr>
        <w:t xml:space="preserve"> Each Loan Party and its Restricted Subsidiaries has timely filed or caused to be filed all Tax returns and reports required to have been filed and has paid or caused to be paid all Taxes required to have been paid by it, except (a) Taxes that are being contested in good faith by appropriate proceedings, are disclosed on the financial statements of the Parent Guarantor and, if required by GAAP, for which adequate reserves have been provided in accordance with GAAP or (b) to the extent that the failure to do so would not reasonably be expected to result in a Material Adverse Effect.</w:t>
      </w:r>
    </w:p>
    <w:p>
      <w:pPr>
        <w:spacing w:after="0" w:line="97"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b w:val="1"/>
          <w:bCs w:val="1"/>
          <w:color w:val="auto"/>
        </w:rPr>
        <w:t>OFAC.</w:t>
      </w:r>
      <w:r>
        <w:rPr>
          <w:rFonts w:ascii="Arial" w:cs="Arial" w:eastAsia="Arial" w:hAnsi="Arial"/>
          <w:sz w:val="16"/>
          <w:szCs w:val="16"/>
          <w:color w:val="auto"/>
        </w:rPr>
        <w:t xml:space="preserve"> No Loan Party or any Subsidiary (i) is an “enemy” or an “ally of the enemy” within the meaning of Section 2 of the Trading with the Enemy Act of the United States (50 U.S.C. App. §§ 1 et seq.), (ii) is in violation of (A) the Trading with the Enemy Act, (B) any of the foreign assets control regulations of the United States Treasury Department (31 CFR, Subtitle B, Chapter V) or any enabling legislation or executive order relating thereto or</w:t>
      </w:r>
    </w:p>
    <w:p>
      <w:pPr>
        <w:spacing w:after="0" w:line="2" w:lineRule="exact"/>
        <w:rPr>
          <w:sz w:val="20"/>
          <w:szCs w:val="20"/>
          <w:color w:val="auto"/>
        </w:rPr>
      </w:pPr>
    </w:p>
    <w:p>
      <w:pPr>
        <w:ind w:right="300" w:firstLine="8"/>
        <w:spacing w:after="0" w:line="255" w:lineRule="auto"/>
        <w:tabs>
          <w:tab w:leader="none" w:pos="2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PATRIOT Act, (iii) is a Sanctioned Person or (iv) has more than 10% of its assets in Sanctioned Countries. No part of the proceeds of any Loan or drawings under any Letter of Credit will be used directly or indirectly to fund any operations in, finance any investments or activities in or make any payments to, a Sanctioned Person or a Sanctioned Country.</w:t>
      </w:r>
    </w:p>
    <w:p>
      <w:pPr>
        <w:spacing w:after="0" w:line="132" w:lineRule="exact"/>
        <w:rPr>
          <w:sz w:val="20"/>
          <w:szCs w:val="20"/>
          <w:color w:val="auto"/>
        </w:rPr>
      </w:pPr>
    </w:p>
    <w:p>
      <w:pPr>
        <w:ind w:right="180" w:firstLine="432"/>
        <w:spacing w:after="0" w:line="289"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b w:val="1"/>
          <w:bCs w:val="1"/>
          <w:color w:val="auto"/>
        </w:rPr>
        <w:t>Insurance.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5.19</w:t>
      </w:r>
      <w:r>
        <w:rPr>
          <w:rFonts w:ascii="Arial" w:cs="Arial" w:eastAsia="Arial" w:hAnsi="Arial"/>
          <w:sz w:val="17"/>
          <w:szCs w:val="17"/>
          <w:color w:val="auto"/>
        </w:rPr>
        <w:t xml:space="preserve"> sets forth an accurate description of all insurance maintained by the Loan Parties and Restricted Subsidiaries as of the Closing Date. As of the Closing Date, such insurance is in full force and effect and all premiums have been duly paid. The Loan Parties and Restricted Subsidiaries have insurance in such amounts and covering such risks and liabilities as are in accordance with normal industry practice.</w:t>
      </w:r>
    </w:p>
    <w:p>
      <w:pPr>
        <w:spacing w:after="0" w:line="104"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color w:val="auto"/>
        </w:rPr>
        <w:t>Collateral Documents.</w:t>
      </w:r>
      <w:r>
        <w:rPr>
          <w:rFonts w:ascii="Arial" w:cs="Arial" w:eastAsia="Arial" w:hAnsi="Arial"/>
          <w:sz w:val="18"/>
          <w:szCs w:val="18"/>
          <w:color w:val="auto"/>
        </w:rPr>
        <w:t xml:space="preserve"> Each Collateral Document creates in favor of the Administrative Agent, for the benefit of the Secured Parties, legal, valid and enforceable Liens on, and security interests in, each Loan Party’s right, title and interest in and to the Collateral therein described, and when all appropriate filings or recordings are made in the appropriate offices as may be required under applicable Laws, such Collateral Document will constitute First Priority fully perfected Liens on, and security interests in, all right, title and interest of it in such Collateral, in each case with no other Liens except for Liens that are permitted pursuant to this Agreement.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878" w:right="2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15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Each Loan Party covenants and agrees that until the full and final payment of the Obligations (other than contingent Obligations for which no claim has been made), termination of the Commitments of all Lenders and L/C Issuers, and termination of all Letters of Credit (or Cash Collateralization thereof as acceptable to the applicable L/C Issuer):</w:t>
      </w:r>
    </w:p>
    <w:p>
      <w:pPr>
        <w:spacing w:after="0" w:line="123" w:lineRule="exact"/>
        <w:rPr>
          <w:sz w:val="20"/>
          <w:szCs w:val="20"/>
          <w:color w:val="auto"/>
        </w:rPr>
      </w:pPr>
    </w:p>
    <w:p>
      <w:pPr>
        <w:jc w:val="both"/>
        <w:ind w:right="60" w:firstLine="432"/>
        <w:spacing w:after="0" w:line="303" w:lineRule="auto"/>
        <w:rPr>
          <w:sz w:val="20"/>
          <w:szCs w:val="20"/>
          <w:color w:val="auto"/>
        </w:rPr>
      </w:pPr>
      <w:r>
        <w:rPr>
          <w:rFonts w:ascii="Arial" w:cs="Arial" w:eastAsia="Arial" w:hAnsi="Arial"/>
          <w:sz w:val="16"/>
          <w:szCs w:val="16"/>
          <w:color w:val="auto"/>
        </w:rPr>
        <w:t xml:space="preserve">6.01 </w:t>
      </w:r>
      <w:r>
        <w:rPr>
          <w:rFonts w:ascii="Arial" w:cs="Arial" w:eastAsia="Arial" w:hAnsi="Arial"/>
          <w:sz w:val="16"/>
          <w:szCs w:val="16"/>
          <w:b w:val="1"/>
          <w:bCs w:val="1"/>
          <w:color w:val="auto"/>
        </w:rPr>
        <w:t>Books, Financial Statements and Reports.</w:t>
      </w:r>
      <w:r>
        <w:rPr>
          <w:rFonts w:ascii="Arial" w:cs="Arial" w:eastAsia="Arial" w:hAnsi="Arial"/>
          <w:sz w:val="16"/>
          <w:szCs w:val="16"/>
          <w:color w:val="auto"/>
        </w:rPr>
        <w:t xml:space="preserve"> The Parent Guarantor will, and will cause each of its Subsidiaries to, maintain proper books of record and account in which full and correct entries in conformity with GAAP consistently applied shall be made of financial transactions and matters involving the assets and business of the Borrower and its Subsidiaries. The Parent Guarantor will furnish the following statements and reports to the Administrative Agent (which shall make such information available to the Lenders in accordance with its customary practices) and at the Parent Guarantor’s expense:</w:t>
      </w:r>
    </w:p>
    <w:p>
      <w:pPr>
        <w:spacing w:after="0" w:line="20" w:lineRule="exact"/>
        <w:rPr>
          <w:sz w:val="20"/>
          <w:szCs w:val="20"/>
          <w:color w:val="auto"/>
        </w:rPr>
      </w:pPr>
    </w:p>
    <w:p>
      <w:pPr>
        <w:ind w:right="20" w:firstLine="440"/>
        <w:spacing w:after="0" w:line="287" w:lineRule="auto"/>
        <w:tabs>
          <w:tab w:leader="none" w:pos="67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Within five (5) Business Days after the date required to be delivered to the SEC, but no later than ninety-five (95) days after the end of each fiscal year, complete consolidated financial statements of the Parent Guarantor together with all notes thereto, which shall be prepared in reasonable detail in accordance with GAAP and shall not be subject to any “going concern” or like qualification or exception or any qualification or exception as to the scope of such audit, together with an unqualified opinion based on an audit using generally accepted auditing standards, by an independent certified public accountant of nationally recognized standing, stating that such consolidated financial statements have been so prepared. These financial statements shall contain a consolidated balance sheet as of the end of such fiscal year and consolidated statements of earnings, of cash flows, and of changes in shareholders’ equity for such fiscal year, each setting forth in comparative form the corresponding figures for the preceding fiscal year. On the date of delivery of such financial statements to Administrative Agent, the Parent Guarantor will furnish to Administrative Agent a Compliance Certificate signed by a Responsible Officer of the Parent Guarantor and the Borrower, stating that such financial statements fairly present, in all material respects, the financial condition of the Parent Guarantor, stating that such Person has reviewed the Loan Documents, containing all calculations required to be made to show compliance or non-compliance with the Financial Covenants, containing the information required by </w:t>
      </w:r>
      <w:r>
        <w:rPr>
          <w:rFonts w:ascii="Arial" w:cs="Arial" w:eastAsia="Arial" w:hAnsi="Arial"/>
          <w:sz w:val="16"/>
          <w:szCs w:val="16"/>
          <w:u w:val="single" w:color="auto"/>
          <w:color w:val="auto"/>
        </w:rPr>
        <w:t>Section 6.01(d)</w:t>
      </w:r>
      <w:r>
        <w:rPr>
          <w:rFonts w:ascii="Arial" w:cs="Arial" w:eastAsia="Arial" w:hAnsi="Arial"/>
          <w:sz w:val="16"/>
          <w:szCs w:val="16"/>
          <w:color w:val="auto"/>
        </w:rPr>
        <w:t xml:space="preserve"> and further stating that there is no condition or event at the end of such fiscal year or at the time of such certificate which constitutes a Default or specifying the nature and period of existence of any such condition or event.</w:t>
      </w:r>
    </w:p>
    <w:p>
      <w:pPr>
        <w:spacing w:after="0" w:line="33" w:lineRule="exact"/>
        <w:rPr>
          <w:rFonts w:ascii="Arial" w:cs="Arial" w:eastAsia="Arial" w:hAnsi="Arial"/>
          <w:sz w:val="16"/>
          <w:szCs w:val="16"/>
          <w:color w:val="auto"/>
        </w:rPr>
      </w:pPr>
    </w:p>
    <w:p>
      <w:pPr>
        <w:ind w:firstLine="440"/>
        <w:spacing w:after="0" w:line="270" w:lineRule="auto"/>
        <w:tabs>
          <w:tab w:leader="none" w:pos="68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Within five (5) Business Days after the date required to be delivered to the SEC, but no later than fifty (50) days after the end of each of the first three fiscal quarters of the Parent Guarantor, starting with the fiscal quarter ending September 30, 2013, the Parent Guarantor’s consolidated balance sheet and income statement as of the end of such fiscal quarter and a consolidated statement of cash flows for the period from the beginning of the then current fiscal year to the end of such fiscal quarter, all in reasonable detail and prepared in accordance with GAAP, subject to changes resulting from normal year-end adjustments. In addition, the Parent Guarantor will, together with each such set of financial statements, furnish a Compliance Certificate signed by a Responsible Officer of the Parent Guarantor and the Borrower stating that such financial statements are accurate and complete (subject to normal year-end adjustments), stating that such Person has reviewed the Loan Documents, containing the calculations required to be made to show compliance or noncompliance with the provisions of the Financial Covenants</w:t>
      </w:r>
      <w:r>
        <w:rPr>
          <w:rFonts w:ascii="Arial" w:cs="Arial" w:eastAsia="Arial" w:hAnsi="Arial"/>
          <w:sz w:val="17"/>
          <w:szCs w:val="17"/>
          <w:u w:val="single" w:color="auto"/>
          <w:color w:val="auto"/>
        </w:rPr>
        <w:t>,</w:t>
      </w:r>
      <w:r>
        <w:rPr>
          <w:rFonts w:ascii="Arial" w:cs="Arial" w:eastAsia="Arial" w:hAnsi="Arial"/>
          <w:sz w:val="17"/>
          <w:szCs w:val="17"/>
          <w:color w:val="auto"/>
        </w:rPr>
        <w:t xml:space="preserve"> containing the information required by </w:t>
      </w:r>
      <w:r>
        <w:rPr>
          <w:rFonts w:ascii="Arial" w:cs="Arial" w:eastAsia="Arial" w:hAnsi="Arial"/>
          <w:sz w:val="17"/>
          <w:szCs w:val="17"/>
          <w:u w:val="single" w:color="auto"/>
          <w:color w:val="auto"/>
        </w:rPr>
        <w:t>Section 6.01(d)</w:t>
      </w:r>
      <w:r>
        <w:rPr>
          <w:rFonts w:ascii="Arial" w:cs="Arial" w:eastAsia="Arial" w:hAnsi="Arial"/>
          <w:sz w:val="17"/>
          <w:szCs w:val="17"/>
          <w:color w:val="auto"/>
        </w:rPr>
        <w:t xml:space="preserve"> and further stating that there is no condition or event at the end of such fiscal quarter or at the time of such certificate which constitutes a Default or specifying the nature and period of existence of any such condition or event.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958" w:right="239" w:bottom="1440" w:gutter="0" w:footer="0" w:header="0"/>
        </w:sectPr>
      </w:pPr>
    </w:p>
    <w:bookmarkStart w:id="138" w:name="page139"/>
    <w:bookmarkEnd w:id="138"/>
    <w:p>
      <w:pPr>
        <w:ind w:right="720" w:firstLine="440"/>
        <w:spacing w:after="0" w:line="308" w:lineRule="auto"/>
        <w:tabs>
          <w:tab w:leader="none" w:pos="67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Promptly upon their becoming available, the Parent Guarantor shall provide copies of all registration statements, periodic reports and other statements and schedules filed by the Parent Guarantor with any securities exchange, the SEC or any similar Governmental Authority.</w:t>
      </w:r>
    </w:p>
    <w:p>
      <w:pPr>
        <w:spacing w:after="0" w:line="11" w:lineRule="exact"/>
        <w:rPr>
          <w:rFonts w:ascii="Arial" w:cs="Arial" w:eastAsia="Arial" w:hAnsi="Arial"/>
          <w:sz w:val="17"/>
          <w:szCs w:val="17"/>
          <w:color w:val="auto"/>
        </w:rPr>
      </w:pPr>
    </w:p>
    <w:p>
      <w:pPr>
        <w:ind w:left="700" w:hanging="260"/>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Compliance Certificate shall contain</w:t>
      </w:r>
    </w:p>
    <w:p>
      <w:pPr>
        <w:spacing w:after="0" w:line="90" w:lineRule="exact"/>
        <w:rPr>
          <w:rFonts w:ascii="Arial" w:cs="Arial" w:eastAsia="Arial" w:hAnsi="Arial"/>
          <w:sz w:val="18"/>
          <w:szCs w:val="18"/>
          <w:color w:val="auto"/>
        </w:rPr>
      </w:pPr>
    </w:p>
    <w:p>
      <w:pPr>
        <w:ind w:right="200" w:firstLine="886"/>
        <w:spacing w:after="0" w:line="264" w:lineRule="auto"/>
        <w:tabs>
          <w:tab w:leader="none" w:pos="109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with respect to any financial statements relating to a period during which any Specified Non-Wholly Owned Subsidiary or any Unrestricted Subsidiary is a Consolidated Subsidiary of the Parent Guarantor, a reasonably detailed reconciliation of each of the components reflected in the calculations of compliance with Financial Covenants to the corresponding amounts set forth in such financial statements;</w:t>
      </w:r>
    </w:p>
    <w:p>
      <w:pPr>
        <w:spacing w:after="0" w:line="46" w:lineRule="exact"/>
        <w:rPr>
          <w:rFonts w:ascii="Arial" w:cs="Arial" w:eastAsia="Arial" w:hAnsi="Arial"/>
          <w:sz w:val="18"/>
          <w:szCs w:val="18"/>
          <w:color w:val="auto"/>
        </w:rPr>
      </w:pPr>
    </w:p>
    <w:p>
      <w:pPr>
        <w:ind w:right="540" w:firstLine="886"/>
        <w:spacing w:after="0" w:line="342" w:lineRule="auto"/>
        <w:tabs>
          <w:tab w:leader="none" w:pos="114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 statement by a Responsible Officer certifying that the Schedules attached to the Security Agreements are accurate and complete in all material respects, and attaching any changes thereto that may be needed to make them accurate and complete in all material respects; and</w:t>
      </w:r>
    </w:p>
    <w:p>
      <w:pPr>
        <w:spacing w:after="0" w:line="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earlier of (i) the date on which the Parent Guarantor posts such documents, or provides a link thereto on the Parent Guarantor’s website on the 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or at http://www.sec.gov or (ii) the date on which such documents are posted on the Parent Guarantor’s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Parent Guarantor shall deliver electronic or paper copies of such documents to the Administrative Agent if requested and (ii) the Parent Guarantor shall notify (which may be by facsimile or electronic mail) the Administrative Agent of the posting of any such documents and provide to the Administrative Agent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soft copies) of such documents. Notwithstanding anything contained herein, in every instance the Parent Guarantor shall be required to provide electronic copies of the Compliance Certificates required by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the Administrative Agent. The Administrative Agent shall have no obligation to request the delivery or to maintain copies of the documents referred to above, and in any event shall have no responsibility to monitor compliance by the Parent Guarantor with any such request for delivery, and each Lender shall be solely responsible for requesting delivery to it or maintaining its copies of such documents.</w:t>
      </w:r>
    </w:p>
    <w:p>
      <w:pPr>
        <w:spacing w:after="0" w:line="12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Each Loan Party hereby acknowledges that (a) the Administrative Agent and/or the Arrangers will make available to the Lenders materials and/or information provided by or on behalf of the Borrower or other Loan Parties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Debt Domain,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Parent Guarantor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each Loan Party shall be deemed to have authorized the Administrative Agent, the Arrangers and the Lenders to treat such Borrower Materials as not containing any material non-public information with respect to any Loan Party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962" w:right="239" w:bottom="1440" w:gutter="0" w:footer="0" w:header="0"/>
        </w:sectPr>
      </w:pPr>
    </w:p>
    <w:bookmarkStart w:id="139" w:name="page140"/>
    <w:bookmarkEnd w:id="139"/>
    <w:p>
      <w:pPr>
        <w:ind w:left="260" w:hanging="252"/>
        <w:spacing w:after="0"/>
        <w:tabs>
          <w:tab w:leader="none" w:pos="2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Borrower Materials marked “PUBLIC” are permitted to be made available through a portion of the Platform designated “Public Side Information;” and</w:t>
      </w:r>
    </w:p>
    <w:p>
      <w:pPr>
        <w:spacing w:after="0" w:line="46" w:lineRule="exact"/>
        <w:rPr>
          <w:rFonts w:ascii="Arial" w:cs="Arial" w:eastAsia="Arial" w:hAnsi="Arial"/>
          <w:sz w:val="16"/>
          <w:szCs w:val="16"/>
          <w:color w:val="auto"/>
        </w:rPr>
      </w:pPr>
    </w:p>
    <w:p>
      <w:pPr>
        <w:ind w:right="360" w:firstLine="8"/>
        <w:spacing w:after="0" w:line="261" w:lineRule="auto"/>
        <w:tabs>
          <w:tab w:leader="none" w:pos="2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Administrative Agent and the Arrangers shall be entitled to treat any Borrower Materials that are not marked “PUBLIC” as being suitable only for posting on a portion of the Platform not designated “Public Side Information.”</w:t>
      </w:r>
    </w:p>
    <w:p>
      <w:pPr>
        <w:spacing w:after="0" w:line="12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 xml:space="preserve">6.02 </w:t>
      </w:r>
      <w:r>
        <w:rPr>
          <w:rFonts w:ascii="Arial" w:cs="Arial" w:eastAsia="Arial" w:hAnsi="Arial"/>
          <w:sz w:val="16"/>
          <w:szCs w:val="16"/>
          <w:b w:val="1"/>
          <w:bCs w:val="1"/>
          <w:color w:val="auto"/>
        </w:rPr>
        <w:t>Other Information and Financial Records; Inspections.</w:t>
      </w:r>
      <w:r>
        <w:rPr>
          <w:rFonts w:ascii="Arial" w:cs="Arial" w:eastAsia="Arial" w:hAnsi="Arial"/>
          <w:sz w:val="16"/>
          <w:szCs w:val="16"/>
          <w:color w:val="auto"/>
        </w:rPr>
        <w:t xml:space="preserve"> Each Loan Party agrees to (a) keep proper books of record and accounts as may be required or necessary to permit the preparation of financial statements in accordance with GAAP; (b) furnish to each Lender any information which Administrative Agent or any Lender may from time to time reasonably request concerning any covenant, provision or condition of the Loan Documents or any matter in connection with the businesses and operations of any Loan Party and its Subsidiaries; and (c) permit, and cause its Restricted Subsidiaries to permit, representatives appointed by Administrative Agent or any Lender (including independent accountants, auditors, agents, attorneys, appraisers and any other representatives), upon reasonable prior notice, to visit and inspect during normal business hours any of the properties, to examine its books of account and other books and records, to make copies thereof, to write down and record any information such representatives obtain, and to discuss its affairs, finance and accounts with its officers, employees and independent accountants. In the absence of an Event of Default, and notwithstanding anything to the contrary in </w:t>
      </w:r>
      <w:r>
        <w:rPr>
          <w:rFonts w:ascii="Arial" w:cs="Arial" w:eastAsia="Arial" w:hAnsi="Arial"/>
          <w:sz w:val="16"/>
          <w:szCs w:val="16"/>
          <w:u w:val="single" w:color="auto"/>
          <w:color w:val="auto"/>
        </w:rPr>
        <w:t>Section 11.04</w:t>
      </w:r>
      <w:r>
        <w:rPr>
          <w:rFonts w:ascii="Arial" w:cs="Arial" w:eastAsia="Arial" w:hAnsi="Arial"/>
          <w:sz w:val="16"/>
          <w:szCs w:val="16"/>
          <w:color w:val="auto"/>
        </w:rPr>
        <w:t>, the Borrower shall not be required to pay for more than one such visit in any year.</w:t>
      </w:r>
    </w:p>
    <w:p>
      <w:pPr>
        <w:spacing w:after="0" w:line="106" w:lineRule="exact"/>
        <w:rPr>
          <w:sz w:val="20"/>
          <w:szCs w:val="20"/>
          <w:color w:val="auto"/>
        </w:rPr>
      </w:pPr>
    </w:p>
    <w:p>
      <w:pPr>
        <w:ind w:right="60" w:firstLine="432"/>
        <w:spacing w:after="0" w:line="266"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b w:val="1"/>
          <w:bCs w:val="1"/>
          <w:color w:val="auto"/>
        </w:rPr>
        <w:t>Notice of Material Events; Notice of Changes in Certain Information Pertaining to the Collateral.</w:t>
      </w:r>
      <w:r>
        <w:rPr>
          <w:rFonts w:ascii="Arial" w:cs="Arial" w:eastAsia="Arial" w:hAnsi="Arial"/>
          <w:sz w:val="18"/>
          <w:szCs w:val="18"/>
          <w:color w:val="auto"/>
        </w:rPr>
        <w:t xml:space="preserve"> The Borrower will promptly notify the Administrative Agent in writing (and Administrative Agent shall make such information available to the Lenders in accordance with its customary practices), stating that such notice is being given pursuant to this Agreement, of:</w:t>
      </w:r>
    </w:p>
    <w:p>
      <w:pPr>
        <w:spacing w:after="0" w:line="45" w:lineRule="exact"/>
        <w:rPr>
          <w:sz w:val="20"/>
          <w:szCs w:val="20"/>
          <w:color w:val="auto"/>
        </w:rPr>
      </w:pPr>
    </w:p>
    <w:p>
      <w:pPr>
        <w:ind w:right="80" w:firstLine="440"/>
        <w:spacing w:after="0" w:line="312" w:lineRule="auto"/>
        <w:tabs>
          <w:tab w:leader="none" w:pos="67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occurrence of any event (including, without limitation, (i) any default by a Loan Party or any Material Subsidiary under a Contractual Obligation, (ii) the filing or commencement of any action, suit or proceeding by or before any arbitrator or Governmental Authority affecting a Loan Party or any Material Subsidiary, or (iii) the occurrence of any ERISA Event) which has had or would reasonably be expected to have a Material Adverse Effect;</w:t>
      </w:r>
    </w:p>
    <w:p>
      <w:pPr>
        <w:spacing w:after="0" w:line="11" w:lineRule="exact"/>
        <w:rPr>
          <w:rFonts w:ascii="Arial" w:cs="Arial" w:eastAsia="Arial" w:hAnsi="Arial"/>
          <w:sz w:val="16"/>
          <w:szCs w:val="16"/>
          <w:color w:val="auto"/>
        </w:rPr>
      </w:pPr>
    </w:p>
    <w:p>
      <w:pPr>
        <w:ind w:left="700" w:hanging="260"/>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occurrence of any Event of Default; and</w:t>
      </w:r>
    </w:p>
    <w:p>
      <w:pPr>
        <w:spacing w:after="0" w:line="90" w:lineRule="exact"/>
        <w:rPr>
          <w:rFonts w:ascii="Arial" w:cs="Arial" w:eastAsia="Arial" w:hAnsi="Arial"/>
          <w:sz w:val="18"/>
          <w:szCs w:val="18"/>
          <w:color w:val="auto"/>
        </w:rPr>
      </w:pPr>
    </w:p>
    <w:p>
      <w:pPr>
        <w:ind w:firstLine="440"/>
        <w:spacing w:after="0" w:line="259" w:lineRule="auto"/>
        <w:tabs>
          <w:tab w:leader="none" w:pos="6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change in any Loan Party’s (i) legal name, (ii) jurisdiction of organization or formation, (iii) form of entity, or (iv) Federal Taxpayer Identification Number. The Borrower agrees to make all filings under the Uniform Commercial Code or otherwise that are reasonably requested by the Administrative Agent in order for the Administrative Agent to continue at all times following such change to have a valid, legal and perfected security interest in all the Collateral to the same extent as before such change.</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Each notice delivered under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be accompanied by a statement of a Responsible Officer setting forth the details of the event or development requiring such notice and any action taken or proposed to be taken with respect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962" w:right="239" w:bottom="1440" w:gutter="0" w:footer="0" w:header="0"/>
        </w:sectPr>
      </w:pPr>
    </w:p>
    <w:bookmarkStart w:id="140" w:name="page141"/>
    <w:bookmarkEnd w:id="140"/>
    <w:p>
      <w:pPr>
        <w:ind w:firstLine="432"/>
        <w:spacing w:after="0" w:line="266"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b w:val="1"/>
          <w:bCs w:val="1"/>
          <w:color w:val="auto"/>
        </w:rPr>
        <w:t>Maintenance of Properties.</w:t>
      </w:r>
      <w:r>
        <w:rPr>
          <w:rFonts w:ascii="Arial" w:cs="Arial" w:eastAsia="Arial" w:hAnsi="Arial"/>
          <w:sz w:val="18"/>
          <w:szCs w:val="18"/>
          <w:color w:val="auto"/>
        </w:rPr>
        <w:t xml:space="preserve"> Each Loan Party will, and will cause its Material Subsidiaries to, keep and maintain all property material to the conduct of its business in good, working condition, ordinary wear and tear excepted, except where failure to do so would not reasonably be expected to have a Material Adverse Effect.</w:t>
      </w:r>
    </w:p>
    <w:p>
      <w:pPr>
        <w:spacing w:after="0" w:line="12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b w:val="1"/>
          <w:bCs w:val="1"/>
          <w:color w:val="auto"/>
        </w:rPr>
        <w:t>Maintenance of Existence and Qualifications.</w:t>
      </w:r>
      <w:r>
        <w:rPr>
          <w:rFonts w:ascii="Arial" w:cs="Arial" w:eastAsia="Arial" w:hAnsi="Arial"/>
          <w:sz w:val="18"/>
          <w:szCs w:val="18"/>
          <w:color w:val="auto"/>
        </w:rPr>
        <w:t xml:space="preserve"> Each Loan Party will maintain its legal existence and good standing under the laws of its state of organization. Each Loan Party (a) will cause its Material Subsidiaries to maintain their existence and good standing under the laws of the state of their organization, (b) will take, and will cause each of its Material Subsidiaries to take, all reasonable steps to maintain the rights, licenses, permits, privileges and franchises material to the conduct of its business, except,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any failure to maintain, preserve or qualify that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(i) any merger, consolidation, liquidation or dissolution permitted under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or (ii) a termination of such existence, good standing, rights, licenses, permits, privileges and franchises of any Material Subsidiary if the Borrower determines in good faith that such termination is in the best interest of the Borrower and would not reasonably be expected to have a Material Adverse Effect.</w:t>
      </w:r>
    </w:p>
    <w:p>
      <w:pPr>
        <w:spacing w:after="0" w:line="131"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b w:val="1"/>
          <w:bCs w:val="1"/>
          <w:color w:val="auto"/>
        </w:rPr>
        <w:t>Payment of Obligations.</w:t>
      </w:r>
      <w:r>
        <w:rPr>
          <w:rFonts w:ascii="Arial" w:cs="Arial" w:eastAsia="Arial" w:hAnsi="Arial"/>
          <w:sz w:val="16"/>
          <w:szCs w:val="16"/>
          <w:color w:val="auto"/>
        </w:rPr>
        <w:t xml:space="preserve"> Each Loan Party will, and will cause each of its Restricted Subsidiaries to, pay its obligations, including Tax liabilities, that, if not paid, would reasonably be expected to result in a Material Adverse Effect before the same shall become delinquent or in default, except where</w:t>
      </w:r>
    </w:p>
    <w:p>
      <w:pPr>
        <w:spacing w:after="0" w:line="1" w:lineRule="exact"/>
        <w:rPr>
          <w:sz w:val="20"/>
          <w:szCs w:val="20"/>
          <w:color w:val="auto"/>
        </w:rPr>
      </w:pPr>
    </w:p>
    <w:p>
      <w:pPr>
        <w:ind w:right="180" w:firstLine="8"/>
        <w:spacing w:after="0" w:line="261" w:lineRule="auto"/>
        <w:tabs>
          <w:tab w:leader="none" w:pos="2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validity or amount thereof is being contested in good faith by appropriate proceedings, and (b) such Loan Party or such Restricted Subsidiary has set aside on its books adequate reserves with respect thereto in accordance with GAAP.</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b w:val="1"/>
          <w:bCs w:val="1"/>
          <w:color w:val="auto"/>
        </w:rPr>
        <w:t>Insurance.</w:t>
      </w:r>
      <w:r>
        <w:rPr>
          <w:rFonts w:ascii="Arial" w:cs="Arial" w:eastAsia="Arial" w:hAnsi="Arial"/>
          <w:sz w:val="18"/>
          <w:szCs w:val="18"/>
          <w:color w:val="auto"/>
        </w:rPr>
        <w:t xml:space="preserve"> Each Loan Party will, and will cause each of its Restricted Subsidiaries to,</w:t>
      </w:r>
    </w:p>
    <w:p>
      <w:pPr>
        <w:spacing w:after="0" w:line="94" w:lineRule="exact"/>
        <w:rPr>
          <w:sz w:val="20"/>
          <w:szCs w:val="20"/>
          <w:color w:val="auto"/>
        </w:rPr>
      </w:pPr>
    </w:p>
    <w:p>
      <w:pPr>
        <w:ind w:right="260" w:firstLine="440"/>
        <w:spacing w:after="0" w:line="264" w:lineRule="auto"/>
        <w:tabs>
          <w:tab w:leader="none" w:pos="6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Maintain, with financially sound and reputable insurance companies, insurance in such amounts and against such risks, including property and casualty insurance and comprehensive general liability insurance, in each case as are customarily maintained by companies engaged in the same or similar businesses operating in the same or similar locations;</w:t>
      </w:r>
    </w:p>
    <w:p>
      <w:pPr>
        <w:spacing w:after="0" w:line="46" w:lineRule="exact"/>
        <w:rPr>
          <w:rFonts w:ascii="Arial" w:cs="Arial" w:eastAsia="Arial" w:hAnsi="Arial"/>
          <w:sz w:val="18"/>
          <w:szCs w:val="18"/>
          <w:color w:val="auto"/>
        </w:rPr>
      </w:pPr>
    </w:p>
    <w:p>
      <w:pPr>
        <w:ind w:right="100" w:firstLine="440"/>
        <w:spacing w:after="0" w:line="297" w:lineRule="auto"/>
        <w:tabs>
          <w:tab w:leader="none" w:pos="68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 Cause such property insurance covering Collateral to name the Administrative Agent as loss payee; (ii) use commercially reasonable efforts to cause the policy or policies evidencing such insurance to be endorsed or otherwise amended to include a customary lender’s loss payable endorsement, in form and substance satisfactory to the Administrative Agent; and (iii) use commercially reasonable efforts to provide that such policy or policies shall not be canceled or not renewed (A) by reason of nonpayment of premium upon not less than ten (10) days’ prior written notice thereof by the insurer to the Administrative Agent or (B) for any other reason upon not less than 30 days’ prior written notice thereof by the insurer to the Administrative Agent;</w:t>
      </w:r>
    </w:p>
    <w:p>
      <w:pPr>
        <w:spacing w:after="0" w:line="23" w:lineRule="exact"/>
        <w:rPr>
          <w:rFonts w:ascii="Arial" w:cs="Arial" w:eastAsia="Arial" w:hAnsi="Arial"/>
          <w:sz w:val="16"/>
          <w:szCs w:val="16"/>
          <w:color w:val="auto"/>
        </w:rPr>
      </w:pPr>
    </w:p>
    <w:p>
      <w:pPr>
        <w:ind w:left="680" w:hanging="240"/>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Cause such comprehensive general liability insurance to name the Administrative Agent as an additional insured;</w:t>
      </w:r>
    </w:p>
    <w:p>
      <w:pPr>
        <w:spacing w:after="0" w:line="90" w:lineRule="exact"/>
        <w:rPr>
          <w:rFonts w:ascii="Arial" w:cs="Arial" w:eastAsia="Arial" w:hAnsi="Arial"/>
          <w:sz w:val="18"/>
          <w:szCs w:val="18"/>
          <w:color w:val="auto"/>
        </w:rPr>
      </w:pPr>
    </w:p>
    <w:p>
      <w:pPr>
        <w:ind w:right="260" w:firstLine="440"/>
        <w:spacing w:after="0" w:line="334" w:lineRule="auto"/>
        <w:tabs>
          <w:tab w:leader="none" w:pos="68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the extent Collateral under a mortgage consists of buildings or mobile homes located on Real Property covered by such mortgage, provide the Administrative Agent with a standard flood hazard determination form for such property and if any such property is located in an area designated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958" w:right="259" w:bottom="1440" w:gutter="0" w:footer="0" w:header="0"/>
        </w:sectPr>
      </w:pPr>
    </w:p>
    <w:bookmarkStart w:id="141" w:name="page142"/>
    <w:bookmarkEnd w:id="141"/>
    <w:p>
      <w:pPr>
        <w:jc w:val="both"/>
        <w:ind w:right="360"/>
        <w:spacing w:after="0" w:line="264" w:lineRule="auto"/>
        <w:rPr>
          <w:sz w:val="20"/>
          <w:szCs w:val="20"/>
          <w:color w:val="auto"/>
        </w:rPr>
      </w:pPr>
      <w:r>
        <w:rPr>
          <w:rFonts w:ascii="Arial" w:cs="Arial" w:eastAsia="Arial" w:hAnsi="Arial"/>
          <w:sz w:val="18"/>
          <w:szCs w:val="18"/>
          <w:color w:val="auto"/>
        </w:rPr>
        <w:t>“flood hazard area” in any Flood Insurance Rate Map published by the Federal Emergency Management Agency (or any successor agency), obtain flood insurance in such amount as the Administrative Agent may from time to time reasonably require to ensure compliance with the National Flood Insurance Program as set forth in the Flood Disaster Protection Act of 1973; and</w:t>
      </w:r>
    </w:p>
    <w:p>
      <w:pPr>
        <w:spacing w:after="0" w:line="46" w:lineRule="exact"/>
        <w:rPr>
          <w:sz w:val="20"/>
          <w:szCs w:val="20"/>
          <w:color w:val="auto"/>
        </w:rPr>
      </w:pPr>
    </w:p>
    <w:p>
      <w:pPr>
        <w:ind w:right="80" w:firstLine="440"/>
        <w:spacing w:after="0" w:line="277" w:lineRule="auto"/>
        <w:tabs>
          <w:tab w:leader="none" w:pos="67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Upon request by the Administrative Agent, deliver a certificate or certificates of insurance evidencing insurance required to be maintained pursuant to this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b w:val="1"/>
          <w:bCs w:val="1"/>
          <w:color w:val="auto"/>
        </w:rPr>
        <w:t>Compliance with Law.</w:t>
      </w:r>
    </w:p>
    <w:p>
      <w:pPr>
        <w:spacing w:after="0" w:line="94" w:lineRule="exact"/>
        <w:rPr>
          <w:sz w:val="20"/>
          <w:szCs w:val="20"/>
          <w:color w:val="auto"/>
        </w:rPr>
      </w:pPr>
    </w:p>
    <w:p>
      <w:pPr>
        <w:ind w:right="100" w:firstLine="440"/>
        <w:spacing w:after="0" w:line="259" w:lineRule="auto"/>
        <w:tabs>
          <w:tab w:leader="none" w:pos="67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Loan Party will, and will cause each of its Restricted Subsidiaries to, comply with all laws, rules, regulations and orders of any Governmental Authority applicable to it or its property, except in such circumstances in which (a) a requirement of Law or the necessity to comply therewith is being contested in good faith by appropriate proceedings diligently conducted, or (b) the failure to comply therewith would not be reasonably expected to have a Material Adverse Effect.</w:t>
      </w:r>
    </w:p>
    <w:p>
      <w:pPr>
        <w:spacing w:after="0" w:line="51" w:lineRule="exact"/>
        <w:rPr>
          <w:rFonts w:ascii="Arial" w:cs="Arial" w:eastAsia="Arial" w:hAnsi="Arial"/>
          <w:sz w:val="18"/>
          <w:szCs w:val="18"/>
          <w:color w:val="auto"/>
        </w:rPr>
      </w:pPr>
    </w:p>
    <w:p>
      <w:pPr>
        <w:ind w:right="160" w:firstLine="440"/>
        <w:spacing w:after="0" w:line="276" w:lineRule="auto"/>
        <w:tabs>
          <w:tab w:leader="none" w:pos="68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Without limiting the obligations of the Loan Parties under </w:t>
      </w:r>
      <w:r>
        <w:rPr>
          <w:rFonts w:ascii="Arial" w:cs="Arial" w:eastAsia="Arial" w:hAnsi="Arial"/>
          <w:sz w:val="17"/>
          <w:szCs w:val="17"/>
          <w:u w:val="single" w:color="auto"/>
          <w:color w:val="auto"/>
        </w:rPr>
        <w:t>Section 6.08(a)</w:t>
      </w:r>
      <w:r>
        <w:rPr>
          <w:rFonts w:ascii="Arial" w:cs="Arial" w:eastAsia="Arial" w:hAnsi="Arial"/>
          <w:sz w:val="17"/>
          <w:szCs w:val="17"/>
          <w:color w:val="auto"/>
        </w:rPr>
        <w:t xml:space="preserve">, each Loan Party will, and will cause its Restricted Subsidiaries to, comply with all Environmental Laws applicable to its or their business, operations and properties; obtain and maintain in full force and effect all material authorizations, registrations, licenses and permits required pursuant to Environmental Law for its business, operations and properties; and perform any investigation, remedial action or cleanup as required pursuant to Environmental Laws, except, in each case with respect to this </w:t>
      </w:r>
      <w:r>
        <w:rPr>
          <w:rFonts w:ascii="Arial" w:cs="Arial" w:eastAsia="Arial" w:hAnsi="Arial"/>
          <w:sz w:val="17"/>
          <w:szCs w:val="17"/>
          <w:u w:val="single" w:color="auto"/>
          <w:color w:val="auto"/>
        </w:rPr>
        <w:t>Section 6.08(b)</w:t>
      </w:r>
      <w:r>
        <w:rPr>
          <w:rFonts w:ascii="Arial" w:cs="Arial" w:eastAsia="Arial" w:hAnsi="Arial"/>
          <w:sz w:val="17"/>
          <w:szCs w:val="17"/>
          <w:color w:val="auto"/>
        </w:rPr>
        <w:t>, to the extent the failure to do so would not reasonably be expected to have, individually or in the aggregate, a Material Adverse Effect.</w:t>
      </w:r>
    </w:p>
    <w:p>
      <w:pPr>
        <w:spacing w:after="0" w:line="115" w:lineRule="exact"/>
        <w:rPr>
          <w:sz w:val="20"/>
          <w:szCs w:val="20"/>
          <w:color w:val="auto"/>
        </w:rPr>
      </w:pPr>
    </w:p>
    <w:p>
      <w:pPr>
        <w:ind w:right="260" w:firstLine="432"/>
        <w:spacing w:after="0" w:line="289" w:lineRule="auto"/>
        <w:rPr>
          <w:sz w:val="20"/>
          <w:szCs w:val="20"/>
          <w:color w:val="auto"/>
        </w:rPr>
      </w:pPr>
      <w:r>
        <w:rPr>
          <w:rFonts w:ascii="Arial" w:cs="Arial" w:eastAsia="Arial" w:hAnsi="Arial"/>
          <w:sz w:val="17"/>
          <w:szCs w:val="17"/>
          <w:color w:val="auto"/>
        </w:rPr>
        <w:t xml:space="preserve">6.09 </w:t>
      </w:r>
      <w:r>
        <w:rPr>
          <w:rFonts w:ascii="Arial" w:cs="Arial" w:eastAsia="Arial" w:hAnsi="Arial"/>
          <w:sz w:val="17"/>
          <w:szCs w:val="17"/>
          <w:b w:val="1"/>
          <w:bCs w:val="1"/>
          <w:color w:val="auto"/>
        </w:rPr>
        <w:t>Use of Proceeds.</w:t>
      </w:r>
      <w:r>
        <w:rPr>
          <w:rFonts w:ascii="Arial" w:cs="Arial" w:eastAsia="Arial" w:hAnsi="Arial"/>
          <w:sz w:val="17"/>
          <w:szCs w:val="17"/>
          <w:color w:val="auto"/>
        </w:rPr>
        <w:t xml:space="preserve"> The Borrower will use the proceeds of the Credit Extensions for working capital, capital expenditures, Acquisitions and other general corporate purposes, including distributions, not in contravention of any Law or of any Loan Document. No part of the proceeds of the Credit Extensions will be used, whether directly or indirectly, for any purpose that violates any of Regulations T, U or X.</w:t>
      </w:r>
    </w:p>
    <w:p>
      <w:pPr>
        <w:spacing w:after="0" w:line="10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color w:val="auto"/>
        </w:rPr>
        <w:t>Subordination of Intercompany Indebtedness.</w:t>
      </w:r>
      <w:r>
        <w:rPr>
          <w:rFonts w:ascii="Arial" w:cs="Arial" w:eastAsia="Arial" w:hAnsi="Arial"/>
          <w:sz w:val="18"/>
          <w:szCs w:val="18"/>
          <w:color w:val="auto"/>
        </w:rPr>
        <w:t xml:space="preserve"> All Indebtedness of any Loan Party permitted by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shall be subject to subordination provisions in form and substance reasonably satisfactory to Administrative Agent.</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color w:val="auto"/>
        </w:rPr>
        <w:t>Additional Material Subsidiaries</w:t>
      </w:r>
      <w:r>
        <w:rPr>
          <w:rFonts w:ascii="Arial" w:cs="Arial" w:eastAsia="Arial" w:hAnsi="Arial"/>
          <w:sz w:val="18"/>
          <w:szCs w:val="18"/>
          <w:color w:val="auto"/>
        </w:rPr>
        <w:t xml:space="preserve">;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Each Loan Party agrees to, and will cause its Material Subsidiaries to:</w:t>
      </w:r>
    </w:p>
    <w:p>
      <w:pPr>
        <w:spacing w:after="0" w:line="94" w:lineRule="exact"/>
        <w:rPr>
          <w:sz w:val="20"/>
          <w:szCs w:val="20"/>
          <w:color w:val="auto"/>
        </w:rPr>
      </w:pPr>
    </w:p>
    <w:p>
      <w:pPr>
        <w:ind w:right="20" w:firstLine="440"/>
        <w:spacing w:after="0" w:line="297" w:lineRule="auto"/>
        <w:tabs>
          <w:tab w:leader="none" w:pos="677"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Cause (x) all present and future Equity Interests now or hereafter owned by the Parent Guarantor, the Borrower and each present and future Material Subsidiary and (y) all other material tangible and intangible property, other than Excluded Property, now or hereafter owned by the Parent, the Borrower and each present and future respective Material Subsidiary, to be subject at all times to perfected First Priority Liens in favor of the Administrative Agent to secure the Secured Obligations pursuant to the terms and conditions of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foregoing requirements in this paragraph shall not apply to any Specified Non-Wholly Owned Subsidiary unless and until it is a Wholly Owned Subsidiary,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882" w:right="259" w:bottom="1440" w:gutter="0" w:footer="0" w:header="0"/>
        </w:sectPr>
      </w:pPr>
    </w:p>
    <w:bookmarkStart w:id="142" w:name="page143"/>
    <w:bookmarkEnd w:id="142"/>
    <w:p>
      <w:pPr>
        <w:ind w:left="-8" w:right="140" w:firstLine="886"/>
        <w:spacing w:after="0" w:line="286" w:lineRule="auto"/>
        <w:tabs>
          <w:tab w:leader="none" w:pos="1085" w:val="left"/>
        </w:tabs>
        <w:numPr>
          <w:ilvl w:val="2"/>
          <w:numId w:val="132"/>
        </w:numPr>
        <w:rPr>
          <w:rFonts w:ascii="Arial" w:cs="Arial" w:eastAsia="Arial" w:hAnsi="Arial"/>
          <w:sz w:val="17"/>
          <w:szCs w:val="17"/>
          <w:color w:val="auto"/>
        </w:rPr>
      </w:pPr>
      <w:r>
        <w:rPr>
          <w:rFonts w:ascii="Arial" w:cs="Arial" w:eastAsia="Arial" w:hAnsi="Arial"/>
          <w:sz w:val="17"/>
          <w:szCs w:val="17"/>
          <w:color w:val="auto"/>
        </w:rPr>
        <w:t xml:space="preserve">No mortgages or fixture filings in county records will be required to be executed or recorded on or with respect to pipelines, Pipeline Real Property or other owned or leased Real Property except as provided in </w:t>
      </w:r>
      <w:r>
        <w:rPr>
          <w:rFonts w:ascii="Arial" w:cs="Arial" w:eastAsia="Arial" w:hAnsi="Arial"/>
          <w:sz w:val="17"/>
          <w:szCs w:val="17"/>
          <w:u w:val="single" w:color="auto"/>
          <w:color w:val="auto"/>
        </w:rPr>
        <w:t>Section 6.11(c)</w:t>
      </w:r>
      <w:r>
        <w:rPr>
          <w:rFonts w:ascii="Arial" w:cs="Arial" w:eastAsia="Arial" w:hAnsi="Arial"/>
          <w:sz w:val="17"/>
          <w:szCs w:val="17"/>
          <w:color w:val="auto"/>
        </w:rPr>
        <w:t xml:space="preserve"> with respect to Material Real Property as therein described, provided that transmitting utility Uniform Commercial Code financing statements may be filed in state central filing offices;</w:t>
      </w:r>
    </w:p>
    <w:p>
      <w:pPr>
        <w:spacing w:after="0" w:line="30" w:lineRule="exact"/>
        <w:rPr>
          <w:rFonts w:ascii="Arial" w:cs="Arial" w:eastAsia="Arial" w:hAnsi="Arial"/>
          <w:sz w:val="17"/>
          <w:szCs w:val="17"/>
          <w:color w:val="auto"/>
        </w:rPr>
      </w:pPr>
    </w:p>
    <w:p>
      <w:pPr>
        <w:ind w:left="1152" w:hanging="274"/>
        <w:spacing w:after="0"/>
        <w:tabs>
          <w:tab w:leader="none" w:pos="115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Control agreements will not be required with respect to deposit accounts, securities accounts and commodities accounts;</w:t>
      </w:r>
    </w:p>
    <w:p>
      <w:pPr>
        <w:spacing w:after="0" w:line="90" w:lineRule="exact"/>
        <w:rPr>
          <w:rFonts w:ascii="Arial" w:cs="Arial" w:eastAsia="Arial" w:hAnsi="Arial"/>
          <w:sz w:val="18"/>
          <w:szCs w:val="18"/>
          <w:color w:val="auto"/>
        </w:rPr>
      </w:pPr>
    </w:p>
    <w:p>
      <w:pPr>
        <w:ind w:left="-8" w:firstLine="886"/>
        <w:spacing w:after="0" w:line="276" w:lineRule="auto"/>
        <w:tabs>
          <w:tab w:leader="none" w:pos="1185" w:val="left"/>
        </w:tabs>
        <w:numPr>
          <w:ilvl w:val="2"/>
          <w:numId w:val="132"/>
        </w:numPr>
        <w:rPr>
          <w:rFonts w:ascii="Arial" w:cs="Arial" w:eastAsia="Arial" w:hAnsi="Arial"/>
          <w:sz w:val="17"/>
          <w:szCs w:val="17"/>
          <w:color w:val="auto"/>
        </w:rPr>
      </w:pPr>
      <w:r>
        <w:rPr>
          <w:rFonts w:ascii="Arial" w:cs="Arial" w:eastAsia="Arial" w:hAnsi="Arial"/>
          <w:sz w:val="17"/>
          <w:szCs w:val="17"/>
          <w:color w:val="auto"/>
        </w:rPr>
        <w:t>A Lien on Equity Interests evidencing ownership of a Joint Venture will not be required for so long as and to the extent that the Joint Venture Organization Documents prohibit such pledge, and a Lien on Equity Interests evidencing ownership of an Unrestricted Subsidiary will not be required if and for so long as (i) such Unrestricted Subsidiary is not a Wholly Owned Subsidiary and the Organization Documents of such Unrestricted Subsidiary prohibit such pledge or (ii) such Equity Interests are required to be pledged to secure debt of such Unrestricted Subsidiary (or its parent company that is an Unrestricted Subsidiary) and the terms of such other pledge prohibit a lien to secure the Secured Obligations;</w:t>
      </w:r>
    </w:p>
    <w:p>
      <w:pPr>
        <w:spacing w:after="0" w:line="37" w:lineRule="exact"/>
        <w:rPr>
          <w:rFonts w:ascii="Arial" w:cs="Arial" w:eastAsia="Arial" w:hAnsi="Arial"/>
          <w:sz w:val="17"/>
          <w:szCs w:val="17"/>
          <w:color w:val="auto"/>
        </w:rPr>
      </w:pPr>
    </w:p>
    <w:p>
      <w:pPr>
        <w:ind w:left="-8" w:right="260" w:firstLine="886"/>
        <w:spacing w:after="0" w:line="277" w:lineRule="auto"/>
        <w:tabs>
          <w:tab w:leader="none" w:pos="1175" w:val="left"/>
        </w:tabs>
        <w:numPr>
          <w:ilvl w:val="2"/>
          <w:numId w:val="132"/>
        </w:numPr>
        <w:rPr>
          <w:rFonts w:ascii="Arial" w:cs="Arial" w:eastAsia="Arial" w:hAnsi="Arial"/>
          <w:sz w:val="18"/>
          <w:szCs w:val="18"/>
          <w:color w:val="auto"/>
        </w:rPr>
      </w:pPr>
      <w:r>
        <w:rPr>
          <w:rFonts w:ascii="Arial" w:cs="Arial" w:eastAsia="Arial" w:hAnsi="Arial"/>
          <w:sz w:val="18"/>
          <w:szCs w:val="18"/>
          <w:color w:val="auto"/>
        </w:rPr>
        <w:t>with respect to owned vehicles, rail cars and similar collateral for which perfection of Liens would require taking possession of, or noting Liens on, a certificate of title, Liens on such assets need not be perfected;</w:t>
      </w:r>
    </w:p>
    <w:p>
      <w:pPr>
        <w:spacing w:after="0" w:line="35" w:lineRule="exact"/>
        <w:rPr>
          <w:rFonts w:ascii="Arial" w:cs="Arial" w:eastAsia="Arial" w:hAnsi="Arial"/>
          <w:sz w:val="18"/>
          <w:szCs w:val="18"/>
          <w:color w:val="auto"/>
        </w:rPr>
      </w:pPr>
    </w:p>
    <w:p>
      <w:pPr>
        <w:ind w:left="-8" w:right="20" w:firstLine="886"/>
        <w:spacing w:after="0" w:line="264" w:lineRule="auto"/>
        <w:tabs>
          <w:tab w:leader="none" w:pos="1125" w:val="left"/>
        </w:tabs>
        <w:numPr>
          <w:ilvl w:val="2"/>
          <w:numId w:val="132"/>
        </w:numPr>
        <w:rPr>
          <w:rFonts w:ascii="Arial" w:cs="Arial" w:eastAsia="Arial" w:hAnsi="Arial"/>
          <w:sz w:val="18"/>
          <w:szCs w:val="18"/>
          <w:color w:val="auto"/>
        </w:rPr>
      </w:pPr>
      <w:r>
        <w:rPr>
          <w:rFonts w:ascii="Arial" w:cs="Arial" w:eastAsia="Arial" w:hAnsi="Arial"/>
          <w:sz w:val="18"/>
          <w:szCs w:val="18"/>
          <w:color w:val="auto"/>
        </w:rPr>
        <w:t>Liens on assets will not be required, and/or perfection of Liens will not be required, in circumstances where the Administrative Agent and the Borrower agree that the cost of obtaining (or perfecting, as applicable) a Lien on such assets is materially disproportionate in relation to the benefit to the Secured Parties afforded thereby.</w:t>
      </w:r>
    </w:p>
    <w:p>
      <w:pPr>
        <w:spacing w:after="0" w:line="46" w:lineRule="exact"/>
        <w:rPr>
          <w:rFonts w:ascii="Arial" w:cs="Arial" w:eastAsia="Arial" w:hAnsi="Arial"/>
          <w:sz w:val="18"/>
          <w:szCs w:val="18"/>
          <w:color w:val="auto"/>
        </w:rPr>
      </w:pPr>
    </w:p>
    <w:p>
      <w:pPr>
        <w:ind w:left="-8" w:right="40" w:firstLine="440"/>
        <w:spacing w:after="0" w:line="284" w:lineRule="auto"/>
        <w:tabs>
          <w:tab w:leader="none" w:pos="679"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Additional Material Subsidiaries</w:t>
      </w:r>
      <w:r>
        <w:rPr>
          <w:rFonts w:ascii="Arial" w:cs="Arial" w:eastAsia="Arial" w:hAnsi="Arial"/>
          <w:sz w:val="16"/>
          <w:szCs w:val="16"/>
          <w:color w:val="auto"/>
        </w:rPr>
        <w:t>. Notify the Administrative Agent if any of the following occurs (each, a “</w:t>
      </w:r>
      <w:r>
        <w:rPr>
          <w:rFonts w:ascii="Arial" w:cs="Arial" w:eastAsia="Arial" w:hAnsi="Arial"/>
          <w:sz w:val="16"/>
          <w:szCs w:val="16"/>
          <w:u w:val="single" w:color="auto"/>
          <w:color w:val="auto"/>
        </w:rPr>
        <w:t>New Material Subsidiary Event</w:t>
      </w:r>
      <w:r>
        <w:rPr>
          <w:rFonts w:ascii="Arial" w:cs="Arial" w:eastAsia="Arial" w:hAnsi="Arial"/>
          <w:sz w:val="16"/>
          <w:szCs w:val="16"/>
          <w:color w:val="auto"/>
        </w:rPr>
        <w:t>”) (i) any entity (other than Rendezvous Gas or an Affiliate Non-Wholly Owned Subsidiary) becomes a Material Subsidiary, (ii) any Material Subsidiary (other than Rendezvous Gas or an Affiliate Non-Wholly Owned Subsidiary) is created or acquired or otherwise becomes owned directly or indirectly by the Parent Guarantor or (iii) Rendezvous Gas becomes, or any Affiliate Non-Wholly Owned Subsidiary becomes, a Wholly Owned Subsidiary. Promptly (and in any event within thirty (30) days (or such greater number of days as may be agreed by the Administrative Agent)) after such New Material Subsidiary Event, cause such Material Subsidiary (in the case of clause (i) or (ii)), or cause Rendezvous Gas or such Affiliate Non-Wholly Owned Subsidiary if it is a Material Subsidiary at such time (in the case of clause (iii)), to (i) become a Subsidiary Guarantor by delivering to the Administrative Agent a duly executed supplement to the Subsidiary Guaranty Agreement or such other document as the Administrative Agent shall reasonably deem appropriate for such purpose,</w:t>
      </w:r>
    </w:p>
    <w:p>
      <w:pPr>
        <w:spacing w:after="0" w:line="1" w:lineRule="exact"/>
        <w:rPr>
          <w:rFonts w:ascii="Arial" w:cs="Arial" w:eastAsia="Arial" w:hAnsi="Arial"/>
          <w:sz w:val="16"/>
          <w:szCs w:val="16"/>
          <w:color w:val="auto"/>
        </w:rPr>
      </w:pPr>
    </w:p>
    <w:p>
      <w:pPr>
        <w:ind w:left="-8" w:right="40" w:firstLine="8"/>
        <w:spacing w:after="0" w:line="268" w:lineRule="auto"/>
        <w:tabs>
          <w:tab w:leader="none" w:pos="25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grant a Lien on assets and property owned by such Subsidiary in accordance with </w:t>
      </w:r>
      <w:r>
        <w:rPr>
          <w:rFonts w:ascii="Arial" w:cs="Arial" w:eastAsia="Arial" w:hAnsi="Arial"/>
          <w:sz w:val="17"/>
          <w:szCs w:val="17"/>
          <w:u w:val="single" w:color="auto"/>
          <w:color w:val="auto"/>
        </w:rPr>
        <w:t>Section 6.11(a)</w:t>
      </w:r>
      <w:r>
        <w:rPr>
          <w:rFonts w:ascii="Arial" w:cs="Arial" w:eastAsia="Arial" w:hAnsi="Arial"/>
          <w:sz w:val="17"/>
          <w:szCs w:val="17"/>
          <w:color w:val="auto"/>
        </w:rPr>
        <w:t xml:space="preserve"> by delivering to the Administrative Agent a duly executed supplement to each Security Agreement or such other document as the Administrative Agent shall reasonably deem appropriate for such purpose and comply with the terms of each such Security Agreement, (iii) deliver to the Administrative Agent such documents, certificates and opinion of counsel, each of the type referred to in </w:t>
      </w:r>
      <w:r>
        <w:rPr>
          <w:rFonts w:ascii="Arial" w:cs="Arial" w:eastAsia="Arial" w:hAnsi="Arial"/>
          <w:sz w:val="17"/>
          <w:szCs w:val="17"/>
          <w:u w:val="single" w:color="auto"/>
          <w:color w:val="auto"/>
        </w:rPr>
        <w:t>Section 4.02(b)(i)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as may be reasonably requested by the Administrative Agent, (iv) to the extent not previously delivered, deliver to the Administrative Agent such original stock or other certificates and stock or other transfer powers evidencing the Equity Interests issued by such Material Subsidiary and evidencing Equity Interests owned by such Material Subsidiary, (v) deliver to the Administrative Agent such updated Schedules to the Loan Documents as reasonably requested by the Administrative Agent with respect to such Material Subsidiary, and (vi) deliver to the Administrative Agent such other documents as may be reasonably requested by the Administrative Agent in connection with the foregoing, in form, content and scope reasonably satisfactory to the Administrative Agent.</w:t>
      </w:r>
    </w:p>
    <w:p>
      <w:pPr>
        <w:spacing w:after="0" w:line="4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52"/>
          </w:cols>
          <w:pgMar w:left="248" w:top="881" w:right="299" w:bottom="1440" w:gutter="0" w:footer="0" w:header="0"/>
        </w:sectPr>
      </w:pPr>
    </w:p>
    <w:bookmarkStart w:id="143" w:name="page144"/>
    <w:bookmarkEnd w:id="143"/>
    <w:p>
      <w:pPr>
        <w:ind w:right="60" w:firstLine="440"/>
        <w:spacing w:after="0" w:line="288" w:lineRule="auto"/>
        <w:tabs>
          <w:tab w:leader="none" w:pos="67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Material Real Property</w:t>
      </w:r>
      <w:r>
        <w:rPr>
          <w:rFonts w:ascii="Arial" w:cs="Arial" w:eastAsia="Arial" w:hAnsi="Arial"/>
          <w:sz w:val="16"/>
          <w:szCs w:val="16"/>
          <w:color w:val="auto"/>
        </w:rPr>
        <w:t xml:space="preserve">. To the extent that any Material Real Property is acquired (which may be by completion of construction), in any transaction or series of related transactions, by a Loan Party or a Material Subsidiary during any fiscal quarter of the Parent Guarantor, within thirty (30) days (or such longer period of time agreed by the Administrative Agent) after a Compliance Certificate is required to be delivered for such quarter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w:t>
      </w:r>
    </w:p>
    <w:p>
      <w:pPr>
        <w:spacing w:after="0"/>
        <w:rPr>
          <w:rFonts w:ascii="Arial" w:cs="Arial" w:eastAsia="Arial" w:hAnsi="Arial"/>
          <w:sz w:val="16"/>
          <w:szCs w:val="16"/>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xml:space="preserve">, deliver (i) a mortgage or deed of trust, (ii) any existing environmental reports, (iii) insurance certificates or certificates of the type referred to in </w:t>
      </w:r>
      <w:r>
        <w:rPr>
          <w:rFonts w:ascii="Arial" w:cs="Arial" w:eastAsia="Arial" w:hAnsi="Arial"/>
          <w:sz w:val="16"/>
          <w:szCs w:val="16"/>
          <w:u w:val="single" w:color="auto"/>
          <w:color w:val="auto"/>
        </w:rPr>
        <w:t>Section</w:t>
      </w:r>
    </w:p>
    <w:p>
      <w:pPr>
        <w:spacing w:after="0" w:line="32"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u w:val="single" w:color="auto"/>
          <w:color w:val="auto"/>
        </w:rPr>
        <w:t>4.02(b)(i)</w:t>
      </w:r>
      <w:r>
        <w:rPr>
          <w:rFonts w:ascii="Arial" w:cs="Arial" w:eastAsia="Arial" w:hAnsi="Arial"/>
          <w:sz w:val="17"/>
          <w:szCs w:val="17"/>
          <w:color w:val="auto"/>
        </w:rPr>
        <w:t xml:space="preserve"> to the extent requested by the Administrative Agent, and (iv) other documents reasonably requested by the Administrative Agent in connection with granting and perfecting a First Priority Lien on such Material Real Property in favor of the Administrative Agent, for the ratable benefit of the Secured Parties, in each case in form and substance reasonably acceptable to the Administrative Agent. As used herein, “</w:t>
      </w:r>
      <w:r>
        <w:rPr>
          <w:rFonts w:ascii="Arial" w:cs="Arial" w:eastAsia="Arial" w:hAnsi="Arial"/>
          <w:sz w:val="17"/>
          <w:szCs w:val="17"/>
          <w:u w:val="single" w:color="auto"/>
          <w:color w:val="auto"/>
        </w:rPr>
        <w:t>Material Real Property</w:t>
      </w:r>
      <w:r>
        <w:rPr>
          <w:rFonts w:ascii="Arial" w:cs="Arial" w:eastAsia="Arial" w:hAnsi="Arial"/>
          <w:sz w:val="17"/>
          <w:szCs w:val="17"/>
          <w:color w:val="auto"/>
        </w:rPr>
        <w:t>” means any processing plant, terminal, and any other Real Property (other than Pipeline Real Property) owned in fee by any Loan Party or a Restricted Subsidiary, or group of related tracts of Real Property (other than Pipeline Real Property), acquired (whether acquired in a single transaction or in a series of transactions) or owned by a Loan Party or any Restricted Subsidiary having a fair market value (including the fair market value of improvements owned by any Loan Party or Restricted Subsidiary and located thereon) on such date of determination equal to $25.0 million or more.</w:t>
      </w:r>
    </w:p>
    <w:p>
      <w:pPr>
        <w:spacing w:after="0" w:line="123" w:lineRule="exact"/>
        <w:rPr>
          <w:sz w:val="20"/>
          <w:szCs w:val="20"/>
          <w:color w:val="auto"/>
        </w:rPr>
      </w:pPr>
    </w:p>
    <w:p>
      <w:pPr>
        <w:ind w:right="120" w:firstLine="432"/>
        <w:spacing w:after="0" w:line="303"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color w:val="auto"/>
        </w:rPr>
        <w:t>Further Assurances.</w:t>
      </w:r>
      <w:r>
        <w:rPr>
          <w:rFonts w:ascii="Arial" w:cs="Arial" w:eastAsia="Arial" w:hAnsi="Arial"/>
          <w:sz w:val="16"/>
          <w:szCs w:val="16"/>
          <w:color w:val="auto"/>
        </w:rPr>
        <w:t xml:space="preserve"> Execute any and all further documents, agreements and instruments, deliver any financing statements and take such further action (including filing financing statements) that may be required under applicable law, or that the Administrative Agent or the Required Lenders (acting through the Administrative Agent) may reasonably request, for the purposes of implementing or effectuating the provisions of this Agreement and the other Loan Documents, and in order to grant, preserve, protect and perfect the security interests required to be created pursuant to the terms of this Agreement.</w:t>
      </w:r>
    </w:p>
    <w:p>
      <w:pPr>
        <w:spacing w:after="0" w:line="97"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b w:val="1"/>
          <w:bCs w:val="1"/>
          <w:color w:val="auto"/>
        </w:rPr>
        <w:t>Keepwell Requirements.</w:t>
      </w:r>
      <w:r>
        <w:rPr>
          <w:rFonts w:ascii="Arial" w:cs="Arial" w:eastAsia="Arial" w:hAnsi="Arial"/>
          <w:sz w:val="17"/>
          <w:szCs w:val="17"/>
          <w:color w:val="auto"/>
        </w:rPr>
        <w:t xml:space="preserve"> Each Qualified ECP Guarantor hereby jointly and severally absolutely, unconditionally and irrevocably undertakes to provide such funds or other support as may be needed from time to time by each other Loan Party to honor all of its obligations under this Agreement or any other Loan Document in respect of Swap Obligations (provided, however, that each Qualified ECP Guarantor shall only be liable under this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or otherwise under this Agreement or any other Loan Document, voidable under applicable law relating to fraudulent conveyance or fraudulent transfer, and not for any greater amount). The obligations of each Qualified ECP Guarantor under this Section shall remain in full force and effect until the full and final payment of the Obligations (other than contingent Obligations for which no claim has been made), termination of the Commitments of all Lenders and L/C Issuers, and termination of all Letters of Credit (or Cash Collateralization thereof as acceptable to the applicable L/C Issuer). Each Qualified ECP Guarantor intends that this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shall be deemed to constitute, a “keepwell, support, or other agreement” for the benefit of each other Loan Party for all purposes of Section 1a(18)(A)(v)(II) of the Commodity Exchange Act.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Each Loan Party covenants and agrees that until the full and final payment of the Obligations (other than contingent Obligations for which no claim has been made), termination of the Commitments of all Lenders and L/C Issuers, and termination of all Letters of Credit (or Cash Collateralization thereof as acceptable to the applicable L/C Issuer):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882" w:right="259" w:bottom="1440" w:gutter="0" w:footer="0" w:header="0"/>
        </w:sectPr>
      </w:pPr>
    </w:p>
    <w:bookmarkStart w:id="144" w:name="page145"/>
    <w:bookmarkEnd w:id="144"/>
    <w:p>
      <w:pPr>
        <w:ind w:left="440"/>
        <w:spacing w:after="0"/>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Each Loan Party agrees that it will not, and will not permit any of its Restricted Subsidiaries to, in any manner owe or be liable for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76" w:lineRule="exact"/>
        <w:rPr>
          <w:sz w:val="20"/>
          <w:szCs w:val="20"/>
          <w:color w:val="auto"/>
        </w:rPr>
      </w:pPr>
    </w:p>
    <w:p>
      <w:pPr>
        <w:ind w:left="680" w:hanging="240"/>
        <w:spacing w:after="0"/>
        <w:tabs>
          <w:tab w:leader="none" w:pos="6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Indebtedness created hereunder and under the other Loan Documents;</w:t>
      </w:r>
    </w:p>
    <w:p>
      <w:pPr>
        <w:spacing w:after="0" w:line="90" w:lineRule="exact"/>
        <w:rPr>
          <w:rFonts w:ascii="Arial" w:cs="Arial" w:eastAsia="Arial" w:hAnsi="Arial"/>
          <w:sz w:val="18"/>
          <w:szCs w:val="18"/>
          <w:color w:val="auto"/>
        </w:rPr>
      </w:pPr>
    </w:p>
    <w:p>
      <w:pPr>
        <w:ind w:right="200" w:firstLine="440"/>
        <w:spacing w:after="0" w:line="273" w:lineRule="auto"/>
        <w:tabs>
          <w:tab w:leader="none" w:pos="68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Indebtedness (including capital lease obligations) of any one or more of the Loan Parties or Restricted Subsidiaries incurred to finance the acquisition, construction or improvement of any fixed or capital assets, and Permitted Refinancing Indebtedness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incurred prior to or within 180 days after such acquisition or the completion of such construction or improvement and (ii) the aggregate outstanding principal amount of Indebtedness permitted by this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when added to the aggregate outstanding principal amount of Indebtedness permitted by </w:t>
      </w:r>
      <w:r>
        <w:rPr>
          <w:rFonts w:ascii="Arial" w:cs="Arial" w:eastAsia="Arial" w:hAnsi="Arial"/>
          <w:sz w:val="17"/>
          <w:szCs w:val="17"/>
          <w:u w:val="single" w:color="auto"/>
          <w:color w:val="auto"/>
        </w:rPr>
        <w:t>Section 7.01(c)</w:t>
      </w:r>
      <w:r>
        <w:rPr>
          <w:rFonts w:ascii="Arial" w:cs="Arial" w:eastAsia="Arial" w:hAnsi="Arial"/>
          <w:sz w:val="17"/>
          <w:szCs w:val="17"/>
          <w:color w:val="auto"/>
        </w:rPr>
        <w:t xml:space="preserve"> and the Remaining Present Value of all existing leases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shall not at any time exceed the greater of $70,000,000 and an amount equal to 10% of Consolidated Net Tangible Assets of the Parent Guarantor;</w:t>
      </w:r>
    </w:p>
    <w:p>
      <w:pPr>
        <w:spacing w:after="0" w:line="43" w:lineRule="exact"/>
        <w:rPr>
          <w:rFonts w:ascii="Arial" w:cs="Arial" w:eastAsia="Arial" w:hAnsi="Arial"/>
          <w:sz w:val="17"/>
          <w:szCs w:val="17"/>
          <w:color w:val="auto"/>
        </w:rPr>
      </w:pPr>
    </w:p>
    <w:p>
      <w:pPr>
        <w:ind w:right="140" w:firstLine="440"/>
        <w:spacing w:after="0" w:line="293" w:lineRule="auto"/>
        <w:tabs>
          <w:tab w:leader="none" w:pos="67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Indebtedness of any one or more of the Loan Parties or Restricted Subsidiaries assumed in connection with any Acquisition after the Closing Date and Indebtedness of a Person that becomes a Restricted Subsidiary after the Closing Date pursuant to an Acquisition and any Permitted Refinancing Indebtedness in respect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exists prior to such Acquisition and is not created in contemplation thereof,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aggregate principal amount of Indebtedness permitted by this clause (c), when added to the aggregate principal amount of Indebtedness permitted by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and the Remaining Present Value of all existing leases 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not at any time exceed the greater of $70,000,000 and an amount equal to 10% of Consolidated Net Tangible Assets of the Parent Guarantor;</w:t>
      </w:r>
    </w:p>
    <w:p>
      <w:pPr>
        <w:spacing w:after="0" w:line="29" w:lineRule="exact"/>
        <w:rPr>
          <w:rFonts w:ascii="Arial" w:cs="Arial" w:eastAsia="Arial" w:hAnsi="Arial"/>
          <w:sz w:val="16"/>
          <w:szCs w:val="16"/>
          <w:color w:val="auto"/>
        </w:rPr>
      </w:pPr>
    </w:p>
    <w:p>
      <w:pPr>
        <w:ind w:right="260" w:firstLine="440"/>
        <w:spacing w:after="0" w:line="259" w:lineRule="auto"/>
        <w:tabs>
          <w:tab w:leader="none" w:pos="68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the Guarantee by any one or more of the Loan Parties or Restricted Subsidiaries of Indebtedness of any one or more of the other Loan Parties or Restricted Subsidiaries if such Indebtedness of such other Loan Parties or Restricted Subsidiaries was permitted to be incurred by another provision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Indebtedness being guaranteed is subordinated to the Obligations, then the guarantee shall be subordinated to the same extent as the Indebtedness guaranteed;</w:t>
      </w:r>
    </w:p>
    <w:p>
      <w:pPr>
        <w:spacing w:after="0" w:line="51" w:lineRule="exact"/>
        <w:rPr>
          <w:rFonts w:ascii="Arial" w:cs="Arial" w:eastAsia="Arial" w:hAnsi="Arial"/>
          <w:sz w:val="18"/>
          <w:szCs w:val="18"/>
          <w:color w:val="auto"/>
        </w:rPr>
      </w:pPr>
    </w:p>
    <w:p>
      <w:pPr>
        <w:ind w:left="680" w:hanging="240"/>
        <w:spacing w:after="0"/>
        <w:tabs>
          <w:tab w:leader="none" w:pos="6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unsecured Indebtedness of one or both of the Parent Guarantor and a Finance Subsidiary and unsecured Indebtedness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jc w:val="both"/>
        <w:ind w:right="20" w:firstLine="8"/>
        <w:spacing w:after="0" w:line="281" w:lineRule="auto"/>
        <w:tabs>
          <w:tab w:leader="none" w:pos="2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immediately prior to and after giving effect to the issuance of such Indebtedness, no Default exists, (B) such Indebtedness does not mature or require any scheduled repayment, defeasance or redemption (or sinking fund therefor) of any principal amount thereof sooner than six (6) months after the Maturity Date,</w:t>
      </w:r>
    </w:p>
    <w:p>
      <w:pPr>
        <w:spacing w:after="0" w:line="1" w:lineRule="exact"/>
        <w:rPr>
          <w:rFonts w:ascii="Arial" w:cs="Arial" w:eastAsia="Arial" w:hAnsi="Arial"/>
          <w:sz w:val="16"/>
          <w:szCs w:val="16"/>
          <w:color w:val="auto"/>
        </w:rPr>
      </w:pPr>
    </w:p>
    <w:p>
      <w:pPr>
        <w:jc w:val="both"/>
        <w:ind w:right="200" w:firstLine="8"/>
        <w:spacing w:after="0" w:line="281" w:lineRule="auto"/>
        <w:tabs>
          <w:tab w:leader="none" w:pos="28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indenture or other agreement governing such Indebtedness does not contain (1) financial maintenance covenants that are more restrictive than as set forth in this Agreement, or (2) any other covenants or events of default that, taken as a whole, are more restrictive than those set forth in this Agreement, or</w:t>
      </w:r>
    </w:p>
    <w:p>
      <w:pPr>
        <w:spacing w:after="0" w:line="1" w:lineRule="exact"/>
        <w:rPr>
          <w:rFonts w:ascii="Arial" w:cs="Arial" w:eastAsia="Arial" w:hAnsi="Arial"/>
          <w:sz w:val="16"/>
          <w:szCs w:val="16"/>
          <w:color w:val="auto"/>
        </w:rPr>
      </w:pPr>
    </w:p>
    <w:p>
      <w:pPr>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(3) any mandatory prepayment or redemption provisions or other prepayments required as a result of a “change of control” or similar event or as a result of an asset sale, (D) such Indebtedness is not guaranteed by any Subsidiary, other than a Subsidiary Guarantor, (E) immediately before and after giving incurring such Indebtedness, the Parent Guarantor demonstrates Pro Forma Compliance with the Financial Covenants, and (F) at the time of incurrence of such Indebtedness, a Responsible Officer certifies to the Administrative Agent as to compliance with this </w:t>
      </w:r>
      <w:r>
        <w:rPr>
          <w:rFonts w:ascii="Arial" w:cs="Arial" w:eastAsia="Arial" w:hAnsi="Arial"/>
          <w:sz w:val="17"/>
          <w:szCs w:val="17"/>
          <w:u w:val="single" w:color="auto"/>
          <w:color w:val="auto"/>
        </w:rPr>
        <w:t>Section 7.01(e)</w:t>
      </w:r>
      <w:r>
        <w:rPr>
          <w:rFonts w:ascii="Arial" w:cs="Arial" w:eastAsia="Arial" w:hAnsi="Arial"/>
          <w:sz w:val="17"/>
          <w:szCs w:val="17"/>
          <w:color w:val="auto"/>
        </w:rPr>
        <w:t>;</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958" w:right="259" w:bottom="1440" w:gutter="0" w:footer="0" w:header="0"/>
        </w:sectPr>
      </w:pPr>
    </w:p>
    <w:bookmarkStart w:id="145" w:name="page146"/>
    <w:bookmarkEnd w:id="145"/>
    <w:p>
      <w:pPr>
        <w:ind w:right="360" w:firstLine="440"/>
        <w:spacing w:after="0" w:line="264" w:lineRule="auto"/>
        <w:tabs>
          <w:tab w:leader="none" w:pos="65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Indebtedness owed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Indebtedness shall be unsecured, (ii) any promissory note evidencing such Indebtedness shall be delivered to the Administrative Agent pursuant to the Security Agreements, and (iii) such Indebtedness shall be subordinated to the Obligations pursuant to subordination terms reasonably satisfactory to the Administrative Agent;</w:t>
      </w:r>
    </w:p>
    <w:p>
      <w:pPr>
        <w:spacing w:after="0" w:line="46" w:lineRule="exact"/>
        <w:rPr>
          <w:rFonts w:ascii="Arial" w:cs="Arial" w:eastAsia="Arial" w:hAnsi="Arial"/>
          <w:sz w:val="18"/>
          <w:szCs w:val="18"/>
          <w:color w:val="auto"/>
        </w:rPr>
      </w:pPr>
    </w:p>
    <w:p>
      <w:pPr>
        <w:ind w:left="700" w:hanging="260"/>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Indebtedness under Swap Contracts permitted under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20" w:firstLine="440"/>
        <w:spacing w:after="0" w:line="277" w:lineRule="auto"/>
        <w:tabs>
          <w:tab w:leader="none" w:pos="68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consisting of unpaid insurance premiums owing to insurance companies and insurance brokers incurred in connection with the financing of insurance premiums in the ordinary course of business;</w:t>
      </w:r>
    </w:p>
    <w:p>
      <w:pPr>
        <w:spacing w:after="0" w:line="35" w:lineRule="exact"/>
        <w:rPr>
          <w:rFonts w:ascii="Arial" w:cs="Arial" w:eastAsia="Arial" w:hAnsi="Arial"/>
          <w:sz w:val="18"/>
          <w:szCs w:val="18"/>
          <w:color w:val="auto"/>
        </w:rPr>
      </w:pPr>
    </w:p>
    <w:p>
      <w:pPr>
        <w:ind w:firstLine="440"/>
        <w:spacing w:after="0" w:line="259" w:lineRule="auto"/>
        <w:tabs>
          <w:tab w:leader="none" w:pos="6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in respect of performance bonds, warranty bonds, bid bonds, appeal bonds, surety bonds, labor bonds and completion or performance guarantees and similar obligations, in each case provided in the ordinary course of business, including those incurred to secure health, safety and environmental obligations in the ordinary course of business and Indebtedness arising out of advances on trade receivables, customer prepayments and similar transactions in the ordinary course of business; and</w:t>
      </w:r>
    </w:p>
    <w:p>
      <w:pPr>
        <w:spacing w:after="0" w:line="51" w:lineRule="exact"/>
        <w:rPr>
          <w:rFonts w:ascii="Arial" w:cs="Arial" w:eastAsia="Arial" w:hAnsi="Arial"/>
          <w:sz w:val="18"/>
          <w:szCs w:val="18"/>
          <w:color w:val="auto"/>
        </w:rPr>
      </w:pPr>
    </w:p>
    <w:p>
      <w:pPr>
        <w:ind w:right="220" w:firstLine="440"/>
        <w:spacing w:after="0" w:line="257" w:lineRule="auto"/>
        <w:tabs>
          <w:tab w:leader="none" w:pos="6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other Indebtedness of any one or more of the Loan Parties and Restricted Subsidiaries not described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balance of Indebtedness permitted for all Loan Parties and Restricted Subsidiaries under this </w:t>
      </w:r>
      <w:r>
        <w:rPr>
          <w:rFonts w:ascii="Arial" w:cs="Arial" w:eastAsia="Arial" w:hAnsi="Arial"/>
          <w:sz w:val="18"/>
          <w:szCs w:val="18"/>
          <w:u w:val="single" w:color="auto"/>
          <w:color w:val="auto"/>
        </w:rPr>
        <w:t>subsection (j)</w:t>
      </w:r>
      <w:r>
        <w:rPr>
          <w:rFonts w:ascii="Arial" w:cs="Arial" w:eastAsia="Arial" w:hAnsi="Arial"/>
          <w:sz w:val="18"/>
          <w:szCs w:val="18"/>
          <w:color w:val="auto"/>
        </w:rPr>
        <w:t xml:space="preserve">, when added to the aggregate outstanding principal balance of all outstanding Indebtedness of all Loan Parties and Restricted Subsidiaries secured by Liens permitted by </w:t>
      </w:r>
      <w:r>
        <w:rPr>
          <w:rFonts w:ascii="Arial" w:cs="Arial" w:eastAsia="Arial" w:hAnsi="Arial"/>
          <w:sz w:val="18"/>
          <w:szCs w:val="18"/>
          <w:u w:val="single" w:color="auto"/>
          <w:color w:val="auto"/>
        </w:rPr>
        <w:t>clause (o)</w:t>
      </w:r>
      <w:r>
        <w:rPr>
          <w:rFonts w:ascii="Arial" w:cs="Arial" w:eastAsia="Arial" w:hAnsi="Arial"/>
          <w:sz w:val="18"/>
          <w:szCs w:val="18"/>
          <w:color w:val="auto"/>
        </w:rPr>
        <w:t xml:space="preserve"> of the definition of “</w:t>
      </w:r>
      <w:r>
        <w:rPr>
          <w:rFonts w:ascii="Arial" w:cs="Arial" w:eastAsia="Arial" w:hAnsi="Arial"/>
          <w:sz w:val="18"/>
          <w:szCs w:val="18"/>
          <w:u w:val="single" w:color="auto"/>
          <w:color w:val="auto"/>
        </w:rPr>
        <w:t>Permitted Liens</w:t>
      </w:r>
      <w:r>
        <w:rPr>
          <w:rFonts w:ascii="Arial" w:cs="Arial" w:eastAsia="Arial" w:hAnsi="Arial"/>
          <w:sz w:val="18"/>
          <w:szCs w:val="18"/>
          <w:color w:val="auto"/>
        </w:rPr>
        <w:t>” (without duplication), shall not at any time exceed an amount equal to the greater of $20,000,000 and 3% of Consolidated Net Tangible Assets of the Parent Guarantor.</w:t>
      </w:r>
    </w:p>
    <w:p>
      <w:pPr>
        <w:spacing w:after="0" w:line="130" w:lineRule="exact"/>
        <w:rPr>
          <w:sz w:val="20"/>
          <w:szCs w:val="20"/>
          <w:color w:val="auto"/>
        </w:rPr>
      </w:pPr>
    </w:p>
    <w:p>
      <w:pPr>
        <w:ind w:right="80" w:firstLine="432"/>
        <w:spacing w:after="0" w:line="277" w:lineRule="auto"/>
        <w:rPr>
          <w:sz w:val="20"/>
          <w:szCs w:val="20"/>
          <w:color w:val="auto"/>
        </w:rPr>
      </w:pPr>
      <w:r>
        <w:rPr>
          <w:rFonts w:ascii="Arial" w:cs="Arial" w:eastAsia="Arial" w:hAnsi="Arial"/>
          <w:sz w:val="17"/>
          <w:szCs w:val="17"/>
          <w:color w:val="auto"/>
        </w:rPr>
        <w:t xml:space="preserve">7.02 </w:t>
      </w:r>
      <w:r>
        <w:rPr>
          <w:rFonts w:ascii="Arial" w:cs="Arial" w:eastAsia="Arial" w:hAnsi="Arial"/>
          <w:sz w:val="17"/>
          <w:szCs w:val="17"/>
          <w:b w:val="1"/>
          <w:bCs w:val="1"/>
          <w:color w:val="auto"/>
        </w:rPr>
        <w:t>Limitation on Liens.</w:t>
      </w:r>
      <w:r>
        <w:rPr>
          <w:rFonts w:ascii="Arial" w:cs="Arial" w:eastAsia="Arial" w:hAnsi="Arial"/>
          <w:sz w:val="17"/>
          <w:szCs w:val="17"/>
          <w:color w:val="auto"/>
        </w:rPr>
        <w:t xml:space="preserve"> Each Loan Party agrees that it will not, and will not permit any of its Restricted Subsidiaries to (a) create, assume or permit to exist any Lien upon any of the properties or assets which a Loan Party or such Restricted Subsidiary now owns or hereafter acquires other than Permitted Liens (subject to </w:t>
      </w:r>
      <w:r>
        <w:rPr>
          <w:rFonts w:ascii="Arial" w:cs="Arial" w:eastAsia="Arial" w:hAnsi="Arial"/>
          <w:sz w:val="17"/>
          <w:szCs w:val="17"/>
          <w:u w:val="single" w:color="auto"/>
          <w:color w:val="auto"/>
        </w:rPr>
        <w:t>Section 7.15</w:t>
      </w:r>
      <w:r>
        <w:rPr>
          <w:rFonts w:ascii="Arial" w:cs="Arial" w:eastAsia="Arial" w:hAnsi="Arial"/>
          <w:sz w:val="17"/>
          <w:szCs w:val="17"/>
          <w:color w:val="auto"/>
        </w:rPr>
        <w:t xml:space="preserve"> in the case of Pipeline Real Property); or (b) allow the filing or continued existence of any financing statement describing as collateral any of its or their respective assets or property, other than financing statements which describe only collateral subject to a Lien permitted under this Section and which name as secured party or lessor only the holder of such Lien.</w:t>
      </w:r>
    </w:p>
    <w:p>
      <w:pPr>
        <w:spacing w:after="0" w:line="114" w:lineRule="exact"/>
        <w:rPr>
          <w:sz w:val="20"/>
          <w:szCs w:val="20"/>
          <w:color w:val="auto"/>
        </w:rPr>
      </w:pPr>
    </w:p>
    <w:p>
      <w:pPr>
        <w:ind w:right="100" w:firstLine="432"/>
        <w:spacing w:after="0" w:line="292"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b w:val="1"/>
          <w:bCs w:val="1"/>
          <w:color w:val="auto"/>
        </w:rPr>
        <w:t>Sale Lease-back Transactions.</w:t>
      </w:r>
      <w:r>
        <w:rPr>
          <w:rFonts w:ascii="Arial" w:cs="Arial" w:eastAsia="Arial" w:hAnsi="Arial"/>
          <w:sz w:val="16"/>
          <w:szCs w:val="16"/>
          <w:color w:val="auto"/>
        </w:rPr>
        <w:t xml:space="preserve"> Each Loan Party agrees that it shall not, and shall not permit any of its Restricted Subsidiaries to, enter into any arrangement pursuant to which it shall sell or transfer any property, real or personal, used or useful in its business, whether now owned or hereafter acquired, and thereafter rent or lease such property or other property that it intends to use for substantially the same purpose or purposes as the property being sold or transferred, unless (a) such transaction is entered into by a Loan Party or a Restricted Subsidiary and (b) after giving effect to such sale or transfer and the execution and delivery of such lease, the Remaining Present Value of such lease and all other existing leases previously entered into as permitted by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together with the outstanding principal amount of Indebtedness permitted pursuant to </w:t>
      </w:r>
      <w:r>
        <w:rPr>
          <w:rFonts w:ascii="Arial" w:cs="Arial" w:eastAsia="Arial" w:hAnsi="Arial"/>
          <w:sz w:val="16"/>
          <w:szCs w:val="16"/>
          <w:u w:val="single" w:color="auto"/>
          <w:color w:val="auto"/>
        </w:rPr>
        <w:t>Sections 7.01(b)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7.01(c)</w:t>
      </w:r>
      <w:r>
        <w:rPr>
          <w:rFonts w:ascii="Arial" w:cs="Arial" w:eastAsia="Arial" w:hAnsi="Arial"/>
          <w:sz w:val="16"/>
          <w:szCs w:val="16"/>
          <w:color w:val="auto"/>
        </w:rPr>
        <w:t>, shall not exceed the greater of $70,000,000 and an amount equal to 10% of Consolidated Net Tangible Assets of the Parent Guarantor.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881" w:right="259" w:bottom="1440" w:gutter="0" w:footer="0" w:header="0"/>
        </w:sectPr>
      </w:pPr>
    </w:p>
    <w:bookmarkStart w:id="146" w:name="page147"/>
    <w:bookmarkEnd w:id="146"/>
    <w:p>
      <w:pPr>
        <w:ind w:right="20" w:firstLine="432"/>
        <w:spacing w:after="0" w:line="347"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b w:val="1"/>
          <w:bCs w:val="1"/>
          <w:color w:val="auto"/>
        </w:rPr>
        <w:t>Line of Businesses.</w:t>
      </w:r>
      <w:r>
        <w:rPr>
          <w:rFonts w:ascii="Arial" w:cs="Arial" w:eastAsia="Arial" w:hAnsi="Arial"/>
          <w:sz w:val="16"/>
          <w:szCs w:val="16"/>
          <w:color w:val="auto"/>
        </w:rPr>
        <w:t xml:space="preserve"> Each Loan Party agrees that it will not, and will not permit any Restricted Subsidiaries to, engage directly or indirectly in any material line of business other than the midstream oil and gas business, and any business substantially related or incidental thereto, in the United States.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b w:val="1"/>
          <w:bCs w:val="1"/>
          <w:color w:val="auto"/>
        </w:rPr>
        <w:t>Investments.</w:t>
      </w:r>
    </w:p>
    <w:p>
      <w:pPr>
        <w:spacing w:after="0" w:line="94" w:lineRule="exact"/>
        <w:rPr>
          <w:sz w:val="20"/>
          <w:szCs w:val="20"/>
          <w:color w:val="auto"/>
        </w:rPr>
      </w:pPr>
    </w:p>
    <w:p>
      <w:pPr>
        <w:ind w:left="680" w:hanging="240"/>
        <w:spacing w:after="0"/>
        <w:tabs>
          <w:tab w:leader="none" w:pos="6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Loan Party agrees that it will not, and will not permit any of its Restricted Subsidiaries to, make, purchase, acquire or hold any Investments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except:</w:t>
      </w:r>
    </w:p>
    <w:p>
      <w:pPr>
        <w:spacing w:after="0" w:line="75" w:lineRule="exact"/>
        <w:rPr>
          <w:rFonts w:ascii="Arial" w:cs="Arial" w:eastAsia="Arial" w:hAnsi="Arial"/>
          <w:sz w:val="16"/>
          <w:szCs w:val="16"/>
          <w:color w:val="auto"/>
        </w:rPr>
      </w:pPr>
    </w:p>
    <w:p>
      <w:pPr>
        <w:ind w:firstLine="886"/>
        <w:spacing w:after="0" w:line="277" w:lineRule="auto"/>
        <w:tabs>
          <w:tab w:leader="none" w:pos="109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Investments existing on the Closing Date in Restricted Subsidiaries, Unrestricted Subsidiaries and in Joint Ventures, in each case, as described in </w:t>
      </w:r>
      <w:r>
        <w:rPr>
          <w:rFonts w:ascii="Arial" w:cs="Arial" w:eastAsia="Arial" w:hAnsi="Arial"/>
          <w:sz w:val="18"/>
          <w:szCs w:val="18"/>
          <w:u w:val="single" w:color="auto"/>
          <w:color w:val="auto"/>
        </w:rPr>
        <w:t>Schedule 7.05</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Investments made after the Closing Date in Equity Interests in Wholly Owned Restricted Subsidiaries and in Rendezvous Gas;</w:t>
      </w:r>
    </w:p>
    <w:p>
      <w:pPr>
        <w:spacing w:after="0" w:line="90" w:lineRule="exact"/>
        <w:rPr>
          <w:rFonts w:ascii="Arial" w:cs="Arial" w:eastAsia="Arial" w:hAnsi="Arial"/>
          <w:sz w:val="18"/>
          <w:szCs w:val="18"/>
          <w:color w:val="auto"/>
        </w:rPr>
      </w:pPr>
    </w:p>
    <w:p>
      <w:pPr>
        <w:ind w:left="1200" w:hanging="314"/>
        <w:spacing w:after="0"/>
        <w:tabs>
          <w:tab w:leader="none" w:pos="12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90" w:lineRule="exact"/>
        <w:rPr>
          <w:rFonts w:ascii="Arial" w:cs="Arial" w:eastAsia="Arial" w:hAnsi="Arial"/>
          <w:sz w:val="18"/>
          <w:szCs w:val="18"/>
          <w:color w:val="auto"/>
        </w:rPr>
      </w:pPr>
    </w:p>
    <w:p>
      <w:pPr>
        <w:ind w:left="1200" w:hanging="314"/>
        <w:spacing w:after="0"/>
        <w:tabs>
          <w:tab w:leader="none" w:pos="12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Investments constituting loans or advances permitted by </w:t>
      </w:r>
      <w:r>
        <w:rPr>
          <w:rFonts w:ascii="Arial" w:cs="Arial" w:eastAsia="Arial" w:hAnsi="Arial"/>
          <w:sz w:val="18"/>
          <w:szCs w:val="18"/>
          <w:u w:val="single" w:color="auto"/>
          <w:color w:val="auto"/>
        </w:rPr>
        <w:t>Section 7.01(f);</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Guarantees constituting Indebtedness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200" w:hanging="314"/>
        <w:spacing w:after="0"/>
        <w:tabs>
          <w:tab w:leader="none" w:pos="12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Investments in Swap Contracts permitted by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240" w:hanging="354"/>
        <w:spacing w:after="0"/>
        <w:tabs>
          <w:tab w:leader="none" w:pos="1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Permitted Acquisitions and (B) Permitted Affiliate Acquisitions;</w:t>
      </w:r>
    </w:p>
    <w:p>
      <w:pPr>
        <w:spacing w:after="0" w:line="90" w:lineRule="exact"/>
        <w:rPr>
          <w:rFonts w:ascii="Arial" w:cs="Arial" w:eastAsia="Arial" w:hAnsi="Arial"/>
          <w:sz w:val="18"/>
          <w:szCs w:val="18"/>
          <w:color w:val="auto"/>
        </w:rPr>
      </w:pPr>
    </w:p>
    <w:p>
      <w:pPr>
        <w:ind w:right="20" w:firstLine="886"/>
        <w:spacing w:after="0" w:line="279" w:lineRule="auto"/>
        <w:tabs>
          <w:tab w:leader="none" w:pos="128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Investments consisting of (A) extensions of credit in the nature of accounts receivable or notes receivable arising from the granting of trade credit in the ordinary course of business, (B) Investments received in satisfaction or partial satisfaction thereof from financially troubled account debtors in order to prevent or limit loss, and (C) Investments received in connection with the bankruptcy or reorganization of, or settlement of delinquent accounts and disputes with, customers and suppliers, in each case in the ordinary course of business;</w:t>
      </w:r>
    </w:p>
    <w:p>
      <w:pPr>
        <w:spacing w:after="0" w:line="36" w:lineRule="exact"/>
        <w:rPr>
          <w:rFonts w:ascii="Arial" w:cs="Arial" w:eastAsia="Arial" w:hAnsi="Arial"/>
          <w:sz w:val="17"/>
          <w:szCs w:val="17"/>
          <w:color w:val="auto"/>
        </w:rPr>
      </w:pPr>
    </w:p>
    <w:p>
      <w:pPr>
        <w:ind w:right="240" w:firstLine="886"/>
        <w:spacing w:after="0" w:line="259" w:lineRule="auto"/>
        <w:tabs>
          <w:tab w:leader="none" w:pos="118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Investments made after the Closing Date in (A) Unrestricted Subsidiaries, (B) Non-Wholly Owned Subsidiaries and (C) Joint Ventures,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all Investments permitted for all Loan Parties and Restricted Subsidiaries pursuant to this clause (a)(ix) shall not at any time exceed in the aggregate an amount equal to the greater of $50,000,000 and 7.5% of Consolidated Net Tangible Assets of the Parent Guarantor; and</w:t>
      </w:r>
    </w:p>
    <w:p>
      <w:pPr>
        <w:spacing w:after="0" w:line="51" w:lineRule="exact"/>
        <w:rPr>
          <w:rFonts w:ascii="Arial" w:cs="Arial" w:eastAsia="Arial" w:hAnsi="Arial"/>
          <w:sz w:val="18"/>
          <w:szCs w:val="18"/>
          <w:color w:val="auto"/>
        </w:rPr>
      </w:pPr>
    </w:p>
    <w:p>
      <w:pPr>
        <w:ind w:right="140" w:firstLine="886"/>
        <w:spacing w:after="0" w:line="264" w:lineRule="auto"/>
        <w:tabs>
          <w:tab w:leader="none" w:pos="113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other Investments not permitted by the foregoing clauses in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all Investments permitted for all Loan Parties and Restricted Subsidiaries pursuant to this clause (a)(x) shall not at any time exceed in the aggregate an amount equal to the greater of $30,000,000 and 4.0% of Consolidated Net Tangible Assets of the Parent Guarantor.</w:t>
      </w:r>
    </w:p>
    <w:p>
      <w:pPr>
        <w:spacing w:after="0" w:line="46" w:lineRule="exact"/>
        <w:rPr>
          <w:rFonts w:ascii="Arial" w:cs="Arial" w:eastAsia="Arial" w:hAnsi="Arial"/>
          <w:sz w:val="18"/>
          <w:szCs w:val="18"/>
          <w:color w:val="auto"/>
        </w:rPr>
      </w:pPr>
    </w:p>
    <w:p>
      <w:pPr>
        <w:ind w:left="700" w:hanging="260"/>
        <w:spacing w:after="0"/>
        <w:tabs>
          <w:tab w:leader="none" w:pos="7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Parent Guarantor shall not at any time directly own Equity Interests in any Person other than the Borrower and any Finance Subsidiaries.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958" w:right="319" w:bottom="1440" w:gutter="0" w:footer="0" w:header="0"/>
        </w:sectPr>
      </w:pPr>
    </w:p>
    <w:bookmarkStart w:id="147" w:name="page148"/>
    <w:bookmarkEnd w:id="147"/>
    <w:p>
      <w:pPr>
        <w:ind w:left="400"/>
        <w:spacing w:after="0"/>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b w:val="1"/>
          <w:bCs w:val="1"/>
          <w:color w:val="auto"/>
        </w:rPr>
        <w:t>Material Subsidiaries and Immaterial Subsidiaries; Unrestricted Subsidiaries.</w:t>
      </w:r>
    </w:p>
    <w:p>
      <w:pPr>
        <w:spacing w:after="0" w:line="94" w:lineRule="exact"/>
        <w:rPr>
          <w:sz w:val="20"/>
          <w:szCs w:val="20"/>
          <w:color w:val="auto"/>
        </w:rPr>
      </w:pPr>
    </w:p>
    <w:p>
      <w:pPr>
        <w:ind w:left="-40" w:right="480" w:firstLine="440"/>
        <w:spacing w:after="0" w:line="277" w:lineRule="auto"/>
        <w:tabs>
          <w:tab w:leader="none" w:pos="63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Restricted Subsidiaries</w:t>
      </w:r>
      <w:r>
        <w:rPr>
          <w:rFonts w:ascii="Arial" w:cs="Arial" w:eastAsia="Arial" w:hAnsi="Arial"/>
          <w:sz w:val="18"/>
          <w:szCs w:val="18"/>
          <w:color w:val="auto"/>
        </w:rPr>
        <w:t xml:space="preserve">. Each Subsidiary shall be a Restricted Subsidiary unless it is designated by the Borrower as an Unrestricted Subsidiary pursuant to, and meets the requirements set forth in, this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660" w:hanging="260"/>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Material Subsidiaries; Immaterial Subsidiaries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100" w:firstLine="886"/>
        <w:spacing w:after="0" w:line="264" w:lineRule="auto"/>
        <w:tabs>
          <w:tab w:leader="none" w:pos="10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Each Subsidiary shall be a Material Subsidiary unless it is designated by the Borrower pursuant to this </w:t>
      </w:r>
      <w:r>
        <w:rPr>
          <w:rFonts w:ascii="Arial" w:cs="Arial" w:eastAsia="Arial" w:hAnsi="Arial"/>
          <w:sz w:val="18"/>
          <w:szCs w:val="18"/>
          <w:u w:val="single" w:color="auto"/>
          <w:color w:val="auto"/>
        </w:rPr>
        <w:t>Section 7.06(b)</w:t>
      </w:r>
      <w:r>
        <w:rPr>
          <w:rFonts w:ascii="Arial" w:cs="Arial" w:eastAsia="Arial" w:hAnsi="Arial"/>
          <w:sz w:val="18"/>
          <w:szCs w:val="18"/>
          <w:color w:val="auto"/>
        </w:rPr>
        <w:t xml:space="preserve"> as an Immaterial Subsidiary. The Borrower may designate a Subsidiary as an Immaterial Subsidiary by written notice to the Administrative Agent, subject to compliance with the requirements set forth in the definition of “Immaterial Subsidiary”.</w:t>
      </w:r>
    </w:p>
    <w:p>
      <w:pPr>
        <w:spacing w:after="0" w:line="46" w:lineRule="exact"/>
        <w:rPr>
          <w:rFonts w:ascii="Arial" w:cs="Arial" w:eastAsia="Arial" w:hAnsi="Arial"/>
          <w:sz w:val="18"/>
          <w:szCs w:val="18"/>
          <w:color w:val="auto"/>
        </w:rPr>
      </w:pPr>
    </w:p>
    <w:p>
      <w:pPr>
        <w:ind w:left="-40" w:right="800" w:firstLine="886"/>
        <w:spacing w:after="0" w:line="334" w:lineRule="auto"/>
        <w:tabs>
          <w:tab w:leader="none" w:pos="110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If at any time any Subsidiary designated as an Immaterial Subsidiary fails to meet any of the requirements applicable to Immaterial Subsidiaries set forth in the definition thereof or set forth in this </w:t>
      </w:r>
      <w:r>
        <w:rPr>
          <w:rFonts w:ascii="Arial" w:cs="Arial" w:eastAsia="Arial" w:hAnsi="Arial"/>
          <w:sz w:val="16"/>
          <w:szCs w:val="16"/>
          <w:u w:val="single" w:color="auto"/>
          <w:color w:val="auto"/>
        </w:rPr>
        <w:t>Section 7.06(b)</w:t>
      </w:r>
      <w:r>
        <w:rPr>
          <w:rFonts w:ascii="Arial" w:cs="Arial" w:eastAsia="Arial" w:hAnsi="Arial"/>
          <w:sz w:val="16"/>
          <w:szCs w:val="16"/>
          <w:color w:val="auto"/>
        </w:rPr>
        <w:t>, it will thereafter cease to be an Immaterial Subsidiary.</w:t>
      </w:r>
    </w:p>
    <w:p>
      <w:pPr>
        <w:spacing w:after="0" w:line="1" w:lineRule="exact"/>
        <w:rPr>
          <w:rFonts w:ascii="Arial" w:cs="Arial" w:eastAsia="Arial" w:hAnsi="Arial"/>
          <w:sz w:val="16"/>
          <w:szCs w:val="16"/>
          <w:color w:val="auto"/>
        </w:rPr>
      </w:pPr>
    </w:p>
    <w:p>
      <w:pPr>
        <w:ind w:left="-40" w:firstLine="886"/>
        <w:spacing w:after="0" w:line="277" w:lineRule="auto"/>
        <w:tabs>
          <w:tab w:leader="none" w:pos="11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Borrower will not permit the aggregate Consolidated Total Assets of all Immaterial Subsidiaries, or the aggregate Consolidated EBITDA of all Immaterial Subsidiaries, to exceed at any time the limits set forth in the definition of “</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640" w:hanging="240"/>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Unrestricted Subsidiaries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340" w:firstLine="886"/>
        <w:spacing w:after="0" w:line="259" w:lineRule="auto"/>
        <w:tabs>
          <w:tab w:leader="none" w:pos="10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The Borrower may designate any Immaterial Subsidiary as an Unrestricted Subsidiary after the Closing Date by delivering to the Administrative Agent a certificate of a Responsible Officer of the Parent Guarantor or of the Borrower, certifying that such designation complies with the conditions set forth in this </w:t>
      </w:r>
      <w:r>
        <w:rPr>
          <w:rFonts w:ascii="Arial" w:cs="Arial" w:eastAsia="Arial" w:hAnsi="Arial"/>
          <w:sz w:val="18"/>
          <w:szCs w:val="18"/>
          <w:u w:val="single" w:color="auto"/>
          <w:color w:val="auto"/>
        </w:rPr>
        <w:t>Section 7.06(c)</w:t>
      </w:r>
      <w:r>
        <w:rPr>
          <w:rFonts w:ascii="Arial" w:cs="Arial" w:eastAsia="Arial" w:hAnsi="Arial"/>
          <w:sz w:val="18"/>
          <w:szCs w:val="18"/>
          <w:color w:val="auto"/>
        </w:rPr>
        <w:t>. No Material Subsidiary may be designated as an Unrestricted Subsidiary, and at no time may any Material Subsidiary be an Unrestricted Subsidiary.</w:t>
      </w:r>
    </w:p>
    <w:p>
      <w:pPr>
        <w:spacing w:after="0" w:line="51" w:lineRule="exact"/>
        <w:rPr>
          <w:rFonts w:ascii="Arial" w:cs="Arial" w:eastAsia="Arial" w:hAnsi="Arial"/>
          <w:sz w:val="18"/>
          <w:szCs w:val="18"/>
          <w:color w:val="auto"/>
        </w:rPr>
      </w:pPr>
    </w:p>
    <w:p>
      <w:pPr>
        <w:ind w:left="-40" w:right="240" w:firstLine="886"/>
        <w:spacing w:after="0" w:line="277" w:lineRule="auto"/>
        <w:tabs>
          <w:tab w:leader="none" w:pos="110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Borrower may designate any Immaterial Subsidiary as an Unrestricted Subsidiary if immediately before and after such designation, no Default shall have occurred and be continuing.</w:t>
      </w:r>
    </w:p>
    <w:p>
      <w:pPr>
        <w:spacing w:after="0" w:line="35" w:lineRule="exact"/>
        <w:rPr>
          <w:rFonts w:ascii="Arial" w:cs="Arial" w:eastAsia="Arial" w:hAnsi="Arial"/>
          <w:sz w:val="18"/>
          <w:szCs w:val="18"/>
          <w:color w:val="auto"/>
        </w:rPr>
      </w:pPr>
    </w:p>
    <w:p>
      <w:pPr>
        <w:ind w:left="-40" w:right="220" w:firstLine="886"/>
        <w:spacing w:after="0" w:line="277" w:lineRule="auto"/>
        <w:tabs>
          <w:tab w:leader="none" w:pos="11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designation of an Immaterial Subsidiary as an Unrestricted Subsidiary shall constitute an Investment in the Unrestricted Subsidiary on the date of designation in an amount equal to the fair market value of the Parent Guarantor’s outstanding investment therein.</w:t>
      </w:r>
    </w:p>
    <w:p>
      <w:pPr>
        <w:spacing w:after="0" w:line="35" w:lineRule="exact"/>
        <w:rPr>
          <w:rFonts w:ascii="Arial" w:cs="Arial" w:eastAsia="Arial" w:hAnsi="Arial"/>
          <w:sz w:val="18"/>
          <w:szCs w:val="18"/>
          <w:color w:val="auto"/>
        </w:rPr>
      </w:pPr>
    </w:p>
    <w:p>
      <w:pPr>
        <w:ind w:left="-40" w:right="40" w:firstLine="886"/>
        <w:spacing w:after="0" w:line="286" w:lineRule="auto"/>
        <w:tabs>
          <w:tab w:leader="none" w:pos="114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If at any time any Unrestricted Subsidiary becomes a Material Subsidiary, it will thereafter cease to be an Unrestricted Subsidiary and will be a Restricted Subsidiary. Any Indebtedness of such Subsidiary will be deemed to be incurred by a Restricted Subsidiary as of such date and the Parent Guarantor and Borrower will, and will cause such Subsidiary to, deliver the agreements, documents and other items required by </w:t>
      </w:r>
      <w:r>
        <w:rPr>
          <w:rFonts w:ascii="Arial" w:cs="Arial" w:eastAsia="Arial" w:hAnsi="Arial"/>
          <w:sz w:val="17"/>
          <w:szCs w:val="17"/>
          <w:u w:val="single" w:color="auto"/>
          <w:color w:val="auto"/>
        </w:rPr>
        <w:t>Section 6.11.</w:t>
      </w:r>
    </w:p>
    <w:p>
      <w:pPr>
        <w:spacing w:after="0" w:line="30" w:lineRule="exact"/>
        <w:rPr>
          <w:rFonts w:ascii="Arial" w:cs="Arial" w:eastAsia="Arial" w:hAnsi="Arial"/>
          <w:sz w:val="17"/>
          <w:szCs w:val="17"/>
          <w:color w:val="auto"/>
        </w:rPr>
      </w:pPr>
    </w:p>
    <w:p>
      <w:pPr>
        <w:ind w:left="-40" w:right="200" w:firstLine="440"/>
        <w:spacing w:after="0" w:line="264" w:lineRule="auto"/>
        <w:tabs>
          <w:tab w:leader="none" w:pos="6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Loan Party or any Restricted Subsidiary may guaranty or otherwise become liable in respect of any Indebtedness or other obligations of, grant any Lien on any of its property to secure any Indebtedness of or other obligation of, or provide any other form of credit support to, any Unrestricted Subsidiary.</w:t>
      </w:r>
    </w:p>
    <w:p>
      <w:pPr>
        <w:spacing w:after="0" w:line="46" w:lineRule="exact"/>
        <w:rPr>
          <w:rFonts w:ascii="Arial" w:cs="Arial" w:eastAsia="Arial" w:hAnsi="Arial"/>
          <w:sz w:val="18"/>
          <w:szCs w:val="18"/>
          <w:color w:val="auto"/>
        </w:rPr>
      </w:pPr>
    </w:p>
    <w:p>
      <w:pPr>
        <w:ind w:left="640" w:hanging="240"/>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Unrestricted Subsidiary may, directly or indirectly, make any Investment in any Loan Party or any Restricted Subsidiary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80" w:top="877" w:right="259" w:bottom="1440" w:gutter="0" w:footer="0" w:header="0"/>
        </w:sectPr>
      </w:pPr>
    </w:p>
    <w:bookmarkStart w:id="148" w:name="page149"/>
    <w:bookmarkEnd w:id="148"/>
    <w:p>
      <w:pPr>
        <w:ind w:right="80" w:firstLine="432"/>
        <w:spacing w:after="0" w:line="285" w:lineRule="auto"/>
        <w:rPr>
          <w:sz w:val="20"/>
          <w:szCs w:val="20"/>
          <w:color w:val="auto"/>
        </w:rPr>
      </w:pPr>
      <w:r>
        <w:rPr>
          <w:rFonts w:ascii="Arial" w:cs="Arial" w:eastAsia="Arial" w:hAnsi="Arial"/>
          <w:sz w:val="16"/>
          <w:szCs w:val="16"/>
          <w:color w:val="auto"/>
        </w:rPr>
        <w:t xml:space="preserve">7.07 </w:t>
      </w:r>
      <w:r>
        <w:rPr>
          <w:rFonts w:ascii="Arial" w:cs="Arial" w:eastAsia="Arial" w:hAnsi="Arial"/>
          <w:sz w:val="16"/>
          <w:szCs w:val="16"/>
          <w:b w:val="1"/>
          <w:bCs w:val="1"/>
          <w:color w:val="auto"/>
        </w:rPr>
        <w:t>Mergers, Consolidations and Sales of All or Substantially All Assets.</w:t>
      </w:r>
      <w:r>
        <w:rPr>
          <w:rFonts w:ascii="Arial" w:cs="Arial" w:eastAsia="Arial" w:hAnsi="Arial"/>
          <w:sz w:val="16"/>
          <w:szCs w:val="16"/>
          <w:color w:val="auto"/>
        </w:rPr>
        <w:t xml:space="preserve"> Each Loan Party agrees that it shall not, and shall not permit any of its Restricted Subsidiaries to, merge into or consolidate with any other Person, or permit any other Person to merge into or consolidate with it, or sell, transfer, lease or otherwise Dispose of (in one transaction or in a series of transactions) all or substantially all of its assets (whether now owned or hereafter acquired), except for transactions permitted by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and except that if at the time thereof and immediately after giving effect hereto no Event of Default shall have occurred and be continuing then any Restricted Subsidiary may merge with (i) the Borrower in a transaction in which the Borrower is the surviving Person, or (ii) the Parent Guarantor in a transaction in which the Parent Guarantor is the surviving Person, (iii) any other Restricted Subsidiary or (iv) any other Person in connection with a Permitted Acquisition or a Permitted Affiliate Acquisition if the surviving Person is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right="200" w:firstLine="8"/>
        <w:spacing w:after="0" w:line="255" w:lineRule="auto"/>
        <w:tabs>
          <w:tab w:leader="none" w:pos="2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a Loan Party is a party to such merger or consolidation then a Loan Party must be the surviving Person and (y) unless such merger or consolidation is permitted pursuant to </w:t>
      </w:r>
      <w:r>
        <w:rPr>
          <w:rFonts w:ascii="Arial" w:cs="Arial" w:eastAsia="Arial" w:hAnsi="Arial"/>
          <w:sz w:val="18"/>
          <w:szCs w:val="18"/>
          <w:u w:val="single" w:color="auto"/>
          <w:color w:val="auto"/>
        </w:rPr>
        <w:t>Section 7.11</w:t>
      </w:r>
      <w:r>
        <w:rPr>
          <w:rFonts w:ascii="Arial" w:cs="Arial" w:eastAsia="Arial" w:hAnsi="Arial"/>
          <w:sz w:val="18"/>
          <w:szCs w:val="18"/>
          <w:color w:val="auto"/>
        </w:rPr>
        <w:t>, if a Wholly Owned Restricted Subsidiary is a party to such merger then a Wholly Owned Restricted Subsidiary must be the surviving Person.</w:t>
      </w:r>
    </w:p>
    <w:p>
      <w:pPr>
        <w:spacing w:after="0" w:line="132"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 xml:space="preserve">7.08 </w:t>
      </w:r>
      <w:r>
        <w:rPr>
          <w:rFonts w:ascii="Arial" w:cs="Arial" w:eastAsia="Arial" w:hAnsi="Arial"/>
          <w:sz w:val="16"/>
          <w:szCs w:val="16"/>
          <w:b w:val="1"/>
          <w:bCs w:val="1"/>
          <w:color w:val="auto"/>
        </w:rPr>
        <w:t>Transactions with Affiliates.</w:t>
      </w:r>
      <w:r>
        <w:rPr>
          <w:rFonts w:ascii="Arial" w:cs="Arial" w:eastAsia="Arial" w:hAnsi="Arial"/>
          <w:sz w:val="16"/>
          <w:szCs w:val="16"/>
          <w:color w:val="auto"/>
        </w:rPr>
        <w:t xml:space="preserve"> Each Loan Party agrees that it will not, and will not permit any of its Material Subsidiaries to, sell, lease or otherwise transfer any property or assets to, or purchase, lease or otherwise acquire any property or assets from, or otherwise engage in any other transactions with, any of its Affiliates, except (a) transactions on fair and reasonable terms, (b) transactions between or among two or more of the Loan Parties and the Wholly Owned Restricted Subsidiaries not involving any other Affiliate, (c) investments in Unrestricted Subsidiaries permitted pursuant to </w:t>
      </w:r>
      <w:r>
        <w:rPr>
          <w:rFonts w:ascii="Arial" w:cs="Arial" w:eastAsia="Arial" w:hAnsi="Arial"/>
          <w:sz w:val="16"/>
          <w:szCs w:val="16"/>
          <w:u w:val="single" w:color="auto"/>
          <w:color w:val="auto"/>
        </w:rPr>
        <w:t>Section 7.05(a)</w:t>
      </w:r>
    </w:p>
    <w:p>
      <w:pPr>
        <w:spacing w:after="0" w:line="3" w:lineRule="exact"/>
        <w:rPr>
          <w:sz w:val="20"/>
          <w:szCs w:val="20"/>
          <w:color w:val="auto"/>
        </w:rPr>
      </w:pPr>
    </w:p>
    <w:p>
      <w:pPr>
        <w:ind w:right="20" w:firstLine="8"/>
        <w:spacing w:after="0" w:line="253" w:lineRule="auto"/>
        <w:tabs>
          <w:tab w:leader="none" w:pos="305"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 xml:space="preserve">or (x), (d) the Contribution and the IPO, (e) transactions entered into with QRI and its Subsidiaries on terms and conditions, taken as a whole, that are fair and reasonable to the Loan Parties and Restricted Subsidiaries, taking into account the totality of the relationship between the Loan Parties and Restricted Subsidiaries, on the one hand, and QRI and its Subsidiaries, on the other, (f) transactions approved by the Conflicts Committee of the board of directors or equivalent governing body of the Parent Guarantor (or the equivalent successor body to such Conflicts Committee) and (g) any Restricted Payment permitted by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33" w:lineRule="exact"/>
        <w:rPr>
          <w:sz w:val="20"/>
          <w:szCs w:val="20"/>
          <w:color w:val="auto"/>
        </w:rPr>
      </w:pPr>
    </w:p>
    <w:p>
      <w:pPr>
        <w:ind w:right="140" w:firstLine="432"/>
        <w:spacing w:after="0" w:line="261" w:lineRule="auto"/>
        <w:rPr>
          <w:sz w:val="20"/>
          <w:szCs w:val="20"/>
          <w:color w:val="auto"/>
        </w:rPr>
      </w:pPr>
      <w:r>
        <w:rPr>
          <w:rFonts w:ascii="Arial" w:cs="Arial" w:eastAsia="Arial" w:hAnsi="Arial"/>
          <w:sz w:val="18"/>
          <w:szCs w:val="18"/>
          <w:color w:val="auto"/>
        </w:rPr>
        <w:t xml:space="preserve">7.09 </w:t>
      </w:r>
      <w:r>
        <w:rPr>
          <w:rFonts w:ascii="Arial" w:cs="Arial" w:eastAsia="Arial" w:hAnsi="Arial"/>
          <w:sz w:val="18"/>
          <w:szCs w:val="18"/>
          <w:b w:val="1"/>
          <w:bCs w:val="1"/>
          <w:color w:val="auto"/>
        </w:rPr>
        <w:t>Restrictive Agreements.</w:t>
      </w:r>
      <w:r>
        <w:rPr>
          <w:rFonts w:ascii="Arial" w:cs="Arial" w:eastAsia="Arial" w:hAnsi="Arial"/>
          <w:sz w:val="18"/>
          <w:szCs w:val="18"/>
          <w:color w:val="auto"/>
        </w:rPr>
        <w:t xml:space="preserve"> Each Loan Party agrees that it will not, and will not permit any Material Subsidiary to, enter into any Contractual Obligation (other than this Agreement and other Loan Documents) that limits the ability of any Restricted Subsidiary (i) to make Restricted Payments to the Parent Guarantor, the Borrower or any Restricted Subsidiary, as applicable, (ii) to otherwise transfer property to the Parent Guarantor, the Borrower or any Restricted Subsidiary, or (iii) to Guarantee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49" w:lineRule="exact"/>
        <w:rPr>
          <w:sz w:val="20"/>
          <w:szCs w:val="20"/>
          <w:color w:val="auto"/>
        </w:rPr>
      </w:pPr>
    </w:p>
    <w:p>
      <w:pPr>
        <w:ind w:firstLine="440"/>
        <w:spacing w:after="0" w:line="277" w:lineRule="auto"/>
        <w:tabs>
          <w:tab w:leader="none" w:pos="67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clause (ii) of this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shall not prohibit restrictions or conditions imposed by an agreement related to secured Indebtedness permitted by this Agreement if such restrictions or conditions apply only to the property securing such Indebtedness;</w:t>
      </w:r>
    </w:p>
    <w:p>
      <w:pPr>
        <w:spacing w:after="0" w:line="35" w:lineRule="exact"/>
        <w:rPr>
          <w:rFonts w:ascii="Arial" w:cs="Arial" w:eastAsia="Arial" w:hAnsi="Arial"/>
          <w:sz w:val="18"/>
          <w:szCs w:val="18"/>
          <w:color w:val="auto"/>
        </w:rPr>
      </w:pPr>
    </w:p>
    <w:p>
      <w:pPr>
        <w:ind w:right="180" w:firstLine="440"/>
        <w:spacing w:after="0" w:line="308" w:lineRule="auto"/>
        <w:tabs>
          <w:tab w:leader="none" w:pos="68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shall not apply to customary restrictions and conditions contained in agreements relating to the sale of a Subsidiary pending such sale, provided such restrictions and conditions apply only to the Subsidiary that is to be sold and such sale is permitted hereunder;</w:t>
      </w:r>
    </w:p>
    <w:p>
      <w:pPr>
        <w:spacing w:after="0" w:line="11" w:lineRule="exact"/>
        <w:rPr>
          <w:rFonts w:ascii="Arial" w:cs="Arial" w:eastAsia="Arial" w:hAnsi="Arial"/>
          <w:sz w:val="17"/>
          <w:szCs w:val="17"/>
          <w:color w:val="auto"/>
        </w:rPr>
      </w:pPr>
    </w:p>
    <w:p>
      <w:pPr>
        <w:ind w:left="680" w:hanging="240"/>
        <w:spacing w:after="0"/>
        <w:tabs>
          <w:tab w:leader="none" w:pos="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clause (ii) of this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shall not prohibit customary provisions in leases and other contracts restricting the assignment or transfer thereof;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878" w:right="259" w:bottom="1440" w:gutter="0" w:footer="0" w:header="0"/>
        </w:sectPr>
      </w:pPr>
    </w:p>
    <w:bookmarkStart w:id="149" w:name="page150"/>
    <w:bookmarkEnd w:id="149"/>
    <w:p>
      <w:pPr>
        <w:ind w:right="160" w:firstLine="440"/>
        <w:spacing w:after="0" w:line="277" w:lineRule="auto"/>
        <w:tabs>
          <w:tab w:leader="none" w:pos="68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clause (ii) of this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shall not prohibit customary provisions in Joint Venture agreements and other similar agreements applicable to Joint Ventures restricting the ability to pledge or otherwise transfer Equity Interests in such Joint Ventures; and</w:t>
      </w:r>
    </w:p>
    <w:p>
      <w:pPr>
        <w:spacing w:after="0" w:line="35" w:lineRule="exact"/>
        <w:rPr>
          <w:rFonts w:ascii="Arial" w:cs="Arial" w:eastAsia="Arial" w:hAnsi="Arial"/>
          <w:sz w:val="18"/>
          <w:szCs w:val="18"/>
          <w:color w:val="auto"/>
        </w:rPr>
      </w:pPr>
    </w:p>
    <w:p>
      <w:pPr>
        <w:ind w:right="260" w:firstLine="440"/>
        <w:spacing w:after="0" w:line="259" w:lineRule="auto"/>
        <w:tabs>
          <w:tab w:leader="none" w:pos="67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shall not apply to prohibitions, restrictions or conditions contained in, or existing by reason of, any agreement or instrument relating to any Indebtedness of any Restricted Subsidiary (and any Permitted Refinancing Indebtedness thereof) at the time such Restricted Subsidiary was merged or consolidated with or into, or acquired by, a Loan Party or a Restricted Subsidiary or became a Restricted Subsidiary and not created in contemplation thereof.</w:t>
      </w:r>
    </w:p>
    <w:p>
      <w:pPr>
        <w:spacing w:after="0" w:line="129" w:lineRule="exact"/>
        <w:rPr>
          <w:sz w:val="20"/>
          <w:szCs w:val="20"/>
          <w:color w:val="auto"/>
        </w:rPr>
      </w:pPr>
    </w:p>
    <w:p>
      <w:pPr>
        <w:ind w:right="580" w:firstLine="432"/>
        <w:spacing w:after="0" w:line="282"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color w:val="auto"/>
        </w:rPr>
        <w:t>ERISA.</w:t>
      </w:r>
      <w:r>
        <w:rPr>
          <w:rFonts w:ascii="Arial" w:cs="Arial" w:eastAsia="Arial" w:hAnsi="Arial"/>
          <w:sz w:val="18"/>
          <w:szCs w:val="18"/>
          <w:color w:val="auto"/>
        </w:rPr>
        <w:t xml:space="preserve"> Except as would not reasonably be expected to result in a Material Adverse Effect, no ERISA Affiliate will incur any obligation to contribute to any “multiemployer plan” as defined in Section 4001 of ERISA.</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b w:val="1"/>
          <w:bCs w:val="1"/>
          <w:color w:val="auto"/>
        </w:rPr>
        <w:t>Dispositions of Property.</w:t>
      </w:r>
      <w:r>
        <w:rPr>
          <w:rFonts w:ascii="Arial" w:cs="Arial" w:eastAsia="Arial" w:hAnsi="Arial"/>
          <w:sz w:val="16"/>
          <w:szCs w:val="16"/>
          <w:color w:val="auto"/>
        </w:rPr>
        <w:t xml:space="preserve"> Each Loan Party agrees that it will not, and will not permit any Restricted Subsidiary to, make any Disposition except:</w:t>
      </w:r>
    </w:p>
    <w:p>
      <w:pPr>
        <w:spacing w:after="0" w:line="117" w:lineRule="exact"/>
        <w:rPr>
          <w:sz w:val="20"/>
          <w:szCs w:val="20"/>
          <w:color w:val="auto"/>
        </w:rPr>
      </w:pPr>
    </w:p>
    <w:p>
      <w:pPr>
        <w:ind w:right="120" w:firstLine="440"/>
        <w:spacing w:after="0" w:line="277" w:lineRule="auto"/>
        <w:tabs>
          <w:tab w:leader="none" w:pos="67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equipment which is worthless or obsolete or which is replaced by equipment of equal suitability and value and (ii) inventory which is sold in the ordinary course of business;</w:t>
      </w:r>
    </w:p>
    <w:p>
      <w:pPr>
        <w:spacing w:after="0" w:line="35" w:lineRule="exact"/>
        <w:rPr>
          <w:rFonts w:ascii="Arial" w:cs="Arial" w:eastAsia="Arial" w:hAnsi="Arial"/>
          <w:sz w:val="18"/>
          <w:szCs w:val="18"/>
          <w:color w:val="auto"/>
        </w:rPr>
      </w:pPr>
    </w:p>
    <w:p>
      <w:pPr>
        <w:ind w:left="700" w:hanging="260"/>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Dispositions of property to a Loan Party or to a Wholly Owned Restricted Subsidiary;</w:t>
      </w:r>
    </w:p>
    <w:p>
      <w:pPr>
        <w:spacing w:after="0" w:line="90" w:lineRule="exact"/>
        <w:rPr>
          <w:rFonts w:ascii="Arial" w:cs="Arial" w:eastAsia="Arial" w:hAnsi="Arial"/>
          <w:sz w:val="18"/>
          <w:szCs w:val="18"/>
          <w:color w:val="auto"/>
        </w:rPr>
      </w:pPr>
    </w:p>
    <w:p>
      <w:pPr>
        <w:ind w:left="680" w:hanging="240"/>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Investments permitted pursuant to </w:t>
      </w:r>
      <w:r>
        <w:rPr>
          <w:rFonts w:ascii="Arial" w:cs="Arial" w:eastAsia="Arial" w:hAnsi="Arial"/>
          <w:sz w:val="18"/>
          <w:szCs w:val="18"/>
          <w:u w:val="single" w:color="auto"/>
          <w:color w:val="auto"/>
        </w:rPr>
        <w:t>Section 7.05;</w:t>
      </w:r>
    </w:p>
    <w:p>
      <w:pPr>
        <w:spacing w:after="0" w:line="90" w:lineRule="exact"/>
        <w:rPr>
          <w:rFonts w:ascii="Arial" w:cs="Arial" w:eastAsia="Arial" w:hAnsi="Arial"/>
          <w:sz w:val="18"/>
          <w:szCs w:val="18"/>
          <w:color w:val="auto"/>
        </w:rPr>
      </w:pPr>
    </w:p>
    <w:p>
      <w:pPr>
        <w:ind w:left="700" w:hanging="260"/>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Dispositions of accounts receivable in connection with the collection or compromise thereof;</w:t>
      </w:r>
    </w:p>
    <w:p>
      <w:pPr>
        <w:spacing w:after="0" w:line="90" w:lineRule="exact"/>
        <w:rPr>
          <w:rFonts w:ascii="Arial" w:cs="Arial" w:eastAsia="Arial" w:hAnsi="Arial"/>
          <w:sz w:val="18"/>
          <w:szCs w:val="18"/>
          <w:color w:val="auto"/>
        </w:rPr>
      </w:pPr>
    </w:p>
    <w:p>
      <w:pPr>
        <w:ind w:right="620" w:firstLine="440"/>
        <w:spacing w:after="0" w:line="277" w:lineRule="auto"/>
        <w:tabs>
          <w:tab w:leader="none" w:pos="67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Dispositions in the form of licenses, sublicenses, leases or subleases granted to others which do not interfere in any material respect with the business of the Loan Parties and their Subsidiaries;</w:t>
      </w:r>
    </w:p>
    <w:p>
      <w:pPr>
        <w:spacing w:after="0" w:line="35" w:lineRule="exact"/>
        <w:rPr>
          <w:rFonts w:ascii="Arial" w:cs="Arial" w:eastAsia="Arial" w:hAnsi="Arial"/>
          <w:sz w:val="18"/>
          <w:szCs w:val="18"/>
          <w:color w:val="auto"/>
        </w:rPr>
      </w:pPr>
    </w:p>
    <w:p>
      <w:pPr>
        <w:ind w:left="660" w:hanging="220"/>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Dispositions of cash equivalents and Permitted Investments for fair market value;</w:t>
      </w:r>
    </w:p>
    <w:p>
      <w:pPr>
        <w:spacing w:after="0" w:line="90" w:lineRule="exact"/>
        <w:rPr>
          <w:rFonts w:ascii="Arial" w:cs="Arial" w:eastAsia="Arial" w:hAnsi="Arial"/>
          <w:sz w:val="18"/>
          <w:szCs w:val="18"/>
          <w:color w:val="auto"/>
        </w:rPr>
      </w:pPr>
    </w:p>
    <w:p>
      <w:pPr>
        <w:ind w:right="800" w:firstLine="440"/>
        <w:spacing w:after="0" w:line="277" w:lineRule="auto"/>
        <w:tabs>
          <w:tab w:leader="none" w:pos="68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Dispositions resulting from Casualty Events, provided that the Net Cash Proceeds of such Dispositions are applied in accordance with the requirements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to the extent required by such Section;</w:t>
      </w:r>
    </w:p>
    <w:p>
      <w:pPr>
        <w:spacing w:after="0" w:line="35" w:lineRule="exact"/>
        <w:rPr>
          <w:rFonts w:ascii="Arial" w:cs="Arial" w:eastAsia="Arial" w:hAnsi="Arial"/>
          <w:sz w:val="18"/>
          <w:szCs w:val="18"/>
          <w:color w:val="auto"/>
        </w:rPr>
      </w:pPr>
    </w:p>
    <w:p>
      <w:pPr>
        <w:ind w:right="60" w:firstLine="440"/>
        <w:spacing w:after="0" w:line="286" w:lineRule="auto"/>
        <w:tabs>
          <w:tab w:leader="none" w:pos="68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Dispositions of assets acquired in a Permitted Acquisition to the extent determined by a Responsible Officer of the Parent Guarantor to be non-core, immaterial, or ancillary to the Borrower’s and its Restricted Subsidiaries’ midstream oil and gas business, provided that the Net Cash Proceeds of such Dispositions are applied in accordance with the requirements of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to the extent required by such Section; and</w:t>
      </w:r>
    </w:p>
    <w:p>
      <w:pPr>
        <w:spacing w:after="0" w:line="30" w:lineRule="exact"/>
        <w:rPr>
          <w:rFonts w:ascii="Arial" w:cs="Arial" w:eastAsia="Arial" w:hAnsi="Arial"/>
          <w:sz w:val="17"/>
          <w:szCs w:val="17"/>
          <w:color w:val="auto"/>
        </w:rPr>
      </w:pPr>
    </w:p>
    <w:p>
      <w:pPr>
        <w:ind w:firstLine="440"/>
        <w:spacing w:after="0" w:line="276" w:lineRule="auto"/>
        <w:tabs>
          <w:tab w:leader="none" w:pos="64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any Disposition not otherwise permitted under this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of such Disposition no Default exists or would result from such Disposition, (ii) the Net Cash Proceeds of such Disposition are applied in accordance with the requirements of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to the extent required by such Section, (iii) no less than 75% of the consideration received for such Disposition shall be cash, and (iv) the aggregate sales price of all Dispositions made by all Loan Parties and Restricted Subsidiaries pursuant to this clause (i) during any fiscal year of the Parent Guarantor does not exceed ten percent (10%) of Consolidated Net Tangible Assets of the Parent Guarantor as of the last day of the previous fiscal year.</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82" w:right="239" w:bottom="1440" w:gutter="0" w:footer="0" w:header="0"/>
        </w:sectPr>
      </w:pPr>
    </w:p>
    <w:bookmarkStart w:id="150" w:name="page151"/>
    <w:bookmarkEnd w:id="150"/>
    <w:p>
      <w:pPr>
        <w:ind w:firstLine="432"/>
        <w:spacing w:after="0" w:line="25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color w:val="auto"/>
        </w:rPr>
        <w:t>Swap Contracts.</w:t>
      </w:r>
      <w:r>
        <w:rPr>
          <w:rFonts w:ascii="Arial" w:cs="Arial" w:eastAsia="Arial" w:hAnsi="Arial"/>
          <w:sz w:val="18"/>
          <w:szCs w:val="18"/>
          <w:color w:val="auto"/>
        </w:rPr>
        <w:t xml:space="preserve"> Each Loan Party agrees that it will not, and will not permit any of its Restricted Subsidiaries to, enter into any Swap Contract, except (i) Swap Contracts entered into to hedge or mitigate risks to which any Loan Party or any Restricted Subsidiary has actual or projected exposure (other than those in respect of Equity Interests of any Loan Party or any of its Subsidiaries), and (ii) other Swap Contracts permitted under the risk management policies approved by the Board of Directors (or equivalent governing body) of the General Partner from time to time and not subjecting any Loan Party or its Restricted Subsidiaries to material speculative risks.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color w:val="auto"/>
        </w:rPr>
        <w:t>Financial Covenants</w:t>
      </w:r>
      <w:r>
        <w:rPr>
          <w:rFonts w:ascii="Arial" w:cs="Arial" w:eastAsia="Arial" w:hAnsi="Arial"/>
          <w:sz w:val="18"/>
          <w:szCs w:val="18"/>
          <w:color w:val="auto"/>
        </w:rPr>
        <w:t>.</w:t>
      </w:r>
    </w:p>
    <w:p>
      <w:pPr>
        <w:spacing w:after="0" w:line="94" w:lineRule="exact"/>
        <w:rPr>
          <w:sz w:val="20"/>
          <w:szCs w:val="20"/>
          <w:color w:val="auto"/>
        </w:rPr>
      </w:pPr>
    </w:p>
    <w:p>
      <w:pPr>
        <w:ind w:right="20" w:firstLine="440"/>
        <w:spacing w:after="0" w:line="277" w:lineRule="auto"/>
        <w:tabs>
          <w:tab w:leader="none" w:pos="67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The Parent Guarantor shall not permit the Consolidated Interest Coverage Ratio to be less than 2.5 to 1.0 as of any Quarter-End Date (commencing with the first Quarter-End Date after the Closing Date).</w:t>
      </w:r>
    </w:p>
    <w:p>
      <w:pPr>
        <w:spacing w:after="0" w:line="35" w:lineRule="exact"/>
        <w:rPr>
          <w:rFonts w:ascii="Arial" w:cs="Arial" w:eastAsia="Arial" w:hAnsi="Arial"/>
          <w:sz w:val="18"/>
          <w:szCs w:val="18"/>
          <w:color w:val="auto"/>
        </w:rPr>
      </w:pPr>
    </w:p>
    <w:p>
      <w:pPr>
        <w:jc w:val="both"/>
        <w:ind w:right="20" w:firstLine="440"/>
        <w:spacing w:after="0" w:line="302" w:lineRule="auto"/>
        <w:tabs>
          <w:tab w:leader="none" w:pos="68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Total Leverage Ratio</w:t>
      </w:r>
      <w:r>
        <w:rPr>
          <w:rFonts w:ascii="Arial" w:cs="Arial" w:eastAsia="Arial" w:hAnsi="Arial"/>
          <w:sz w:val="16"/>
          <w:szCs w:val="16"/>
          <w:color w:val="auto"/>
        </w:rPr>
        <w:t xml:space="preserve">. Prior to consummation of a Qualified Notes Offering, the Parent Guarantor shall not permit the Consolidated Leverage Ratio to exceed 5.0 to 1.0 as of any Quarter-End Date (commencing with the first Quarter-End Date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Quarter-End Date is during an Acquisition Period, the Consolidated Leverage Ratio may not exceed 5.5 to 1.0 as of such Quarter-End Date. From and after consummation of a Qualified Notes Offering, the Parent Guarantor shall not permit the Consolidated Leverage Ratio to exceed 5.50 to 1.0 as of any Quarter-End Date.</w:t>
      </w:r>
    </w:p>
    <w:p>
      <w:pPr>
        <w:spacing w:after="0" w:line="19" w:lineRule="exact"/>
        <w:rPr>
          <w:rFonts w:ascii="Arial" w:cs="Arial" w:eastAsia="Arial" w:hAnsi="Arial"/>
          <w:sz w:val="16"/>
          <w:szCs w:val="16"/>
          <w:color w:val="auto"/>
        </w:rPr>
      </w:pPr>
    </w:p>
    <w:p>
      <w:pPr>
        <w:ind w:firstLine="440"/>
        <w:spacing w:after="0" w:line="342" w:lineRule="auto"/>
        <w:tabs>
          <w:tab w:leader="none" w:pos="67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Senior Secured Leverage Ratio</w:t>
      </w:r>
      <w:r>
        <w:rPr>
          <w:rFonts w:ascii="Arial" w:cs="Arial" w:eastAsia="Arial" w:hAnsi="Arial"/>
          <w:sz w:val="16"/>
          <w:szCs w:val="16"/>
          <w:color w:val="auto"/>
        </w:rPr>
        <w:t>. From and after consummation of a Qualified Notes Offering, the Parent Guarantor shall not permit the Consolidated Senior Secured Leverage Ratio to exceed 3.5 to 1.0 as of any Quarter-End Date (commencing with the first Quarter-End Date after the Closing Date).</w:t>
      </w:r>
    </w:p>
    <w:p>
      <w:pPr>
        <w:spacing w:after="0" w:line="66" w:lineRule="exact"/>
        <w:rPr>
          <w:sz w:val="20"/>
          <w:szCs w:val="20"/>
          <w:color w:val="auto"/>
        </w:rPr>
      </w:pPr>
    </w:p>
    <w:p>
      <w:pPr>
        <w:ind w:right="360" w:firstLine="432"/>
        <w:spacing w:after="0" w:line="282"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color w:val="auto"/>
        </w:rPr>
        <w:t>Restricted Payments.</w:t>
      </w:r>
      <w:r>
        <w:rPr>
          <w:rFonts w:ascii="Arial" w:cs="Arial" w:eastAsia="Arial" w:hAnsi="Arial"/>
          <w:sz w:val="18"/>
          <w:szCs w:val="18"/>
          <w:color w:val="auto"/>
        </w:rPr>
        <w:t xml:space="preserve"> The Parent Guarantor will not declare or make, or agree to pay or make, directly or indirectly, any Restricted Payment, except:</w:t>
      </w:r>
    </w:p>
    <w:p>
      <w:pPr>
        <w:spacing w:after="0" w:line="31" w:lineRule="exact"/>
        <w:rPr>
          <w:sz w:val="20"/>
          <w:szCs w:val="20"/>
          <w:color w:val="auto"/>
        </w:rPr>
      </w:pPr>
    </w:p>
    <w:p>
      <w:pPr>
        <w:ind w:firstLine="440"/>
        <w:spacing w:after="0" w:line="277" w:lineRule="auto"/>
        <w:tabs>
          <w:tab w:leader="none" w:pos="67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Restricted Payments to the extent of the amount of “Available Cash” as defined in the Parent Guarantor’s Partnership Agreement in accordance with the terms of such Partnership Agreement;</w:t>
      </w:r>
    </w:p>
    <w:p>
      <w:pPr>
        <w:spacing w:after="0" w:line="35" w:lineRule="exact"/>
        <w:rPr>
          <w:rFonts w:ascii="Arial" w:cs="Arial" w:eastAsia="Arial" w:hAnsi="Arial"/>
          <w:sz w:val="18"/>
          <w:szCs w:val="18"/>
          <w:color w:val="auto"/>
        </w:rPr>
      </w:pPr>
    </w:p>
    <w:p>
      <w:pPr>
        <w:ind w:right="240" w:firstLine="440"/>
        <w:spacing w:after="0" w:line="277" w:lineRule="auto"/>
        <w:tabs>
          <w:tab w:leader="none" w:pos="68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Restricted Payments in exchange for, or out of the net cash proceeds from the substantially concurrent sale (other than to a Subsidiary) of, Equity Interests of the Parent Guarantor (other than Disqualified Equity); and</w:t>
      </w:r>
    </w:p>
    <w:p>
      <w:pPr>
        <w:spacing w:after="0" w:line="35" w:lineRule="exact"/>
        <w:rPr>
          <w:rFonts w:ascii="Arial" w:cs="Arial" w:eastAsia="Arial" w:hAnsi="Arial"/>
          <w:sz w:val="18"/>
          <w:szCs w:val="18"/>
          <w:color w:val="auto"/>
        </w:rPr>
      </w:pPr>
    </w:p>
    <w:p>
      <w:pPr>
        <w:ind w:right="80" w:firstLine="440"/>
        <w:spacing w:after="0" w:line="334" w:lineRule="auto"/>
        <w:tabs>
          <w:tab w:leader="none" w:pos="67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Any purchase, redemption or other acquisition (on a pro rata basis with respect to all of its Equity Interests) of Equity Interests issued by it with the proceeds received from the substantially concurrent issuance (other than to a Subsidiary) by it of new Equity Interests (other than Disqualified Equity);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877" w:right="2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Default has occurred and is continuing at the time of such declaration or at the time of such payment or would result therefrom.</w:t>
      </w:r>
    </w:p>
    <w:p>
      <w:pPr>
        <w:spacing w:after="0" w:line="167" w:lineRule="exact"/>
        <w:rPr>
          <w:sz w:val="20"/>
          <w:szCs w:val="20"/>
          <w:color w:val="auto"/>
        </w:rPr>
      </w:pPr>
    </w:p>
    <w:p>
      <w:pPr>
        <w:ind w:right="220" w:firstLine="432"/>
        <w:spacing w:after="0" w:line="266"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color w:val="auto"/>
        </w:rPr>
        <w:t>Negative Pledge on Pipeline Real Property.</w:t>
      </w:r>
      <w:r>
        <w:rPr>
          <w:rFonts w:ascii="Arial" w:cs="Arial" w:eastAsia="Arial" w:hAnsi="Arial"/>
          <w:sz w:val="18"/>
          <w:szCs w:val="18"/>
          <w:color w:val="auto"/>
        </w:rPr>
        <w:t xml:space="preserve"> Each Loan Party agrees that it will not, and will not permit any of its Restricted Subsidiaries to create, incur, assume or permit to exist any Lien on any portion of any Pipeline Real Property, other than Liens permitted by clauses (a), (d), (f), (h), (i) and (j) of the definition of Permitted Liens.</w:t>
      </w:r>
    </w:p>
    <w:p>
      <w:pPr>
        <w:spacing w:after="0" w:line="122" w:lineRule="exact"/>
        <w:rPr>
          <w:sz w:val="20"/>
          <w:szCs w:val="20"/>
          <w:color w:val="auto"/>
        </w:rPr>
      </w:pPr>
    </w:p>
    <w:p>
      <w:pPr>
        <w:ind w:right="200" w:firstLine="432"/>
        <w:spacing w:after="0" w:line="282"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color w:val="auto"/>
        </w:rPr>
        <w:t>Modification, Terminations, etc. of Certain Other Indebtedness, Agreements and Organization Documents.</w:t>
      </w:r>
      <w:r>
        <w:rPr>
          <w:rFonts w:ascii="Arial" w:cs="Arial" w:eastAsia="Arial" w:hAnsi="Arial"/>
          <w:sz w:val="18"/>
          <w:szCs w:val="18"/>
          <w:color w:val="auto"/>
        </w:rPr>
        <w:t xml:space="preserve"> Each Loan Party agrees that it will not, and will not permit any Restricted Subsidiary to:</w:t>
      </w:r>
    </w:p>
    <w:p>
      <w:pPr>
        <w:spacing w:after="0" w:line="31" w:lineRule="exact"/>
        <w:rPr>
          <w:sz w:val="20"/>
          <w:szCs w:val="20"/>
          <w:color w:val="auto"/>
        </w:rPr>
      </w:pPr>
    </w:p>
    <w:p>
      <w:pPr>
        <w:jc w:val="both"/>
        <w:ind w:right="120" w:firstLine="440"/>
        <w:spacing w:after="0" w:line="264" w:lineRule="auto"/>
        <w:tabs>
          <w:tab w:leader="none" w:pos="67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permit any waiver, supplement, modification, amendment, release, cancellation or termination (other than a termination at the end of a term) of any Material Agreement if the effect of such waiver, supplement, modification, amendment, release, cancellation or termination, individually or in the aggregate, would reasonably be expected to result in a Material Adverse Effect;</w:t>
      </w:r>
    </w:p>
    <w:p>
      <w:pPr>
        <w:spacing w:after="0" w:line="46" w:lineRule="exact"/>
        <w:rPr>
          <w:rFonts w:ascii="Arial" w:cs="Arial" w:eastAsia="Arial" w:hAnsi="Arial"/>
          <w:sz w:val="18"/>
          <w:szCs w:val="18"/>
          <w:color w:val="auto"/>
        </w:rPr>
      </w:pPr>
    </w:p>
    <w:p>
      <w:pPr>
        <w:ind w:right="300" w:firstLine="440"/>
        <w:spacing w:after="0" w:line="334" w:lineRule="auto"/>
        <w:tabs>
          <w:tab w:leader="none" w:pos="68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permit any supplement, modification or amendment to any Organization Documents of any Loan Party or any Restricted Subsidiary if such supplement, modification or amendment, individually or in the aggregate, would reasonably be expected to materially and adversely affect the Lenders; or</w:t>
      </w:r>
    </w:p>
    <w:p>
      <w:pPr>
        <w:spacing w:after="0" w:line="1" w:lineRule="exact"/>
        <w:rPr>
          <w:rFonts w:ascii="Arial" w:cs="Arial" w:eastAsia="Arial" w:hAnsi="Arial"/>
          <w:sz w:val="16"/>
          <w:szCs w:val="16"/>
          <w:color w:val="auto"/>
        </w:rPr>
      </w:pPr>
    </w:p>
    <w:p>
      <w:pPr>
        <w:ind w:firstLine="440"/>
        <w:spacing w:after="0" w:line="259" w:lineRule="auto"/>
        <w:tabs>
          <w:tab w:leader="none" w:pos="67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or agree or offer to pay or make, directly or indirectly, any payment or other distribution (whether in cash, securities or other property) of or in respect of principal of or interest on Permitted Unsecured Indebtedness or any payment or other distribution (whether in cash, securities or other property), including any sinking fund or similar deposit, on account of the purchase, redemption, retirement, acquisition, cancellation or termination of any Permitted Unsecured Indebtedness, except for</w:t>
      </w:r>
    </w:p>
    <w:p>
      <w:pPr>
        <w:spacing w:after="0" w:line="51" w:lineRule="exact"/>
        <w:rPr>
          <w:rFonts w:ascii="Arial" w:cs="Arial" w:eastAsia="Arial" w:hAnsi="Arial"/>
          <w:sz w:val="18"/>
          <w:szCs w:val="18"/>
          <w:color w:val="auto"/>
        </w:rPr>
      </w:pPr>
    </w:p>
    <w:p>
      <w:pPr>
        <w:ind w:left="1100" w:hanging="214"/>
        <w:spacing w:after="0"/>
        <w:tabs>
          <w:tab w:leader="none" w:pos="11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payments of regularly scheduled interest accrued thereon;</w:t>
      </w:r>
    </w:p>
    <w:p>
      <w:pPr>
        <w:spacing w:after="0" w:line="90" w:lineRule="exact"/>
        <w:rPr>
          <w:rFonts w:ascii="Arial" w:cs="Arial" w:eastAsia="Arial" w:hAnsi="Arial"/>
          <w:sz w:val="18"/>
          <w:szCs w:val="18"/>
          <w:color w:val="auto"/>
        </w:rPr>
      </w:pPr>
    </w:p>
    <w:p>
      <w:pPr>
        <w:ind w:right="200" w:firstLine="886"/>
        <w:spacing w:after="0" w:line="277" w:lineRule="auto"/>
        <w:tabs>
          <w:tab w:leader="none" w:pos="114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so long as no Default is continuing or would result therefrom, prepayments with the proceeds of any Permitted Refinancing Indebtedness in respect thereof; or</w:t>
      </w:r>
    </w:p>
    <w:p>
      <w:pPr>
        <w:spacing w:after="0" w:line="35" w:lineRule="exact"/>
        <w:rPr>
          <w:rFonts w:ascii="Arial" w:cs="Arial" w:eastAsia="Arial" w:hAnsi="Arial"/>
          <w:sz w:val="18"/>
          <w:szCs w:val="18"/>
          <w:color w:val="auto"/>
        </w:rPr>
      </w:pPr>
    </w:p>
    <w:p>
      <w:pPr>
        <w:ind w:right="160" w:firstLine="886"/>
        <w:spacing w:after="0" w:line="342" w:lineRule="auto"/>
        <w:tabs>
          <w:tab w:leader="none" w:pos="119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payments in an amount not to exceed the amount of net cash proceeds received by the Parent Guarantor from the issuance, after the Closing Date, of common Equity Interests, provided that each such payment is made within one hundred twenty (120) days of receipt of such proceeds;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prepayments shall be made with the proceeds of Loans.</w:t>
      </w:r>
    </w:p>
    <w:p>
      <w:pPr>
        <w:spacing w:after="0" w:line="167" w:lineRule="exact"/>
        <w:rPr>
          <w:sz w:val="20"/>
          <w:szCs w:val="20"/>
          <w:color w:val="auto"/>
        </w:rPr>
      </w:pPr>
    </w:p>
    <w:p>
      <w:pPr>
        <w:ind w:right="540" w:firstLine="432"/>
        <w:spacing w:after="0" w:line="282"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b w:val="1"/>
          <w:bCs w:val="1"/>
          <w:color w:val="auto"/>
        </w:rPr>
        <w:t>Fiscal Year.</w:t>
      </w:r>
      <w:r>
        <w:rPr>
          <w:rFonts w:ascii="Arial" w:cs="Arial" w:eastAsia="Arial" w:hAnsi="Arial"/>
          <w:sz w:val="18"/>
          <w:szCs w:val="18"/>
          <w:color w:val="auto"/>
        </w:rPr>
        <w:t xml:space="preserve"> Each Loan Party agrees that it will not, and will not permit any of its Restricted Subsidiaries to, change its fiscal year-end from December 31.</w:t>
      </w:r>
    </w:p>
    <w:p>
      <w:pPr>
        <w:spacing w:after="0" w:line="108" w:lineRule="exact"/>
        <w:rPr>
          <w:sz w:val="20"/>
          <w:szCs w:val="20"/>
          <w:color w:val="auto"/>
        </w:rPr>
      </w:pPr>
    </w:p>
    <w:p>
      <w:pPr>
        <w:jc w:val="both"/>
        <w:ind w:right="40" w:firstLine="432"/>
        <w:spacing w:after="0" w:line="266"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b w:val="1"/>
          <w:bCs w:val="1"/>
          <w:color w:val="auto"/>
        </w:rPr>
        <w:t>Certain Covenants Pertaining to Rendezvous Gas.</w:t>
      </w:r>
      <w:r>
        <w:rPr>
          <w:rFonts w:ascii="Arial" w:cs="Arial" w:eastAsia="Arial" w:hAnsi="Arial"/>
          <w:sz w:val="18"/>
          <w:szCs w:val="18"/>
          <w:color w:val="auto"/>
        </w:rPr>
        <w:t xml:space="preserve"> Notwithstanding the provisions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the Parent Guarantor and the Borrower each agree that they will not permit Rendezvous Gas to incur, assume or permit to exist any Indebtedness for borrowed money;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restrictions in this </w:t>
      </w:r>
      <w:r>
        <w:rPr>
          <w:rFonts w:ascii="Arial" w:cs="Arial" w:eastAsia="Arial" w:hAnsi="Arial"/>
          <w:sz w:val="18"/>
          <w:szCs w:val="18"/>
          <w:u w:val="single" w:color="auto"/>
          <w:color w:val="auto"/>
        </w:rPr>
        <w:t>Section 7.18</w:t>
      </w:r>
      <w:r>
        <w:rPr>
          <w:rFonts w:ascii="Arial" w:cs="Arial" w:eastAsia="Arial" w:hAnsi="Arial"/>
          <w:sz w:val="18"/>
          <w:szCs w:val="18"/>
          <w:color w:val="auto"/>
        </w:rPr>
        <w:t xml:space="preserve"> shall not apply at any time when Rendezvous Gas is a Wholly Owned Subsidiary.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81" w:right="239" w:bottom="1440" w:gutter="0" w:footer="0" w:header="0"/>
        </w:sectPr>
      </w:pPr>
    </w:p>
    <w:bookmarkStart w:id="152" w:name="page153"/>
    <w:bookmarkEnd w:id="152"/>
    <w:p>
      <w:pPr>
        <w:jc w:val="center"/>
        <w:ind w:right="-11"/>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EVENTS OF DEFAULT AND REMEDIES</w:t>
      </w:r>
    </w:p>
    <w:p>
      <w:pPr>
        <w:spacing w:after="0" w:line="153" w:lineRule="exact"/>
        <w:rPr>
          <w:sz w:val="20"/>
          <w:szCs w:val="20"/>
          <w:color w:val="auto"/>
        </w:rPr>
      </w:pPr>
    </w:p>
    <w:p>
      <w:pPr>
        <w:ind w:left="432"/>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b w:val="1"/>
          <w:bCs w:val="1"/>
          <w:color w:val="auto"/>
        </w:rPr>
        <w:t>Events of Default.</w:t>
      </w:r>
      <w:r>
        <w:rPr>
          <w:rFonts w:ascii="Arial" w:cs="Arial" w:eastAsia="Arial" w:hAnsi="Arial"/>
          <w:sz w:val="18"/>
          <w:szCs w:val="18"/>
          <w:color w:val="auto"/>
        </w:rPr>
        <w:t xml:space="preserve"> Each of the following events constitutes an Event of Default under this Agreement:</w:t>
      </w:r>
    </w:p>
    <w:p>
      <w:pPr>
        <w:spacing w:after="0" w:line="94" w:lineRule="exact"/>
        <w:rPr>
          <w:sz w:val="20"/>
          <w:szCs w:val="20"/>
          <w:color w:val="auto"/>
        </w:rPr>
      </w:pPr>
    </w:p>
    <w:p>
      <w:pPr>
        <w:ind w:left="-8" w:right="60" w:firstLine="440"/>
        <w:spacing w:after="0" w:line="264" w:lineRule="auto"/>
        <w:tabs>
          <w:tab w:leader="none" w:pos="66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Borrower fails to pay (i) any amount of principal of any Loan, any L/C Obligation, or any Swing Line Loan when and as required to be paid herein, or (ii) any other amount due and payable hereunder or under any other Loan Document on the third Business Day after the date such amount becomes due;</w:t>
      </w:r>
    </w:p>
    <w:p>
      <w:pPr>
        <w:spacing w:after="0" w:line="46" w:lineRule="exact"/>
        <w:rPr>
          <w:rFonts w:ascii="Arial" w:cs="Arial" w:eastAsia="Arial" w:hAnsi="Arial"/>
          <w:sz w:val="18"/>
          <w:szCs w:val="18"/>
          <w:color w:val="auto"/>
        </w:rPr>
      </w:pPr>
    </w:p>
    <w:p>
      <w:pPr>
        <w:ind w:left="-8" w:firstLine="440"/>
        <w:spacing w:after="0" w:line="334" w:lineRule="auto"/>
        <w:tabs>
          <w:tab w:leader="none" w:pos="679"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The Borrower or any other Loan Party fails to duly observe, perform or comply with any term, covenant or agreement contained in </w:t>
      </w:r>
      <w:r>
        <w:rPr>
          <w:rFonts w:ascii="Arial" w:cs="Arial" w:eastAsia="Arial" w:hAnsi="Arial"/>
          <w:sz w:val="16"/>
          <w:szCs w:val="16"/>
          <w:u w:val="single" w:color="auto"/>
          <w:color w:val="auto"/>
        </w:rPr>
        <w:t>Sections 6.02(b)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(with respect to maintenance of existence of the Borrower, the Parent Guarantor and QEPM Gathering) or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8" w:right="200" w:firstLine="440"/>
        <w:spacing w:after="0" w:line="308" w:lineRule="auto"/>
        <w:tabs>
          <w:tab w:leader="none" w:pos="669"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The Borrower or any other Loan Party fails (other than as referred to in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to duly observe, perform or comply with any covenant, agreement, condition or provision of any Loan Document, and such failure remains unremedied for a period of thirty (30) days;</w:t>
      </w:r>
    </w:p>
    <w:p>
      <w:pPr>
        <w:spacing w:after="0" w:line="11" w:lineRule="exact"/>
        <w:rPr>
          <w:rFonts w:ascii="Arial" w:cs="Arial" w:eastAsia="Arial" w:hAnsi="Arial"/>
          <w:sz w:val="17"/>
          <w:szCs w:val="17"/>
          <w:color w:val="auto"/>
        </w:rPr>
      </w:pPr>
    </w:p>
    <w:p>
      <w:pPr>
        <w:ind w:left="-8" w:right="320" w:firstLine="440"/>
        <w:spacing w:after="0" w:line="334" w:lineRule="auto"/>
        <w:tabs>
          <w:tab w:leader="none" w:pos="679"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Borrower or any other Loan Party herein or in any other Loan Document or in any document delivered in connection herewith shall prove to have been false or incorrect in any material respect on any date on or as of which made;</w:t>
      </w:r>
    </w:p>
    <w:p>
      <w:pPr>
        <w:spacing w:after="0" w:line="1" w:lineRule="exact"/>
        <w:rPr>
          <w:rFonts w:ascii="Arial" w:cs="Arial" w:eastAsia="Arial" w:hAnsi="Arial"/>
          <w:sz w:val="16"/>
          <w:szCs w:val="16"/>
          <w:color w:val="auto"/>
        </w:rPr>
      </w:pPr>
    </w:p>
    <w:p>
      <w:pPr>
        <w:ind w:left="-8" w:right="180" w:firstLine="440"/>
        <w:spacing w:after="0" w:line="277" w:lineRule="auto"/>
        <w:tabs>
          <w:tab w:leader="none" w:pos="66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This Agreement or any other Loan Document is asserted to be or at any time ceases to be valid, binding and enforceable in any material respect as warranted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for any reason other than its release or subordination by Administrative Agent;</w:t>
      </w:r>
    </w:p>
    <w:p>
      <w:pPr>
        <w:spacing w:after="0" w:line="35" w:lineRule="exact"/>
        <w:rPr>
          <w:rFonts w:ascii="Arial" w:cs="Arial" w:eastAsia="Arial" w:hAnsi="Arial"/>
          <w:sz w:val="18"/>
          <w:szCs w:val="18"/>
          <w:color w:val="auto"/>
        </w:rPr>
      </w:pPr>
    </w:p>
    <w:p>
      <w:pPr>
        <w:ind w:left="-8" w:firstLine="440"/>
        <w:spacing w:after="0" w:line="283" w:lineRule="auto"/>
        <w:tabs>
          <w:tab w:leader="none" w:pos="649"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 Any one or more of the Loan Parties or Restricted Subsidiaries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 or any Restricted Subsidiary is the Defaulting Party (as defined in such Swap Contract) or</w:t>
      </w:r>
    </w:p>
    <w:p>
      <w:pPr>
        <w:spacing w:after="0" w:line="4" w:lineRule="exact"/>
        <w:rPr>
          <w:rFonts w:ascii="Arial" w:cs="Arial" w:eastAsia="Arial" w:hAnsi="Arial"/>
          <w:sz w:val="16"/>
          <w:szCs w:val="16"/>
          <w:color w:val="auto"/>
        </w:rPr>
      </w:pPr>
    </w:p>
    <w:p>
      <w:pPr>
        <w:ind w:left="-8" w:firstLine="8"/>
        <w:spacing w:after="0" w:line="255" w:lineRule="auto"/>
        <w:tabs>
          <w:tab w:leader="none" w:pos="27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Termination Event (as so defined) under such Swap Contract as to which the Borrower or any Restricted Subsidiary is an Affected Party (as so defined) and, in either event, the Swap Termination Value owed by the Borrower or such Restricted Subsidiary as a result thereof is greater than the Threshold Amount;</w:t>
      </w:r>
    </w:p>
    <w:p>
      <w:pPr>
        <w:spacing w:after="0" w:line="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92"/>
          </w:cols>
          <w:pgMar w:left="248" w:top="958" w:right="259" w:bottom="1440" w:gutter="0" w:footer="0" w:header="0"/>
        </w:sectPr>
      </w:pPr>
    </w:p>
    <w:bookmarkStart w:id="153" w:name="page154"/>
    <w:bookmarkEnd w:id="153"/>
    <w:p>
      <w:pPr>
        <w:ind w:left="680" w:hanging="260"/>
        <w:spacing w:after="0"/>
        <w:tabs>
          <w:tab w:leader="none" w:pos="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Loan Party or any of its Material Subsidiaries or the General Partner:</w:t>
      </w:r>
    </w:p>
    <w:p>
      <w:pPr>
        <w:spacing w:after="0" w:line="90" w:lineRule="exact"/>
        <w:rPr>
          <w:rFonts w:ascii="Arial" w:cs="Arial" w:eastAsia="Arial" w:hAnsi="Arial"/>
          <w:sz w:val="18"/>
          <w:szCs w:val="18"/>
          <w:color w:val="auto"/>
        </w:rPr>
      </w:pPr>
    </w:p>
    <w:p>
      <w:pPr>
        <w:ind w:left="-20" w:firstLine="886"/>
        <w:spacing w:after="0" w:line="255" w:lineRule="auto"/>
        <w:tabs>
          <w:tab w:leader="none" w:pos="107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institutes or consents to the institution of any proceeding under any Debtor Relief Law, or files an answer admitting the material allegations of a petition filed against it in any such proceeding;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54" w:lineRule="exact"/>
        <w:rPr>
          <w:rFonts w:ascii="Arial" w:cs="Arial" w:eastAsia="Arial" w:hAnsi="Arial"/>
          <w:sz w:val="18"/>
          <w:szCs w:val="18"/>
          <w:color w:val="auto"/>
        </w:rPr>
      </w:pPr>
    </w:p>
    <w:p>
      <w:pPr>
        <w:ind w:left="1140" w:hanging="274"/>
        <w:spacing w:after="0"/>
        <w:tabs>
          <w:tab w:leader="none" w:pos="11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becomes unable or admits in writing its inability or fails generally to pay its debts as they become due; or</w:t>
      </w:r>
    </w:p>
    <w:p>
      <w:pPr>
        <w:spacing w:after="0" w:line="90" w:lineRule="exact"/>
        <w:rPr>
          <w:rFonts w:ascii="Arial" w:cs="Arial" w:eastAsia="Arial" w:hAnsi="Arial"/>
          <w:sz w:val="18"/>
          <w:szCs w:val="18"/>
          <w:color w:val="auto"/>
        </w:rPr>
      </w:pPr>
    </w:p>
    <w:p>
      <w:pPr>
        <w:ind w:left="-20" w:right="220" w:firstLine="886"/>
        <w:spacing w:after="0" w:line="277" w:lineRule="auto"/>
        <w:tabs>
          <w:tab w:leader="none" w:pos="117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there is issued or levied any writ or warrant of attachment or execution or similar process against all or any material part of the property of any such Person and is not released, vacated or fully bonded within 30 days after its issue or levy;</w:t>
      </w:r>
    </w:p>
    <w:p>
      <w:pPr>
        <w:spacing w:after="0" w:line="35" w:lineRule="exact"/>
        <w:rPr>
          <w:rFonts w:ascii="Arial" w:cs="Arial" w:eastAsia="Arial" w:hAnsi="Arial"/>
          <w:sz w:val="18"/>
          <w:szCs w:val="18"/>
          <w:color w:val="auto"/>
        </w:rPr>
      </w:pPr>
    </w:p>
    <w:p>
      <w:pPr>
        <w:ind w:left="-20" w:right="100" w:firstLine="440"/>
        <w:spacing w:after="0" w:line="297" w:lineRule="auto"/>
        <w:tabs>
          <w:tab w:leader="none" w:pos="66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There is entered against any one or more of the Loan Parties or Restricted Subsidiaries one or more final judgments or orders for the payment of money in an aggregate amount exceeding the Threshold Amount (to the extent not covered by independent third-party insurance as to which the insurer does not dispute coverage), or one or more non-monetary final judgments that have, or would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by reason of a pending appeal or otherwise, is not in effect;</w:t>
      </w:r>
    </w:p>
    <w:p>
      <w:pPr>
        <w:spacing w:after="0" w:line="23" w:lineRule="exact"/>
        <w:rPr>
          <w:rFonts w:ascii="Arial" w:cs="Arial" w:eastAsia="Arial" w:hAnsi="Arial"/>
          <w:sz w:val="16"/>
          <w:szCs w:val="16"/>
          <w:color w:val="auto"/>
        </w:rPr>
      </w:pPr>
    </w:p>
    <w:p>
      <w:pPr>
        <w:ind w:left="-20" w:right="20" w:firstLine="440"/>
        <w:spacing w:after="0" w:line="272" w:lineRule="auto"/>
        <w:tabs>
          <w:tab w:leader="none" w:pos="62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Either (i) any failure to satisfy the minimum funding requirements of the Pension Funding Rules resulting in a liability in excess of the Threshold Amount exists with respect to any Pension Plan, whether or not waived by the Secretary of the Treasury or his delegate, or (ii) any ERISA Event occurs with respect to any Pension Plan or any Multiemployer Plan and (A) with respect to a Pension Plan, the then current value of the accumulated benefit obligation of such Pension Plan exceeds the then current value of the assets of such Plan available for the payment of such benefit liabilities by more than the Threshold Amount, or (B) with respect to a Multiemployer Plan, the combined liability to such Multiemployer Plan is expected to be in excess of the Threshold Amount, or (C) in the case of an ERISA Event involving the withdrawal of a substantial employer from a Multiemployer Plan, the withdrawing employer’s proportionate share of such liability exceeds the Threshold Amount;</w:t>
      </w:r>
    </w:p>
    <w:p>
      <w:pPr>
        <w:spacing w:after="0" w:line="42" w:lineRule="exact"/>
        <w:rPr>
          <w:rFonts w:ascii="Arial" w:cs="Arial" w:eastAsia="Arial" w:hAnsi="Arial"/>
          <w:sz w:val="17"/>
          <w:szCs w:val="17"/>
          <w:color w:val="auto"/>
        </w:rPr>
      </w:pPr>
    </w:p>
    <w:p>
      <w:pPr>
        <w:ind w:left="640" w:hanging="220"/>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Change of Control occurs;</w:t>
      </w:r>
    </w:p>
    <w:p>
      <w:pPr>
        <w:spacing w:after="0" w:line="90" w:lineRule="exact"/>
        <w:rPr>
          <w:rFonts w:ascii="Arial" w:cs="Arial" w:eastAsia="Arial" w:hAnsi="Arial"/>
          <w:sz w:val="18"/>
          <w:szCs w:val="18"/>
          <w:color w:val="auto"/>
        </w:rPr>
      </w:pPr>
    </w:p>
    <w:p>
      <w:pPr>
        <w:ind w:left="-20" w:right="40" w:firstLine="440"/>
        <w:spacing w:after="0" w:line="279" w:lineRule="auto"/>
        <w:tabs>
          <w:tab w:leader="none" w:pos="66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material provision of any Loan Document, at any time after execution and delivery thereof, shall for any reason (other than as expressly permitted hereunder or thereunder or the full and final payment of the Obligations (other than contingent Obligations for which no claim has been made), termination of the Commitments of all Lenders and L/C Issuers, and termination of all Letters of Credit (or Cash Collateralization thereof as acceptable to the applicable L/C Issuer)) cease to be valid and binding on any Loan Party or any such Person shall so state in writing; or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60" w:top="882" w:right="259" w:bottom="1440" w:gutter="0" w:footer="0" w:header="0"/>
        </w:sectPr>
      </w:pPr>
    </w:p>
    <w:bookmarkStart w:id="154" w:name="page155"/>
    <w:bookmarkEnd w:id="154"/>
    <w:p>
      <w:pPr>
        <w:ind w:right="260" w:firstLine="440"/>
        <w:spacing w:after="0" w:line="312" w:lineRule="auto"/>
        <w:tabs>
          <w:tab w:leader="none" w:pos="6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any one or more Collateral Documents after delivery thereof ceases for any reason (other than pursuant to the terms thereof or as permitted hereunder) to create a valid and perfected First Priority Lien (subject to the Liens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on Collateral purported to be covered thereby having in the aggregate a fair market value equal to or greater than five percent (5%) of Consolidated Net Tangible Assets of the Parent Guarantor.</w:t>
      </w:r>
    </w:p>
    <w:p>
      <w:pPr>
        <w:spacing w:after="0" w:line="89"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b w:val="1"/>
          <w:bCs w:val="1"/>
          <w:color w:val="auto"/>
        </w:rPr>
        <w:t>Remedies upon Event of Default.</w:t>
      </w:r>
      <w:r>
        <w:rPr>
          <w:rFonts w:ascii="Arial" w:cs="Arial" w:eastAsia="Arial" w:hAnsi="Arial"/>
          <w:sz w:val="18"/>
          <w:szCs w:val="18"/>
          <w:color w:val="auto"/>
        </w:rPr>
        <w:t xml:space="preserve"> If any Event of Default occurs and is continuing, the Administrative Agent shall, at the request of, or may, with the consent of, the Required Lenders, take any or all of the following actions:</w:t>
      </w:r>
    </w:p>
    <w:p>
      <w:pPr>
        <w:spacing w:after="0" w:line="31" w:lineRule="exact"/>
        <w:rPr>
          <w:sz w:val="20"/>
          <w:szCs w:val="20"/>
          <w:color w:val="auto"/>
        </w:rPr>
      </w:pPr>
    </w:p>
    <w:p>
      <w:pPr>
        <w:ind w:right="40" w:firstLine="440"/>
        <w:spacing w:after="0" w:line="277" w:lineRule="auto"/>
        <w:tabs>
          <w:tab w:leader="none" w:pos="67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Swing Line Loans and any obligation of each L/C Issuer to make L/C Credit Extensions to be terminated, whereupon such commitments and obligation shall be terminated;</w:t>
      </w:r>
    </w:p>
    <w:p>
      <w:pPr>
        <w:spacing w:after="0" w:line="35" w:lineRule="exact"/>
        <w:rPr>
          <w:rFonts w:ascii="Arial" w:cs="Arial" w:eastAsia="Arial" w:hAnsi="Arial"/>
          <w:sz w:val="18"/>
          <w:szCs w:val="18"/>
          <w:color w:val="auto"/>
        </w:rPr>
      </w:pPr>
    </w:p>
    <w:p>
      <w:pPr>
        <w:jc w:val="both"/>
        <w:ind w:right="140" w:firstLine="440"/>
        <w:spacing w:after="0" w:line="264" w:lineRule="auto"/>
        <w:tabs>
          <w:tab w:leader="none" w:pos="68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and Swing Line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46" w:lineRule="exact"/>
        <w:rPr>
          <w:rFonts w:ascii="Arial" w:cs="Arial" w:eastAsia="Arial" w:hAnsi="Arial"/>
          <w:sz w:val="18"/>
          <w:szCs w:val="18"/>
          <w:color w:val="auto"/>
        </w:rPr>
      </w:pPr>
    </w:p>
    <w:p>
      <w:pPr>
        <w:ind w:left="680" w:hanging="240"/>
        <w:spacing w:after="0"/>
        <w:tabs>
          <w:tab w:leader="none" w:pos="6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require that the Borrower Cash Collateralize the L/C Obligations (in an amount equal to 100% of the then Outstanding Amount thereof);</w:t>
      </w:r>
    </w:p>
    <w:p>
      <w:pPr>
        <w:spacing w:after="0" w:line="101" w:lineRule="exact"/>
        <w:rPr>
          <w:rFonts w:ascii="Arial" w:cs="Arial" w:eastAsia="Arial" w:hAnsi="Arial"/>
          <w:sz w:val="17"/>
          <w:szCs w:val="17"/>
          <w:color w:val="auto"/>
        </w:rPr>
      </w:pPr>
    </w:p>
    <w:p>
      <w:pPr>
        <w:ind w:left="700" w:hanging="260"/>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enforce any and all security interests, Liens and other remedies pursuant to the Collateral Documents; and</w:t>
      </w:r>
    </w:p>
    <w:p>
      <w:pPr>
        <w:spacing w:after="0" w:line="90" w:lineRule="exact"/>
        <w:rPr>
          <w:rFonts w:ascii="Arial" w:cs="Arial" w:eastAsia="Arial" w:hAnsi="Arial"/>
          <w:sz w:val="18"/>
          <w:szCs w:val="18"/>
          <w:color w:val="auto"/>
        </w:rPr>
      </w:pPr>
    </w:p>
    <w:p>
      <w:pPr>
        <w:ind w:left="680" w:hanging="240"/>
        <w:spacing w:after="0"/>
        <w:tabs>
          <w:tab w:leader="none" w:pos="6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 or applicable law;</w:t>
      </w:r>
    </w:p>
    <w:p>
      <w:pPr>
        <w:spacing w:after="0" w:line="19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the occurrence of an Event of Default specified in subsections </w:t>
      </w:r>
      <w:r>
        <w:rPr>
          <w:rFonts w:ascii="Arial" w:cs="Arial" w:eastAsia="Arial" w:hAnsi="Arial"/>
          <w:sz w:val="16"/>
          <w:szCs w:val="16"/>
          <w:u w:val="single" w:color="auto"/>
          <w:color w:val="auto"/>
        </w:rPr>
        <w:t>(g)(i)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with respect to the Borrower or the Parent Guarantor, the obligation of each Lender to make Loans and Swing Line Loans and all obligations of the L/C Issuers to make L/C Credit Extensions shall automatically terminate, the unpaid principal amount of all outstanding Loans and Swing Line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any Lender or any L/C Issuer.</w:t>
      </w:r>
    </w:p>
    <w:p>
      <w:pPr>
        <w:spacing w:after="0" w:line="100"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b w:val="1"/>
          <w:bCs w:val="1"/>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w:t>
      </w:r>
      <w:r>
        <w:rPr>
          <w:rFonts w:ascii="Arial" w:cs="Arial" w:eastAsia="Arial" w:hAnsi="Arial"/>
          <w:sz w:val="18"/>
          <w:szCs w:val="18"/>
          <w:u w:val="single" w:color="auto"/>
          <w:color w:val="auto"/>
        </w:rPr>
        <w:t>Section 8.02</w:t>
      </w:r>
      <w:r>
        <w:rPr>
          <w:rFonts w:ascii="Arial" w:cs="Arial" w:eastAsia="Arial" w:hAnsi="Arial"/>
          <w:sz w:val="18"/>
          <w:szCs w:val="18"/>
          <w:color w:val="auto"/>
        </w:rPr>
        <w:t>), any amounts received on account of Secured Obligations and all net proceeds from the enforcement of Secured Obligations shall be applied by the Administrative Agent in the following order:</w:t>
      </w:r>
    </w:p>
    <w:p>
      <w:pPr>
        <w:spacing w:after="0" w:line="49" w:lineRule="exact"/>
        <w:rPr>
          <w:sz w:val="20"/>
          <w:szCs w:val="20"/>
          <w:color w:val="auto"/>
        </w:rPr>
      </w:pPr>
    </w:p>
    <w:p>
      <w:pPr>
        <w:jc w:val="both"/>
        <w:ind w:right="100" w:firstLine="440"/>
        <w:spacing w:after="0" w:line="259" w:lineRule="auto"/>
        <w:tabs>
          <w:tab w:leader="none" w:pos="677"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Secured Obligations constituting fees, indemnities, expenses and other amounts (including Attorney Costs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 the L/C Issuers in their capacity as such and the Swing Line Lender in its capacity as such, ratably among the Administrative Agent, the L/C Issuers and Swing Line Lender in proportion to the respective amounts described in this clause (a) payable to them;</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882" w:right="259" w:bottom="1440" w:gutter="0" w:footer="0" w:header="0"/>
        </w:sectPr>
      </w:pPr>
    </w:p>
    <w:bookmarkStart w:id="155" w:name="page156"/>
    <w:bookmarkEnd w:id="155"/>
    <w:p>
      <w:pPr>
        <w:ind w:right="20" w:firstLine="440"/>
        <w:spacing w:after="0" w:line="264" w:lineRule="auto"/>
        <w:tabs>
          <w:tab w:leader="none" w:pos="687"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Secured Obligations constituting fees, indemnities and other amounts (other than principal and interest) payable to the Lenders and the L/C Issuers under the Loan Documents (including Attorney Costs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amounts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payable to them;</w:t>
      </w:r>
    </w:p>
    <w:p>
      <w:pPr>
        <w:spacing w:after="0" w:line="46" w:lineRule="exact"/>
        <w:rPr>
          <w:rFonts w:ascii="Arial" w:cs="Arial" w:eastAsia="Arial" w:hAnsi="Arial"/>
          <w:sz w:val="18"/>
          <w:szCs w:val="18"/>
          <w:color w:val="auto"/>
        </w:rPr>
      </w:pPr>
    </w:p>
    <w:p>
      <w:pPr>
        <w:jc w:val="both"/>
        <w:ind w:right="280" w:firstLine="440"/>
        <w:spacing w:after="0" w:line="264" w:lineRule="auto"/>
        <w:tabs>
          <w:tab w:leader="none" w:pos="677"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Secured Obligations constituting accrued and unpaid interest on the Loans, Unreimbursed Amounts, L/C Borrowings, Swing Line Loans and other Obligations, ratably among the Lenders and the L/C Issuers in proportion to the respective amounts described in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payable to them;</w:t>
      </w:r>
    </w:p>
    <w:p>
      <w:pPr>
        <w:spacing w:after="0" w:line="46" w:lineRule="exact"/>
        <w:rPr>
          <w:rFonts w:ascii="Arial" w:cs="Arial" w:eastAsia="Arial" w:hAnsi="Arial"/>
          <w:sz w:val="18"/>
          <w:szCs w:val="18"/>
          <w:color w:val="auto"/>
        </w:rPr>
      </w:pPr>
    </w:p>
    <w:p>
      <w:pPr>
        <w:jc w:val="both"/>
        <w:ind w:right="140" w:firstLine="440"/>
        <w:spacing w:after="0" w:line="259" w:lineRule="auto"/>
        <w:tabs>
          <w:tab w:leader="none" w:pos="687"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Secured Obligations constituting unpaid principal of the Loans, Unreimbursed Amounts, L/C Borrowings and Swing Line Loans, and payment obligations then owing under Secured Hedge Agreements and Secured Cash Management Agreements, ratably among the Lenders, the L/C Issuers, the Hedge Banks and the Cash Management Banks in proportion to the respective amounts described in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held by them;</w:t>
      </w:r>
    </w:p>
    <w:p>
      <w:pPr>
        <w:spacing w:after="0" w:line="51" w:lineRule="exact"/>
        <w:rPr>
          <w:rFonts w:ascii="Arial" w:cs="Arial" w:eastAsia="Arial" w:hAnsi="Arial"/>
          <w:sz w:val="18"/>
          <w:szCs w:val="18"/>
          <w:color w:val="auto"/>
        </w:rPr>
      </w:pPr>
    </w:p>
    <w:p>
      <w:pPr>
        <w:ind w:right="140" w:firstLine="440"/>
        <w:spacing w:after="0" w:line="277" w:lineRule="auto"/>
        <w:tabs>
          <w:tab w:leader="none" w:pos="677"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Administrative Agent for the account of the applicable L/C Issuers, to Cash Collateralize that portion of L/C Obligations comprised of the aggregate undrawn amount of Letters of Credit; and</w:t>
      </w:r>
    </w:p>
    <w:p>
      <w:pPr>
        <w:spacing w:after="0" w:line="35" w:lineRule="exact"/>
        <w:rPr>
          <w:rFonts w:ascii="Arial" w:cs="Arial" w:eastAsia="Arial" w:hAnsi="Arial"/>
          <w:sz w:val="18"/>
          <w:szCs w:val="18"/>
          <w:color w:val="auto"/>
        </w:rPr>
      </w:pPr>
    </w:p>
    <w:p>
      <w:pPr>
        <w:ind w:left="660" w:hanging="220"/>
        <w:spacing w:after="0"/>
        <w:tabs>
          <w:tab w:leader="none" w:pos="66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183"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for itself and its Affiliates as if a “Lender” party hereto.</w:t>
      </w:r>
    </w:p>
    <w:p>
      <w:pPr>
        <w:spacing w:after="0" w:line="104"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amounts used to Cash Collateralize the aggregate undrawn amount of Letters of Credit pursuant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ADMINISTRATIVE AGENT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b w:val="1"/>
          <w:bCs w:val="1"/>
          <w:color w:val="auto"/>
        </w:rPr>
        <w:t>Appointment and Authority.</w:t>
      </w:r>
    </w:p>
    <w:p>
      <w:pPr>
        <w:spacing w:after="0" w:line="94" w:lineRule="exact"/>
        <w:rPr>
          <w:sz w:val="20"/>
          <w:szCs w:val="20"/>
          <w:color w:val="auto"/>
        </w:rPr>
      </w:pPr>
    </w:p>
    <w:p>
      <w:pPr>
        <w:ind w:firstLine="440"/>
        <w:spacing w:after="0" w:line="255" w:lineRule="auto"/>
        <w:tabs>
          <w:tab w:leader="none" w:pos="67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Lender and L/C Issuer hereby irrevocably appoints Wells Fargo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the Borrower shall not have rights as a third party beneficiary of such provisions. It is understood and agreed that the use of the term “agent” herein or in any other Loan Documents (or any other similar term) with reference to the Administrative Agent is not intended to</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881" w:right="259" w:bottom="1440" w:gutter="0" w:footer="0" w:header="0"/>
        </w:sectPr>
      </w:pPr>
    </w:p>
    <w:bookmarkStart w:id="156" w:name="page157"/>
    <w:bookmarkEnd w:id="156"/>
    <w:p>
      <w:pPr>
        <w:ind w:right="200"/>
        <w:spacing w:after="0" w:line="277" w:lineRule="auto"/>
        <w:rPr>
          <w:sz w:val="20"/>
          <w:szCs w:val="20"/>
          <w:color w:val="auto"/>
        </w:rPr>
      </w:pPr>
      <w:r>
        <w:rPr>
          <w:rFonts w:ascii="Arial" w:cs="Arial" w:eastAsia="Arial" w:hAnsi="Arial"/>
          <w:sz w:val="18"/>
          <w:szCs w:val="18"/>
          <w:color w:val="auto"/>
        </w:rPr>
        <w:t>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35" w:lineRule="exact"/>
        <w:rPr>
          <w:sz w:val="20"/>
          <w:szCs w:val="20"/>
          <w:color w:val="auto"/>
        </w:rPr>
      </w:pPr>
    </w:p>
    <w:p>
      <w:pPr>
        <w:ind w:right="60" w:firstLine="440"/>
        <w:spacing w:after="0" w:line="288" w:lineRule="auto"/>
        <w:tabs>
          <w:tab w:leader="none" w:pos="68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Administrative Agent shall also act as the “collateral agent” under the Loan Documents, and each Lender (including in its capacity as a Hedge Bank or Cash Management Bank, and on behalf of any Affiliate that is now or hereafter a Hedge Bank or Cash Management Bank) and L/C Issuer hereby irrevocably appoints and authorizes the Administrative Agent to act as the agent of such Lender and L/C Issuer for purposes of acquiring, holding and enforcing any and all Liens on Collateral granted by any of the Loan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11.04</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11"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b w:val="1"/>
          <w:bCs w:val="1"/>
          <w:color w:val="auto"/>
        </w:rPr>
        <w:t>Rights as a Lender.</w:t>
      </w:r>
      <w:r>
        <w:rPr>
          <w:rFonts w:ascii="Arial" w:cs="Arial" w:eastAsia="Arial" w:hAnsi="Arial"/>
          <w:sz w:val="18"/>
          <w:szCs w:val="18"/>
          <w:color w:val="auto"/>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b w:val="1"/>
          <w:bCs w:val="1"/>
          <w:color w:val="auto"/>
        </w:rPr>
        <w:t>Exculpatory Provisions.</w:t>
      </w:r>
      <w:r>
        <w:rPr>
          <w:rFonts w:ascii="Arial" w:cs="Arial" w:eastAsia="Arial" w:hAnsi="Arial"/>
          <w:sz w:val="16"/>
          <w:szCs w:val="16"/>
          <w:color w:val="auto"/>
        </w:rPr>
        <w:t xml:space="preserve"> The Administrative Agent shall not have any duties or obligations except those expressly set forth herein and in the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the Administrative Agent:</w:t>
      </w:r>
    </w:p>
    <w:p>
      <w:pPr>
        <w:spacing w:after="0" w:line="76" w:lineRule="exact"/>
        <w:rPr>
          <w:sz w:val="20"/>
          <w:szCs w:val="20"/>
          <w:color w:val="auto"/>
        </w:rPr>
      </w:pPr>
    </w:p>
    <w:p>
      <w:pPr>
        <w:ind w:left="680" w:hanging="240"/>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90" w:lineRule="exact"/>
        <w:rPr>
          <w:rFonts w:ascii="Arial" w:cs="Arial" w:eastAsia="Arial" w:hAnsi="Arial"/>
          <w:sz w:val="18"/>
          <w:szCs w:val="18"/>
          <w:color w:val="auto"/>
        </w:rPr>
      </w:pPr>
    </w:p>
    <w:p>
      <w:pPr>
        <w:ind w:right="40" w:firstLine="440"/>
        <w:spacing w:after="0" w:line="257" w:lineRule="auto"/>
        <w:tabs>
          <w:tab w:leader="none" w:pos="6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53" w:lineRule="exact"/>
        <w:rPr>
          <w:rFonts w:ascii="Arial" w:cs="Arial" w:eastAsia="Arial" w:hAnsi="Arial"/>
          <w:sz w:val="18"/>
          <w:szCs w:val="18"/>
          <w:color w:val="auto"/>
        </w:rPr>
      </w:pPr>
    </w:p>
    <w:p>
      <w:pPr>
        <w:ind w:right="240" w:firstLine="440"/>
        <w:spacing w:after="0" w:line="264" w:lineRule="auto"/>
        <w:tabs>
          <w:tab w:leader="none" w:pos="67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882" w:right="259" w:bottom="1440" w:gutter="0" w:footer="0" w:header="0"/>
        </w:sectPr>
      </w:pPr>
    </w:p>
    <w:bookmarkStart w:id="157" w:name="page158"/>
    <w:bookmarkEnd w:id="157"/>
    <w:p>
      <w:pPr>
        <w:ind w:firstLine="432"/>
        <w:spacing w:after="0" w:line="257"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Borrower, a Lender or a L/C Issuer.</w:t>
      </w:r>
    </w:p>
    <w:p>
      <w:pPr>
        <w:spacing w:after="0" w:line="13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2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b w:val="1"/>
          <w:bCs w:val="1"/>
          <w:color w:val="auto"/>
        </w:rPr>
        <w:t>Reliance by Administrative Agent.</w:t>
      </w:r>
      <w:r>
        <w:rPr>
          <w:rFonts w:ascii="Arial" w:cs="Arial" w:eastAsia="Arial" w:hAnsi="Arial"/>
          <w:sz w:val="17"/>
          <w:szCs w:val="17"/>
          <w:color w:val="auto"/>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L/C Issuer, the Administrative Agent may presume that such condition is 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4" w:lineRule="exact"/>
        <w:rPr>
          <w:sz w:val="20"/>
          <w:szCs w:val="20"/>
          <w:color w:val="auto"/>
        </w:rPr>
      </w:pPr>
    </w:p>
    <w:p>
      <w:pPr>
        <w:ind w:right="200" w:firstLine="432"/>
        <w:spacing w:after="0" w:line="298"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b w:val="1"/>
          <w:bCs w:val="1"/>
          <w:color w:val="auto"/>
        </w:rPr>
        <w:t>Delegation of Duties.</w:t>
      </w:r>
      <w:r>
        <w:rPr>
          <w:rFonts w:ascii="Arial" w:cs="Arial" w:eastAsia="Arial" w:hAnsi="Arial"/>
          <w:sz w:val="16"/>
          <w:szCs w:val="16"/>
          <w:color w:val="auto"/>
        </w:rPr>
        <w:t xml:space="preserve">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81" w:right="239" w:bottom="1440" w:gutter="0" w:footer="0" w:header="0"/>
        </w:sectPr>
      </w:pPr>
    </w:p>
    <w:bookmarkStart w:id="158" w:name="page159"/>
    <w:bookmarkEnd w:id="158"/>
    <w:p>
      <w:pPr>
        <w:ind w:right="80" w:firstLine="432"/>
        <w:spacing w:after="0" w:line="285"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b w:val="1"/>
          <w:bCs w:val="1"/>
          <w:color w:val="auto"/>
        </w:rPr>
        <w:t>Resignation of Administrative Agent.</w:t>
      </w:r>
      <w:r>
        <w:rPr>
          <w:rFonts w:ascii="Arial" w:cs="Arial" w:eastAsia="Arial" w:hAnsi="Arial"/>
          <w:sz w:val="16"/>
          <w:szCs w:val="16"/>
          <w:color w:val="auto"/>
        </w:rPr>
        <w:t xml:space="preserve">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and shall be a United States person within the meaning of 7701(a)(30) of the Code.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except for any indemnity payments owed to the retiring Administrative Agent, all payments, communications and determinations provided to be made by, to or through the Administrative Agent shall instead be made by or to each Lender and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any rights to indemnity payments owed to the retiring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2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Any resignation by Wells Fargo Bank as Administrative Agent pursuant to this Section shall also constitute its resignation as L/C Issuer and Swing Line Lender.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and Swing Line Lender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07" w:lineRule="exact"/>
        <w:rPr>
          <w:sz w:val="20"/>
          <w:szCs w:val="20"/>
          <w:color w:val="auto"/>
        </w:rPr>
      </w:pPr>
    </w:p>
    <w:p>
      <w:pPr>
        <w:ind w:right="20" w:firstLine="432"/>
        <w:spacing w:after="0" w:line="274" w:lineRule="auto"/>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b w:val="1"/>
          <w:bCs w:val="1"/>
          <w:color w:val="auto"/>
        </w:rPr>
        <w:t>Non-Reliance on Administrative Agent and Other Lenders.</w:t>
      </w:r>
      <w:r>
        <w:rPr>
          <w:rFonts w:ascii="Arial" w:cs="Arial" w:eastAsia="Arial" w:hAnsi="Arial"/>
          <w:sz w:val="17"/>
          <w:szCs w:val="17"/>
          <w:color w:val="auto"/>
        </w:rPr>
        <w:t xml:space="preserve"> Each Lender and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959" w:right="259" w:bottom="1440" w:gutter="0" w:footer="0" w:header="0"/>
        </w:sectPr>
      </w:pPr>
    </w:p>
    <w:bookmarkStart w:id="159" w:name="page160"/>
    <w:bookmarkEnd w:id="159"/>
    <w:p>
      <w:pPr>
        <w:ind w:firstLine="432"/>
        <w:spacing w:after="0" w:line="281" w:lineRule="auto"/>
        <w:rPr>
          <w:sz w:val="20"/>
          <w:szCs w:val="20"/>
          <w:color w:val="auto"/>
        </w:rPr>
      </w:pPr>
      <w:r>
        <w:rPr>
          <w:rFonts w:ascii="Arial" w:cs="Arial" w:eastAsia="Arial" w:hAnsi="Arial"/>
          <w:sz w:val="17"/>
          <w:szCs w:val="17"/>
          <w:color w:val="auto"/>
        </w:rPr>
        <w:t xml:space="preserve">9.08 </w:t>
      </w:r>
      <w:r>
        <w:rPr>
          <w:rFonts w:ascii="Arial" w:cs="Arial" w:eastAsia="Arial" w:hAnsi="Arial"/>
          <w:sz w:val="17"/>
          <w:szCs w:val="17"/>
          <w:b w:val="1"/>
          <w:bCs w:val="1"/>
          <w:color w:val="auto"/>
        </w:rPr>
        <w:t>Administrative Agent May File Proofs of Claim.</w:t>
      </w:r>
      <w:r>
        <w:rPr>
          <w:rFonts w:ascii="Arial" w:cs="Arial" w:eastAsia="Arial" w:hAnsi="Arial"/>
          <w:sz w:val="17"/>
          <w:szCs w:val="17"/>
          <w:color w:val="auto"/>
        </w:rPr>
        <w:t xml:space="preserve"> In case of the pendency of any proceeding under any Debtor Relief Law or any other judicial proceeding relative to the Borrower or any Subsidiary,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34" w:lineRule="exact"/>
        <w:rPr>
          <w:sz w:val="20"/>
          <w:szCs w:val="20"/>
          <w:color w:val="auto"/>
        </w:rPr>
      </w:pPr>
    </w:p>
    <w:p>
      <w:pPr>
        <w:ind w:firstLine="440"/>
        <w:spacing w:after="0" w:line="255" w:lineRule="auto"/>
        <w:tabs>
          <w:tab w:leader="none" w:pos="67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Swing Line Loans and all other Obligations that are owing and unpaid and to file such other documents as may be necessary or advisable in order to have the claims of the Lenders, the L/C Issuers, the Swing Line Lender and the Administrative Agent (including any claim for the reasonable compensation, expenses, disbursements and advances of the Lenders, the L/C Issuers, the Swing Line Lender and the Administrative Agent and their respective agents and counsel and all other amounts due the Lenders, the L/C Issuers, the Swing Line Lender and the Administrative Agent under </w:t>
      </w:r>
      <w:r>
        <w:rPr>
          <w:rFonts w:ascii="Arial" w:cs="Arial" w:eastAsia="Arial" w:hAnsi="Arial"/>
          <w:sz w:val="18"/>
          <w:szCs w:val="18"/>
          <w:u w:val="single" w:color="auto"/>
          <w:color w:val="auto"/>
        </w:rPr>
        <w:t>Sections 2.03(i)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58" w:lineRule="exact"/>
        <w:rPr>
          <w:rFonts w:ascii="Arial" w:cs="Arial" w:eastAsia="Arial" w:hAnsi="Arial"/>
          <w:sz w:val="18"/>
          <w:szCs w:val="18"/>
          <w:color w:val="auto"/>
        </w:rPr>
      </w:pPr>
    </w:p>
    <w:p>
      <w:pPr>
        <w:ind w:left="700" w:hanging="260"/>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L/C Issuer and the Swing Line Lender to make such payments to the Administrative Agent and, in the event that the Administrative Agent shall consent to the making of such payments directly to the Lenders, the L/C Issuers and the Swing Line Lender,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3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L/C Issuer or the Swing Line Lender any plan of reorganization, arrangement, adjustment or composition affecting the Obligations or the rights of any Lender, any L/C Issuer or the Swing Line Lender to authorize the Administrative Agent to vote in respect of the claim of any Lender, any L/C Issuer or the Swing Line Lender in any such proceeding.</w:t>
      </w:r>
    </w:p>
    <w:p>
      <w:pPr>
        <w:spacing w:after="0" w:line="129" w:lineRule="exact"/>
        <w:rPr>
          <w:sz w:val="20"/>
          <w:szCs w:val="20"/>
          <w:color w:val="auto"/>
        </w:rPr>
      </w:pPr>
    </w:p>
    <w:p>
      <w:pPr>
        <w:ind w:right="200" w:firstLine="432"/>
        <w:spacing w:after="0" w:line="298"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b w:val="1"/>
          <w:bCs w:val="1"/>
          <w:color w:val="auto"/>
        </w:rPr>
        <w:t>Other Agents; Arrangers and Managers.</w:t>
      </w:r>
      <w:r>
        <w:rPr>
          <w:rFonts w:ascii="Arial" w:cs="Arial" w:eastAsia="Arial" w:hAnsi="Arial"/>
          <w:sz w:val="16"/>
          <w:szCs w:val="16"/>
          <w:color w:val="auto"/>
        </w:rPr>
        <w:t xml:space="preserve"> None of Arrangers, Joint Bookrunners, or Lenders or other Persons identified on the facing page of this Agreement as a “co-syndication agent,” or “co-documentation agent,” shall have any right, power, obligation, liability, responsibility or duty under this Agreement other than, in the case of such Lenders,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color w:val="auto"/>
        </w:rPr>
        <w:t>Collateral Matters</w:t>
      </w:r>
      <w:r>
        <w:rPr>
          <w:rFonts w:ascii="Arial" w:cs="Arial" w:eastAsia="Arial" w:hAnsi="Arial"/>
          <w:sz w:val="18"/>
          <w:szCs w:val="18"/>
          <w:color w:val="auto"/>
        </w:rPr>
        <w:t>.</w:t>
      </w:r>
    </w:p>
    <w:p>
      <w:pPr>
        <w:spacing w:after="0" w:line="94" w:lineRule="exact"/>
        <w:rPr>
          <w:sz w:val="20"/>
          <w:szCs w:val="20"/>
          <w:color w:val="auto"/>
        </w:rPr>
      </w:pPr>
    </w:p>
    <w:p>
      <w:pPr>
        <w:ind w:firstLine="440"/>
        <w:spacing w:after="0" w:line="276" w:lineRule="auto"/>
        <w:tabs>
          <w:tab w:leader="none" w:pos="67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Each Lender and L/C Issuer authorizes and directs the Administrative Agent to enter into the Collateral Documents for the benefit of the Lenders and other Secured Parties. Each Lender hereby agrees, and each holder of any Loan (or any note evidencing a Loan) by the acceptance thereof will be deemed to agree, that, except as otherwise set forth herein, any action taken by the Required Lenders in accordance with the provisions of this Agreement or the Collateral Documents and the exercise by the Required Lenders of the powers set forth herein or therein, together with such other powers as are reasonably incidental thereto, shall be authorized and binding upon all of the Lenders. The Administrative</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959" w:right="259" w:bottom="1440" w:gutter="0" w:footer="0" w:header="0"/>
        </w:sectPr>
      </w:pPr>
    </w:p>
    <w:bookmarkStart w:id="160" w:name="page161"/>
    <w:bookmarkEnd w:id="160"/>
    <w:p>
      <w:pPr>
        <w:ind w:right="140"/>
        <w:spacing w:after="0" w:line="264" w:lineRule="auto"/>
        <w:rPr>
          <w:sz w:val="20"/>
          <w:szCs w:val="20"/>
          <w:color w:val="auto"/>
        </w:rPr>
      </w:pPr>
      <w:r>
        <w:rPr>
          <w:rFonts w:ascii="Arial" w:cs="Arial" w:eastAsia="Arial" w:hAnsi="Arial"/>
          <w:sz w:val="18"/>
          <w:szCs w:val="18"/>
          <w:color w:val="auto"/>
        </w:rPr>
        <w:t>Agent is hereby authorized on behalf of all of the Lenders, without the necessity of any notice to or further consent from any Lender, from time to time prior to an Event of Default, to take any action with respect to any Collateral or the Collateral Documents which may be necessary to perfect and maintain perfected the security interest in and Liens upon the Collateral granted pursuant to the Collateral Documents.</w:t>
      </w:r>
    </w:p>
    <w:p>
      <w:pPr>
        <w:spacing w:after="0" w:line="46" w:lineRule="exact"/>
        <w:rPr>
          <w:sz w:val="20"/>
          <w:szCs w:val="20"/>
          <w:color w:val="auto"/>
        </w:rPr>
      </w:pPr>
    </w:p>
    <w:p>
      <w:pPr>
        <w:ind w:left="700" w:hanging="260"/>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Lenders hereby authorize the Administrative Agent, at its option and in its discretion,</w:t>
      </w:r>
    </w:p>
    <w:p>
      <w:pPr>
        <w:spacing w:after="0" w:line="90" w:lineRule="exact"/>
        <w:rPr>
          <w:rFonts w:ascii="Arial" w:cs="Arial" w:eastAsia="Arial" w:hAnsi="Arial"/>
          <w:sz w:val="18"/>
          <w:szCs w:val="18"/>
          <w:color w:val="auto"/>
        </w:rPr>
      </w:pPr>
    </w:p>
    <w:p>
      <w:pPr>
        <w:ind w:right="120" w:firstLine="886"/>
        <w:spacing w:after="0" w:line="279" w:lineRule="auto"/>
        <w:tabs>
          <w:tab w:leader="none" w:pos="1093"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to release any Lien granted to or held by the Administrative Agent upon any Collateral and to release any Guaranty (x) upon the full and final payment of the Obligations (other than contingent Obligations for which no claim has been made), termination of the Commitments of all Lenders and L/C Issuers, and termination of all Letters of Credit (or Cash Collateralization thereof as acceptable to the applicable L/C Issuer) or (y) if approved, authorized or ratified in writing by the Required Lenders (or all of the Lenders hereunder, to the extent required by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36" w:lineRule="exact"/>
        <w:rPr>
          <w:rFonts w:ascii="Arial" w:cs="Arial" w:eastAsia="Arial" w:hAnsi="Arial"/>
          <w:sz w:val="17"/>
          <w:szCs w:val="17"/>
          <w:color w:val="auto"/>
        </w:rPr>
      </w:pPr>
    </w:p>
    <w:p>
      <w:pPr>
        <w:ind w:right="20" w:firstLine="886"/>
        <w:spacing w:after="0" w:line="264" w:lineRule="auto"/>
        <w:tabs>
          <w:tab w:leader="none" w:pos="114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to release any Lien on property being sold or otherwise disposed of (to Persons other than the Parent Guarantor, the Borrower or a Subsidiary) upon the sale or other disposition thereof in compliance with </w:t>
      </w:r>
      <w:r>
        <w:rPr>
          <w:rFonts w:ascii="Arial" w:cs="Arial" w:eastAsia="Arial" w:hAnsi="Arial"/>
          <w:sz w:val="18"/>
          <w:szCs w:val="18"/>
          <w:u w:val="single" w:color="auto"/>
          <w:color w:val="auto"/>
        </w:rPr>
        <w:t>Section 7.11</w:t>
      </w:r>
      <w:r>
        <w:rPr>
          <w:rFonts w:ascii="Arial" w:cs="Arial" w:eastAsia="Arial" w:hAnsi="Arial"/>
          <w:sz w:val="18"/>
          <w:szCs w:val="18"/>
          <w:color w:val="auto"/>
        </w:rPr>
        <w:t>, or as otherwise may be expressly provided in the relevant Collateral Documents, and</w:t>
      </w:r>
    </w:p>
    <w:p>
      <w:pPr>
        <w:spacing w:after="0" w:line="46" w:lineRule="exact"/>
        <w:rPr>
          <w:rFonts w:ascii="Arial" w:cs="Arial" w:eastAsia="Arial" w:hAnsi="Arial"/>
          <w:sz w:val="18"/>
          <w:szCs w:val="18"/>
          <w:color w:val="auto"/>
        </w:rPr>
      </w:pPr>
    </w:p>
    <w:p>
      <w:pPr>
        <w:ind w:right="40" w:firstLine="886"/>
        <w:spacing w:after="0" w:line="259" w:lineRule="auto"/>
        <w:tabs>
          <w:tab w:leader="none" w:pos="119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release the Guaranty of a Subsidiary upon request made by the Borrower if (x) the Borrower has designated such Subsidiary as an Immaterial Subsidiary in compliance with the terms of this Agreement, such Subsidiary is an Immaterial Subsidiary at the time of such release and no Default exists before or would exist immediately after such release, or (y) all of the Equity Interests in such Subsidiary are being Disposed of in a Disposition permitted by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Upon request by the Administrative Agent at any time, the Lenders will confirm in writing the Administrative Agent’s authority to release particular types or items of Collateral or particular Guaranties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each case as specified in this Section 9.10(b), the Administrative Agent will, at the Borrower’s expense and upon presentation by the Borrower of a certificate of a Responsible Officer dated the date of the requested release and certifying as to the matters in the foregoing clause (i), (ii) or (iii), as applicable, execute and deliver to the applicable Loan Party such documents as such Loan Party may reasonably request to evidence the release such item of Collateral or such Guaranty, as applicable, in each case in accordance with the terms of this </w:t>
      </w:r>
      <w:r>
        <w:rPr>
          <w:rFonts w:ascii="Arial" w:cs="Arial" w:eastAsia="Arial" w:hAnsi="Arial"/>
          <w:sz w:val="18"/>
          <w:szCs w:val="18"/>
          <w:u w:val="single" w:color="auto"/>
          <w:color w:val="auto"/>
        </w:rPr>
        <w:t>Section 9.10(b)</w:t>
      </w:r>
      <w:r>
        <w:rPr>
          <w:rFonts w:ascii="Arial" w:cs="Arial" w:eastAsia="Arial" w:hAnsi="Arial"/>
          <w:sz w:val="18"/>
          <w:szCs w:val="18"/>
          <w:color w:val="auto"/>
        </w:rPr>
        <w:t>.</w:t>
      </w:r>
    </w:p>
    <w:p>
      <w:pPr>
        <w:spacing w:after="0" w:line="58" w:lineRule="exact"/>
        <w:rPr>
          <w:sz w:val="20"/>
          <w:szCs w:val="20"/>
          <w:color w:val="auto"/>
        </w:rPr>
      </w:pPr>
    </w:p>
    <w:p>
      <w:pPr>
        <w:ind w:firstLine="440"/>
        <w:spacing w:after="0" w:line="270" w:lineRule="auto"/>
        <w:tabs>
          <w:tab w:leader="none" w:pos="67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no obligation whatsoever to the Lenders or to any other Person to require evidence that or otherwise assure that the Collateral exists or is owned by any Loan Party or any other grantor of a Lien under the Collateral Documents or is cared for, protected or insured or that the Liens granted to the Administrative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Administrative Agent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or in any of the Collateral Documents, it being understood and agreed that in respect of the Collateral, or any act, omission or event related thereto, the Administrative Agent may act in any manner it may deem appropriate, in its sole discretion, given the Administrative Agent’s own interest in the Collateral as one of the Lenders, and that the Administrative Agent shall have no duty or liability whatsoever to the Lenders, except for its gross negligence or willful misconduct (as determined by a court of competent jurisdiction in a final and non-appealable decision).</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882" w:right="239" w:bottom="1440" w:gutter="0" w:footer="0" w:header="0"/>
        </w:sectPr>
      </w:pPr>
    </w:p>
    <w:bookmarkStart w:id="161" w:name="page162"/>
    <w:bookmarkEnd w:id="161"/>
    <w:p>
      <w:pPr>
        <w:ind w:left="44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b w:val="1"/>
          <w:bCs w:val="1"/>
          <w:color w:val="auto"/>
        </w:rPr>
        <w:t>Secured Hedge Agreements and Secured Cash Management Agreements.</w:t>
      </w:r>
    </w:p>
    <w:p>
      <w:pPr>
        <w:spacing w:after="0" w:line="94" w:lineRule="exact"/>
        <w:rPr>
          <w:sz w:val="20"/>
          <w:szCs w:val="20"/>
          <w:color w:val="auto"/>
        </w:rPr>
      </w:pPr>
    </w:p>
    <w:p>
      <w:pPr>
        <w:ind w:right="120" w:firstLine="440"/>
        <w:spacing w:after="0" w:line="277" w:lineRule="auto"/>
        <w:tabs>
          <w:tab w:leader="none" w:pos="67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Each Hedge Bank and each Cash Management Bank shall be deemed to appoint the Administrative Agent its nominee and agent, and to act for and on behalf of such Affiliate in connection with the Collateral Documents and to be bound by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right="40" w:firstLine="440"/>
        <w:spacing w:after="0" w:line="254" w:lineRule="auto"/>
        <w:tabs>
          <w:tab w:leader="none" w:pos="68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No Cash Management Bank or Hedge Bank that obtains the benefits of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any Collateral by virtue of the provisions hereof or of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Secured Cash Management Agreements and Secured Hedge Agreements unless the Administrative Agent has received written notice of such Secured Cash Management Agreements and Secured Hedge Agreements, together with such supporting documentation as the Administrative Agent may request, from the applicable Cash Management Bank or Hedge Bank, as the case may be.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GUARANTY OF THE PARENT GUARANTOR</w:t>
      </w:r>
    </w:p>
    <w:p>
      <w:pPr>
        <w:spacing w:after="0" w:line="15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b w:val="1"/>
          <w:bCs w:val="1"/>
          <w:color w:val="auto"/>
        </w:rPr>
        <w:t>Guaranty.</w:t>
      </w:r>
      <w:r>
        <w:rPr>
          <w:rFonts w:ascii="Arial" w:cs="Arial" w:eastAsia="Arial" w:hAnsi="Arial"/>
          <w:sz w:val="17"/>
          <w:szCs w:val="17"/>
          <w:color w:val="auto"/>
        </w:rPr>
        <w:t xml:space="preserve"> The Parent Guarantor hereby unconditionally and irrevocably guarantees, jointly with any other guarantors from time to time and severally, as a primary obligor and not merely as a surety, and as a guaranty of payment and performance and not merely as a guaranty of collection, full and prompt payment when due, whether at stated maturity, by required prepayment, upon acceleration, demand or otherwise, and at all times thereafter, of any and all of the Guaranteed Obligations and the punctual performance of all of the terms of the Loan Documents.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means (a) the Obligations, and (b) all other advances to, and debts, liabilities, obligations, covenants and duties of the Borrower or any other Loan Party arising under any Secured Hedge Agreement or under any Secured Cash Management Agreement. Without limiting the generality of the foregoing, the Guaranteed Obligations shall include such indebtedness, obligations, and liabilities which may be or hereafter become unenforceable or shall be an allowed or disallowed claim under any Debtor Relief Laws, and shall include interest and fees that accrue after the commencement by or against any Loan Party or any Affiliate thereof of any proceeding under any Debtor Relief Laws.</w:t>
      </w:r>
    </w:p>
    <w:p>
      <w:pPr>
        <w:spacing w:after="0" w:line="124"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 Administrative Agent’s books and records showing the amount of the Guaranteed Obligations shall be admissible in evidence in any action or proceeding, and shall be binding upon the Parent Guarantor, and conclusive for the purpose of establishing the amount of the Guaranteed Obligations, absent manifest error. This Guaranty shall not be affected by the genuineness, validity, regularity or enforceability of the Guaranteed Obligations or any instrument or agreement evidencing any Guaranteed Obligations, or by the existence, validity, enforceability, perfection, non-perfection or extent of any collateral therefor, or by any fact or circumstance relating to the Guaranteed Obligations which might otherwise constitute a defense to the obligations of the Parent Guarantor under this Guaranty, and the Parent Guarantor hereby irrevocably waives any defenses it may now have or hereafter acquire in any way relating to any or all of the foregoing, other than a defense of payment or performance.</w:t>
      </w:r>
    </w:p>
    <w:p>
      <w:pPr>
        <w:spacing w:after="0" w:line="120" w:lineRule="exact"/>
        <w:rPr>
          <w:sz w:val="20"/>
          <w:szCs w:val="20"/>
          <w:color w:val="auto"/>
        </w:rPr>
      </w:pPr>
    </w:p>
    <w:p>
      <w:pPr>
        <w:ind w:right="80" w:firstLine="432"/>
        <w:spacing w:after="0" w:line="266"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b w:val="1"/>
          <w:bCs w:val="1"/>
          <w:color w:val="auto"/>
        </w:rPr>
        <w:t>Rights of Lenders.</w:t>
      </w:r>
      <w:r>
        <w:rPr>
          <w:rFonts w:ascii="Arial" w:cs="Arial" w:eastAsia="Arial" w:hAnsi="Arial"/>
          <w:sz w:val="18"/>
          <w:szCs w:val="18"/>
          <w:color w:val="auto"/>
        </w:rPr>
        <w:t xml:space="preserve"> The Parent Guarantor consents and agrees that the Administrative Agent, the L/C Issuers, the Lenders and any other Secured Party may, at any time and from time to time, without notice or demand, and without affecting the enforceability or continuing effectiveness hereof: (a) amend, extend, renew,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78" w:right="239" w:bottom="1440" w:gutter="0" w:footer="0" w:header="0"/>
        </w:sectPr>
      </w:pPr>
    </w:p>
    <w:bookmarkStart w:id="162" w:name="page163"/>
    <w:bookmarkEnd w:id="162"/>
    <w:p>
      <w:pPr>
        <w:ind w:right="180"/>
        <w:spacing w:after="0" w:line="291" w:lineRule="auto"/>
        <w:rPr>
          <w:sz w:val="20"/>
          <w:szCs w:val="20"/>
          <w:color w:val="auto"/>
        </w:rPr>
      </w:pPr>
      <w:r>
        <w:rPr>
          <w:rFonts w:ascii="Arial" w:cs="Arial" w:eastAsia="Arial" w:hAnsi="Arial"/>
          <w:sz w:val="16"/>
          <w:szCs w:val="16"/>
          <w:color w:val="auto"/>
        </w:rPr>
        <w:t>compromise, discharge, accelerate or otherwise change the time for payment or the terms of the Guaranteed Obligations or any part thereof; (b) take, hold, exchange, enforce, waive, release, fail to perfect, sell, or otherwise dispose of any security for the payment of this Guaranty or any Guaranteed Obligations;</w:t>
      </w:r>
    </w:p>
    <w:p>
      <w:pPr>
        <w:ind w:right="20" w:firstLine="8"/>
        <w:spacing w:after="0" w:line="295" w:lineRule="auto"/>
        <w:tabs>
          <w:tab w:leader="none" w:pos="24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apply such security and direct the order or manner of sale thereof as the Administrative Agent, the L/C Issuers, the Lenders and any other Secured Party in their sole discretion may determine; and (d) release or substitute one or more of any endorsers or other guarantors of any of the Guaranteed Obligations. Without limiting the generality of the foregoing, the Parent Guarantor consents to the taking of, or failure to take, any action which might in any manner or to any extent vary the risks of the Parent Guarantor under this Guaranty or which, but for this provision, might operate as a discharge of the Parent Guarantor.</w:t>
      </w:r>
    </w:p>
    <w:p>
      <w:pPr>
        <w:spacing w:after="0" w:line="103"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10.03 </w:t>
      </w:r>
      <w:r>
        <w:rPr>
          <w:rFonts w:ascii="Arial" w:cs="Arial" w:eastAsia="Arial" w:hAnsi="Arial"/>
          <w:sz w:val="16"/>
          <w:szCs w:val="16"/>
          <w:b w:val="1"/>
          <w:bCs w:val="1"/>
          <w:color w:val="auto"/>
        </w:rPr>
        <w:t>Certain Waivers.</w:t>
      </w:r>
      <w:r>
        <w:rPr>
          <w:rFonts w:ascii="Arial" w:cs="Arial" w:eastAsia="Arial" w:hAnsi="Arial"/>
          <w:sz w:val="16"/>
          <w:szCs w:val="16"/>
          <w:color w:val="auto"/>
        </w:rPr>
        <w:t xml:space="preserve"> The Parent Guarantor hereby irrevocably waives to the fullest extent permitted by law (a) any defenses (other than a defense of payment or performance) it may now have or hereafter acquire in any way relating to, any or all of the following: (i) any lack of validity or enforceability of any Loan Document or any agreement or instrument relating thereto; (ii) without limiting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any change in the time, manner or place of payment of, or in any other term of, all or any of the Guaranteed Obligations of any other Loan Party under or in respect of the Loan Documents, or any other amendment or waiver of or any consent to departure from any Loan Document, including any increase in the Guaranteed Obligations resulting from the extension of additional credit to any Loan Party or any of its Subsidiaries or otherwise; (iii) any disability or other defense of the Borrower or any other Loan Party or the cessation from any cause whatsoever of the liability of the Borrower or any other Loan Party; (iv) any claim that the Parent Guarantor’s obligations exceed or are more burdensome than those of the Borrower or any other Loan Party; (v) any change, restructuring or termination of the corporate structure or existence of any Loan Party or any of its Subsidiaries; or (vi) without limiting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the failure of any other Person to Guarantee the Guaranteed Obligations as required pursuant to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or the release or reduction of liability of any other Guarantor; (b) the benefit of any statute of limitations affecting the Parent Guarantor’s liability hereunder; (c) any right to proceed against the Borrower or any other Loan Party, proceed against or exhaust any security for the Guaranteed Obligations, or pursue any other remedy in the power of the Administrative Agent, any Lender, any L/C Issuer, the Swing Line Lender or any other Secured Party whatsoever; (d) any benefit of and any right to participate in any security now or hereafter held as security for the Guaranteed Obligations; (e) presentment or protest to, demand of or payment from the Borrower or any other Guarantor of any of the Guaranteed Obligations; (f) notice of acceptance of its guarantee and notice of protest for nonpayment; and (g) any and all other defenses or benefits that may be derived from or afforded by applicable law limiting the liability of or exonerating guarantors or sureties. The Parent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Guaranteed Obligations, and all notices of acceptance of this Guaranty or of the existence, creation or incurrence of new or additional Guaranteed Obligations.</w:t>
      </w:r>
    </w:p>
    <w:p>
      <w:pPr>
        <w:spacing w:after="0" w:line="116" w:lineRule="exact"/>
        <w:rPr>
          <w:sz w:val="20"/>
          <w:szCs w:val="20"/>
          <w:color w:val="auto"/>
        </w:rPr>
      </w:pPr>
    </w:p>
    <w:p>
      <w:pPr>
        <w:ind w:right="180" w:firstLine="432"/>
        <w:spacing w:after="0" w:line="266" w:lineRule="auto"/>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b w:val="1"/>
          <w:bCs w:val="1"/>
          <w:color w:val="auto"/>
        </w:rPr>
        <w:t>Obligations Independent.</w:t>
      </w:r>
      <w:r>
        <w:rPr>
          <w:rFonts w:ascii="Arial" w:cs="Arial" w:eastAsia="Arial" w:hAnsi="Arial"/>
          <w:sz w:val="18"/>
          <w:szCs w:val="18"/>
          <w:color w:val="auto"/>
        </w:rPr>
        <w:t xml:space="preserve"> The obligations of the Parent Guarantor hereunder are those of primary obligor, and not merely as surety, and are independent of the Guaranteed Obligations and the obligations of any other guarantor, and a separate action may be brought against the Parent Guarantor to enforce this Guaranty whether or not the Borrower or any other Person is joined as a party.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963" w:right="259" w:bottom="1440" w:gutter="0" w:footer="0" w:header="0"/>
        </w:sectPr>
      </w:pPr>
    </w:p>
    <w:bookmarkStart w:id="163" w:name="page164"/>
    <w:bookmarkEnd w:id="163"/>
    <w:p>
      <w:pPr>
        <w:ind w:right="180" w:firstLine="432"/>
        <w:spacing w:after="0" w:line="258"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b w:val="1"/>
          <w:bCs w:val="1"/>
          <w:color w:val="auto"/>
        </w:rPr>
        <w:t>Subrogation.</w:t>
      </w:r>
      <w:r>
        <w:rPr>
          <w:rFonts w:ascii="Arial" w:cs="Arial" w:eastAsia="Arial" w:hAnsi="Arial"/>
          <w:sz w:val="18"/>
          <w:szCs w:val="18"/>
          <w:color w:val="auto"/>
        </w:rPr>
        <w:t xml:space="preserve"> The Parent Guarantor shall not exercise any right of subrogation, contribution, indemnity, reimbursement or similar rights with respect to any payments it makes under this Guaranty until Payment In Full. If any amounts are paid to the Parent Guarantor in violation of the foregoing limitation, then such amounts shall be held in trust for the benefit of the Administrative Agent, the Lenders, the L/C Issuers, the Swing Line Lender and any other Secured Party and shall forthwith be paid to the Administrative Agent to reduce the amount of the Guaranteed Obligations, whether matured or unmatured.</w:t>
      </w:r>
    </w:p>
    <w:p>
      <w:pPr>
        <w:spacing w:after="0" w:line="13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b w:val="1"/>
          <w:bCs w:val="1"/>
          <w:color w:val="auto"/>
        </w:rPr>
        <w:t>Termination; Reinstatement.</w:t>
      </w:r>
      <w:r>
        <w:rPr>
          <w:rFonts w:ascii="Arial" w:cs="Arial" w:eastAsia="Arial" w:hAnsi="Arial"/>
          <w:sz w:val="17"/>
          <w:szCs w:val="17"/>
          <w:color w:val="auto"/>
        </w:rPr>
        <w:t xml:space="preserve"> This Guaranty is a continuing and irrevocable guaranty of all Guaranteed Obligations now or hereafter existing and shall remain in full force and effect until Payment In Full. Notwithstanding the foregoing, this Guaranty shall continue in full force and effect or be revived, as the case may be, if any payment by or on behalf of the Borrower or any other Loan Party is made, or any of the Administrative Agent, the Lenders, the L/C Issuers, the Swing Line Lender or any other Secured Party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Administrative Agent, the Lenders, the L/C Issuers, the Swing Line Lender or any other Secured Party in their discretion) to be repaid to a trustee, receiver or any other party, in connection with any proceeding under any applicable bankruptcy, insolvency, reorganization, moratorium or other laws affecting creditors’ rights generally or otherwise, all as if such payment had not been made or such setoff had not occurred and whether or not any of the Administrative Agent, the Lenders, the L/C Issuers, the Swing Line Lender or any other Secured Party are in possession of or have released this Guaranty and regardless of any prior revocation, rescission, termination or reduction. The obligations of the Parent Guarantor under this Section shall survive termination of this Guaranty.</w:t>
      </w:r>
    </w:p>
    <w:p>
      <w:pPr>
        <w:spacing w:after="0" w:line="12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10.07 </w:t>
      </w:r>
      <w:r>
        <w:rPr>
          <w:rFonts w:ascii="Arial" w:cs="Arial" w:eastAsia="Arial" w:hAnsi="Arial"/>
          <w:sz w:val="17"/>
          <w:szCs w:val="17"/>
          <w:b w:val="1"/>
          <w:bCs w:val="1"/>
          <w:color w:val="auto"/>
        </w:rPr>
        <w:t>Subordination.</w:t>
      </w:r>
      <w:r>
        <w:rPr>
          <w:rFonts w:ascii="Arial" w:cs="Arial" w:eastAsia="Arial" w:hAnsi="Arial"/>
          <w:sz w:val="17"/>
          <w:szCs w:val="17"/>
          <w:color w:val="auto"/>
        </w:rPr>
        <w:t xml:space="preserve"> The Parent Guarantor hereby subordinates the payment of all obligations and indebtedness of the Borrower or any other Loan Party owing to the Parent Guarantor, whether now existing or hereafter arising, including any obligation of the Borrower or any other Loan Party to the Parent Guarantor as subrogee of the Administrative Agent, the Lenders, the L/C Issuers, the Swing Line Lender and any other Secured Party or resulting from the Parent Guarantor’s performance under this Guaranty, to the payment in full in cash of all Guaranteed Obligations (other than indemnities and other contingent obligations not then due and payable and as to which no claim has been made). So long as an Event of Default exists, if the Administrative Agent or the Required Lenders so request, any such obligation or indebtedness of the Borrower or any other Loan Party to the Parent Guarantor shall be enforced and performance received by the Parent Guarantor as trustee for the Administrative Agent, the Lenders, the L/C Issuers, the Swing Line Lender and any other Secured Party and the proceeds thereof shall be paid over to the Administrative Agent on account of the Guaranteed Obligations, but without reducing or affecting in any manner the liability of the Parent Guarantor under this Guaranty.</w:t>
      </w:r>
    </w:p>
    <w:p>
      <w:pPr>
        <w:spacing w:after="0" w:line="120" w:lineRule="exact"/>
        <w:rPr>
          <w:sz w:val="20"/>
          <w:szCs w:val="20"/>
          <w:color w:val="auto"/>
        </w:rPr>
      </w:pPr>
    </w:p>
    <w:p>
      <w:pPr>
        <w:ind w:right="400" w:firstLine="432"/>
        <w:spacing w:after="0" w:line="257"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b w:val="1"/>
          <w:bCs w:val="1"/>
          <w:color w:val="auto"/>
        </w:rPr>
        <w:t>Stay of Acceleration.</w:t>
      </w:r>
      <w:r>
        <w:rPr>
          <w:rFonts w:ascii="Arial" w:cs="Arial" w:eastAsia="Arial" w:hAnsi="Arial"/>
          <w:sz w:val="18"/>
          <w:szCs w:val="18"/>
          <w:color w:val="auto"/>
        </w:rPr>
        <w:t xml:space="preserve"> If acceleration of the time for payment of any of the Guaranteed Obligations is stayed in connection with any case commenced by or against the Parent Guarantor or any other Loan Party under any Debtor Relief Law or otherwise, all such amounts shall nonetheless be payable by the Parent Guarantor immediately upon demand by the Administrative Agent.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959" w:right="2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b w:val="1"/>
          <w:bCs w:val="1"/>
          <w:color w:val="auto"/>
        </w:rPr>
        <w:t>Amendments, Etc.</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No amendment or waiver of any provision of this Agreement or any other Loan Document, and 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52" w:lineRule="exact"/>
        <w:rPr>
          <w:sz w:val="20"/>
          <w:szCs w:val="20"/>
          <w:color w:val="auto"/>
        </w:rPr>
      </w:pPr>
    </w:p>
    <w:p>
      <w:pPr>
        <w:ind w:left="680" w:hanging="240"/>
        <w:spacing w:after="0"/>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without the written consent of each Lender;</w:t>
      </w:r>
    </w:p>
    <w:p>
      <w:pPr>
        <w:spacing w:after="0" w:line="90" w:lineRule="exact"/>
        <w:rPr>
          <w:rFonts w:ascii="Arial" w:cs="Arial" w:eastAsia="Arial" w:hAnsi="Arial"/>
          <w:sz w:val="18"/>
          <w:szCs w:val="18"/>
          <w:color w:val="auto"/>
        </w:rPr>
      </w:pPr>
    </w:p>
    <w:p>
      <w:pPr>
        <w:ind w:firstLine="440"/>
        <w:spacing w:after="0" w:line="277" w:lineRule="auto"/>
        <w:tabs>
          <w:tab w:leader="none" w:pos="68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35" w:lineRule="exact"/>
        <w:rPr>
          <w:rFonts w:ascii="Arial" w:cs="Arial" w:eastAsia="Arial" w:hAnsi="Arial"/>
          <w:sz w:val="18"/>
          <w:szCs w:val="18"/>
          <w:color w:val="auto"/>
        </w:rPr>
      </w:pPr>
    </w:p>
    <w:p>
      <w:pPr>
        <w:ind w:right="80" w:firstLine="440"/>
        <w:spacing w:after="0" w:line="264" w:lineRule="auto"/>
        <w:tabs>
          <w:tab w:leader="none" w:pos="67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affected thereby;</w:t>
      </w:r>
    </w:p>
    <w:p>
      <w:pPr>
        <w:spacing w:after="0" w:line="46" w:lineRule="exact"/>
        <w:rPr>
          <w:rFonts w:ascii="Arial" w:cs="Arial" w:eastAsia="Arial" w:hAnsi="Arial"/>
          <w:sz w:val="18"/>
          <w:szCs w:val="18"/>
          <w:color w:val="auto"/>
        </w:rPr>
      </w:pPr>
    </w:p>
    <w:p>
      <w:pPr>
        <w:ind w:right="80" w:firstLine="440"/>
        <w:spacing w:after="0" w:line="297" w:lineRule="auto"/>
        <w:tabs>
          <w:tab w:leader="none" w:pos="68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Swing Line Loan or L/C Borrowing, or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(i) to amend the definition of “</w:t>
      </w:r>
      <w:r>
        <w:rPr>
          <w:rFonts w:ascii="Arial" w:cs="Arial" w:eastAsia="Arial" w:hAnsi="Arial"/>
          <w:sz w:val="16"/>
          <w:szCs w:val="16"/>
          <w:u w:val="single" w:color="auto"/>
          <w:color w:val="auto"/>
        </w:rPr>
        <w:t>Default Rate</w:t>
      </w:r>
      <w:r>
        <w:rPr>
          <w:rFonts w:ascii="Arial" w:cs="Arial" w:eastAsia="Arial" w:hAnsi="Arial"/>
          <w:sz w:val="16"/>
          <w:szCs w:val="16"/>
          <w:color w:val="auto"/>
        </w:rPr>
        <w:t>” or to waive any obligation of the Borrower to pay interest or Letter of Credit Fees at the Default Rate or (ii) to amend any financial covenant hereunder (or any defined term used therein) even if the effect of such amendment would be to reduce the rate of interest on any Loan, Swing Line Loan or L/C Borrowing or to reduce any fee payable hereunder;</w:t>
      </w:r>
    </w:p>
    <w:p>
      <w:pPr>
        <w:spacing w:after="0" w:line="23" w:lineRule="exact"/>
        <w:rPr>
          <w:rFonts w:ascii="Arial" w:cs="Arial" w:eastAsia="Arial" w:hAnsi="Arial"/>
          <w:sz w:val="16"/>
          <w:szCs w:val="16"/>
          <w:color w:val="auto"/>
        </w:rPr>
      </w:pPr>
    </w:p>
    <w:p>
      <w:pPr>
        <w:ind w:right="240" w:firstLine="440"/>
        <w:spacing w:after="0" w:line="277" w:lineRule="auto"/>
        <w:tabs>
          <w:tab w:leader="none" w:pos="67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35" w:lineRule="exact"/>
        <w:rPr>
          <w:rFonts w:ascii="Arial" w:cs="Arial" w:eastAsia="Arial" w:hAnsi="Arial"/>
          <w:sz w:val="18"/>
          <w:szCs w:val="18"/>
          <w:color w:val="auto"/>
        </w:rPr>
      </w:pPr>
    </w:p>
    <w:p>
      <w:pPr>
        <w:jc w:val="both"/>
        <w:ind w:right="200" w:firstLine="440"/>
        <w:spacing w:after="0" w:line="264" w:lineRule="auto"/>
        <w:tabs>
          <w:tab w:leader="none" w:pos="65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w:t>
      </w:r>
      <w:r>
        <w:rPr>
          <w:rFonts w:ascii="Arial" w:cs="Arial" w:eastAsia="Arial" w:hAnsi="Arial"/>
          <w:sz w:val="18"/>
          <w:szCs w:val="18"/>
          <w:u w:val="single" w:color="auto"/>
          <w:color w:val="auto"/>
        </w:rPr>
        <w:t>Required Lenders</w:t>
      </w:r>
      <w:r>
        <w:rPr>
          <w:rFonts w:ascii="Arial" w:cs="Arial" w:eastAsia="Arial" w:hAnsi="Arial"/>
          <w:sz w:val="18"/>
          <w:szCs w:val="18"/>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46" w:lineRule="exact"/>
        <w:rPr>
          <w:rFonts w:ascii="Arial" w:cs="Arial" w:eastAsia="Arial" w:hAnsi="Arial"/>
          <w:sz w:val="18"/>
          <w:szCs w:val="18"/>
          <w:color w:val="auto"/>
        </w:rPr>
      </w:pPr>
    </w:p>
    <w:p>
      <w:pPr>
        <w:ind w:right="500" w:firstLine="440"/>
        <w:spacing w:after="0" w:line="277" w:lineRule="auto"/>
        <w:tabs>
          <w:tab w:leader="none" w:pos="68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release (i) the Parent Guarantor from its Guaranty or (ii) all or substantially all of the value of the Subsidiary Guarantees under the Subsidiary Guaranty Agreement (other than as authorized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without the consent of each Lender; or</w:t>
      </w:r>
    </w:p>
    <w:p>
      <w:pPr>
        <w:spacing w:after="0" w:line="35" w:lineRule="exact"/>
        <w:rPr>
          <w:rFonts w:ascii="Arial" w:cs="Arial" w:eastAsia="Arial" w:hAnsi="Arial"/>
          <w:sz w:val="18"/>
          <w:szCs w:val="18"/>
          <w:color w:val="auto"/>
        </w:rPr>
      </w:pPr>
    </w:p>
    <w:p>
      <w:pPr>
        <w:ind w:left="700" w:hanging="260"/>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in any transaction or series of transactions, without the consent of each Lender;</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provided further, that (i) no amendment, waiver or consent shall affect the rights or duties of any L/C Issuer under this Agreement or any Letter of Credit Application relating to any Letter of Credit issued or to be issued by it unless in writing and signed by such L/C Issuer, in addition to the Lenders required above; (ii) no amendment, waiver or consent shall, unless in writing and signed by the Swing Line Lender in addition to the Lenders required above, affect the rights or duties of the Swing Line Lender under this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796" w:right="259" w:bottom="1440" w:gutter="0" w:footer="0" w:header="0"/>
        </w:sectPr>
      </w:pPr>
    </w:p>
    <w:bookmarkStart w:id="165" w:name="page166"/>
    <w:bookmarkEnd w:id="165"/>
    <w:p>
      <w:pPr>
        <w:spacing w:after="0" w:line="286" w:lineRule="auto"/>
        <w:rPr>
          <w:sz w:val="20"/>
          <w:szCs w:val="20"/>
          <w:color w:val="auto"/>
        </w:rPr>
      </w:pPr>
      <w:r>
        <w:rPr>
          <w:rFonts w:ascii="Arial" w:cs="Arial" w:eastAsia="Arial" w:hAnsi="Arial"/>
          <w:sz w:val="16"/>
          <w:szCs w:val="16"/>
          <w:color w:val="auto"/>
        </w:rPr>
        <w:t xml:space="preserve">Agreement relating to any Swing Line Loan; (iii) no amendment, waiver or consent shall, unless in writing and signed by the Administrative Agent in addition to the Lenders required above, affect the rights or duties of the Administrative Agent under this Agreement or any other Loan Document; (iv) the Fee Letters may be amended, or rights or privileges thereunder waived, in a writing executed only by the parties thereto; and (v) the Administrative Agent and the Borrower (or other applicable Loan Party)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or omission of a technical or immaterial nature in any such provision. In accordance with </w:t>
      </w:r>
      <w:r>
        <w:rPr>
          <w:rFonts w:ascii="Arial" w:cs="Arial" w:eastAsia="Arial" w:hAnsi="Arial"/>
          <w:sz w:val="16"/>
          <w:szCs w:val="16"/>
          <w:u w:val="single" w:color="auto"/>
          <w:color w:val="auto"/>
        </w:rPr>
        <w:t>Section 11.14</w:t>
      </w:r>
      <w:r>
        <w:rPr>
          <w:rFonts w:ascii="Arial" w:cs="Arial" w:eastAsia="Arial" w:hAnsi="Arial"/>
          <w:sz w:val="16"/>
          <w:szCs w:val="16"/>
          <w:color w:val="auto"/>
        </w:rPr>
        <w:t>, the Borrower may replace any Lender that does not consent to any amendment, waiver or other action that requires the consent of all Lenders and that has been consented to by the Required Lenders. Notwithstanding anything to the contrary herein, no Defaulting Lender shall have any right to approve or disapprove any amendment, waiver or consent hereunder, except that (w) the Commitment (and, where applicable, maturity date) of such Lender may not be increased or extended without the consent of such Lender, (x) the principal amount of any obligation, or the amount or rate of interest, owing to such Lender may not be reduced without the consent of such Lender, (y) the provisions of this sentence may not be revised in a manner that would be adverse to such Lender without the consent of such Lender, and (z) any amendment, waiver or consent that would materially adversely affect the rights and obligations of such Lender in a manner that is disproportional to the other Lenders will require the consent of such Lender.</w:t>
      </w:r>
    </w:p>
    <w:p>
      <w:pPr>
        <w:spacing w:after="0" w:line="12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Without the consent of any other Person, the applicable Loan Party or Loan Parties and the Administrative Agent may (in its or their respective sole discretion, or shall, to the extent required by any Loan Document) enter into any waiver, amendment or modification of any Loan Document, or enter into any new agreement or instrument, in each case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b w:val="1"/>
          <w:bCs w:val="1"/>
          <w:color w:val="auto"/>
        </w:rPr>
        <w:t>Notices; Electronic Communications.</w:t>
      </w:r>
    </w:p>
    <w:p>
      <w:pPr>
        <w:spacing w:after="0" w:line="94" w:lineRule="exact"/>
        <w:rPr>
          <w:sz w:val="20"/>
          <w:szCs w:val="20"/>
          <w:color w:val="auto"/>
        </w:rPr>
      </w:pPr>
    </w:p>
    <w:p>
      <w:pPr>
        <w:ind w:right="100" w:firstLine="440"/>
        <w:spacing w:after="0" w:line="259" w:lineRule="auto"/>
        <w:tabs>
          <w:tab w:leader="none" w:pos="677"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51" w:lineRule="exact"/>
        <w:rPr>
          <w:rFonts w:ascii="Arial" w:cs="Arial" w:eastAsia="Arial" w:hAnsi="Arial"/>
          <w:sz w:val="18"/>
          <w:szCs w:val="18"/>
          <w:color w:val="auto"/>
        </w:rPr>
      </w:pPr>
    </w:p>
    <w:p>
      <w:pPr>
        <w:ind w:right="460" w:firstLine="886"/>
        <w:spacing w:after="0" w:line="277" w:lineRule="auto"/>
        <w:tabs>
          <w:tab w:leader="none" w:pos="109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or to Wells Fargo Bank, as Swing Line Lender or as a L/C Issuer,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right="60" w:firstLine="886"/>
        <w:spacing w:after="0" w:line="277" w:lineRule="auto"/>
        <w:tabs>
          <w:tab w:leader="none" w:pos="114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to any other L/C Issuer, to it at its address, telecopier number, electronic mail address or telephone number separately notified in writing by such L/C Issuer to the Borrower and the Administrative Agent; and</w:t>
      </w:r>
    </w:p>
    <w:p>
      <w:pPr>
        <w:spacing w:after="0" w:line="35" w:lineRule="exact"/>
        <w:rPr>
          <w:rFonts w:ascii="Arial" w:cs="Arial" w:eastAsia="Arial" w:hAnsi="Arial"/>
          <w:sz w:val="18"/>
          <w:szCs w:val="18"/>
          <w:color w:val="auto"/>
        </w:rPr>
      </w:pPr>
    </w:p>
    <w:p>
      <w:pPr>
        <w:ind w:left="1200" w:hanging="314"/>
        <w:spacing w:after="0"/>
        <w:tabs>
          <w:tab w:leader="none" w:pos="12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if to any other Lender, to the address, telecopier number, electronic mail address or telephone number specified in its Administrative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Questionnaire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963" w:right="259" w:bottom="1440" w:gutter="0" w:footer="0" w:header="0"/>
        </w:sectPr>
      </w:pPr>
    </w:p>
    <w:bookmarkStart w:id="166" w:name="page167"/>
    <w:bookmarkEnd w:id="166"/>
    <w:p>
      <w:pPr>
        <w:spacing w:after="0" w:line="259"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52" w:lineRule="exact"/>
        <w:rPr>
          <w:sz w:val="20"/>
          <w:szCs w:val="20"/>
          <w:color w:val="auto"/>
        </w:rPr>
      </w:pPr>
    </w:p>
    <w:p>
      <w:pPr>
        <w:ind w:right="20" w:firstLine="440"/>
        <w:spacing w:after="0" w:line="273" w:lineRule="auto"/>
        <w:tabs>
          <w:tab w:leader="none" w:pos="687"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L/C Issuer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2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30" w:lineRule="exact"/>
        <w:rPr>
          <w:sz w:val="20"/>
          <w:szCs w:val="20"/>
          <w:color w:val="auto"/>
        </w:rPr>
      </w:pPr>
    </w:p>
    <w:p>
      <w:pPr>
        <w:ind w:left="680" w:hanging="240"/>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20" w:firstLine="886"/>
        <w:spacing w:after="0" w:line="277" w:lineRule="auto"/>
        <w:tabs>
          <w:tab w:leader="none" w:pos="109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Loan Party agrees that the Administrative Agent may, but shall not be obligated to, make the Borrower Materials available to the L/C Issuers and the Lenders by posting the Borrower Materials on the Platform.</w:t>
      </w:r>
    </w:p>
    <w:p>
      <w:pPr>
        <w:spacing w:after="0" w:line="35" w:lineRule="exact"/>
        <w:rPr>
          <w:rFonts w:ascii="Arial" w:cs="Arial" w:eastAsia="Arial" w:hAnsi="Arial"/>
          <w:sz w:val="18"/>
          <w:szCs w:val="18"/>
          <w:color w:val="auto"/>
        </w:rPr>
      </w:pPr>
    </w:p>
    <w:p>
      <w:pPr>
        <w:ind w:right="40" w:firstLine="886"/>
        <w:spacing w:after="0" w:line="269" w:lineRule="auto"/>
        <w:tabs>
          <w:tab w:leader="none" w:pos="1143"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 any Lender or any other Person for indirect, special, incidental, consequential or punitive damages (as opposed to direct or actual damages).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81" w:right="239" w:bottom="1440" w:gutter="0" w:footer="0" w:header="0"/>
        </w:sectPr>
      </w:pPr>
    </w:p>
    <w:bookmarkStart w:id="167" w:name="page168"/>
    <w:bookmarkEnd w:id="167"/>
    <w:p>
      <w:pPr>
        <w:ind w:firstLine="440"/>
        <w:spacing w:after="0" w:line="270" w:lineRule="auto"/>
        <w:tabs>
          <w:tab w:leader="none" w:pos="687"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the Administrative Agent and the L/C Issuers may change its address, telecopier or telephone number for notices and other communications hereunder by notice to the other parties hereto. Each Lender may change its address, telecopier or telephone number for notices and other communications hereunder by notice to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42" w:lineRule="exact"/>
        <w:rPr>
          <w:rFonts w:ascii="Arial" w:cs="Arial" w:eastAsia="Arial" w:hAnsi="Arial"/>
          <w:sz w:val="17"/>
          <w:szCs w:val="17"/>
          <w:color w:val="auto"/>
        </w:rPr>
      </w:pPr>
    </w:p>
    <w:p>
      <w:pPr>
        <w:ind w:right="20" w:firstLine="440"/>
        <w:spacing w:after="0" w:line="272" w:lineRule="auto"/>
        <w:tabs>
          <w:tab w:leader="none" w:pos="677"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The Administrative Agent, the L/C Issuers and the Lenders shall be entitled to rely and act upon any notices (including telephonic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20" w:lineRule="exact"/>
        <w:rPr>
          <w:sz w:val="20"/>
          <w:szCs w:val="20"/>
          <w:color w:val="auto"/>
        </w:rPr>
      </w:pPr>
    </w:p>
    <w:p>
      <w:pPr>
        <w:ind w:right="80" w:firstLine="432"/>
        <w:spacing w:after="0" w:line="303" w:lineRule="auto"/>
        <w:rPr>
          <w:sz w:val="20"/>
          <w:szCs w:val="20"/>
          <w:color w:val="auto"/>
        </w:rPr>
      </w:pPr>
      <w:r>
        <w:rPr>
          <w:rFonts w:ascii="Arial" w:cs="Arial" w:eastAsia="Arial" w:hAnsi="Arial"/>
          <w:sz w:val="16"/>
          <w:szCs w:val="16"/>
          <w:color w:val="auto"/>
        </w:rPr>
        <w:t xml:space="preserve">11.03 </w:t>
      </w:r>
      <w:r>
        <w:rPr>
          <w:rFonts w:ascii="Arial" w:cs="Arial" w:eastAsia="Arial" w:hAnsi="Arial"/>
          <w:sz w:val="16"/>
          <w:szCs w:val="16"/>
          <w:b w:val="1"/>
          <w:bCs w:val="1"/>
          <w:color w:val="auto"/>
        </w:rPr>
        <w:t>No Waiver; Cumulative Remedies; Enforcement.</w:t>
      </w:r>
      <w:r>
        <w:rPr>
          <w:rFonts w:ascii="Arial" w:cs="Arial" w:eastAsia="Arial" w:hAnsi="Arial"/>
          <w:sz w:val="16"/>
          <w:szCs w:val="16"/>
          <w:color w:val="auto"/>
        </w:rPr>
        <w:t xml:space="preserve"> No failure by any Lender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0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Borrower or any Subsidiary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L/C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L/C Issuer) hereunder and under the other Loan Documents, (c) any Lender from exercising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(d) any Lender from filing proofs of claim or appearing and filing pleadings on its own behalf during the pendency of a proceeding relative to the Borrower or any Subsidiary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882" w:right="259" w:bottom="1440" w:gutter="0" w:footer="0" w:header="0"/>
        </w:sectPr>
      </w:pPr>
    </w:p>
    <w:bookmarkStart w:id="168" w:name="page169"/>
    <w:bookmarkEnd w:id="168"/>
    <w:p>
      <w:pPr>
        <w:ind w:left="432"/>
        <w:spacing w:after="0"/>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b w:val="1"/>
          <w:bCs w:val="1"/>
          <w:color w:val="auto"/>
        </w:rPr>
        <w:t>Expenses; Indemnity; Damage Waiver.</w:t>
      </w:r>
    </w:p>
    <w:p>
      <w:pPr>
        <w:spacing w:after="0" w:line="94" w:lineRule="exact"/>
        <w:rPr>
          <w:sz w:val="20"/>
          <w:szCs w:val="20"/>
          <w:color w:val="auto"/>
        </w:rPr>
      </w:pPr>
    </w:p>
    <w:p>
      <w:pPr>
        <w:ind w:left="-8" w:right="20" w:firstLine="440"/>
        <w:spacing w:after="0" w:line="270" w:lineRule="auto"/>
        <w:tabs>
          <w:tab w:leader="none" w:pos="669"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 of pocket expenses incurred by the Administrative Agent and its Affiliates (including the reasonable fees, charges and disbursements of one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L/C Issuer in connection with the issuance, amendment, renewal or extension of any Letter of Credit or any demand for payment thereunder and (iii) all out of 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42" w:lineRule="exact"/>
        <w:rPr>
          <w:rFonts w:ascii="Arial" w:cs="Arial" w:eastAsia="Arial" w:hAnsi="Arial"/>
          <w:sz w:val="17"/>
          <w:szCs w:val="17"/>
          <w:color w:val="auto"/>
        </w:rPr>
      </w:pPr>
    </w:p>
    <w:p>
      <w:pPr>
        <w:ind w:left="-8" w:firstLine="440"/>
        <w:spacing w:after="0" w:line="282" w:lineRule="auto"/>
        <w:tabs>
          <w:tab w:leader="none" w:pos="679"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Except with respect to Taxes, which are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hereof, the Borrower shall indemnify the Administrative Agent (and any sub-agent thereof), each Lender, each L/C Issuer and the Swing Line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penalties, liabilities and related expenses (including the fees, charges and disbursements of any counsel for any Indemnitee), incurred by any Indemnitee or asserted against any Indemnitee by any third party or any Loan Party or any Subsidiary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a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Loan Party or Subsidiary, or any Environmental Liability related in any way to any Loan Party or Subsidiary, or (iv) any actual or prospective claim, litigation, investigation or proceeding relating to any of the foregoing, whether based on contract, tort or any other theory, whether brought by a third party or by a Loan Party or Subsidiary, and regardless of whether any Indemnitee is a party thereto, </w:t>
      </w:r>
      <w:r>
        <w:rPr>
          <w:rFonts w:ascii="Arial" w:cs="Arial" w:eastAsia="Arial" w:hAnsi="Arial"/>
          <w:sz w:val="16"/>
          <w:szCs w:val="16"/>
          <w:b w:val="1"/>
          <w:bCs w:val="1"/>
          <w:color w:val="auto"/>
        </w:rPr>
        <w:t>IN ALL CASES, WHETHER OR NOT CAUSED BY OR ARISING, IN</w:t>
      </w:r>
      <w:r>
        <w:rPr>
          <w:rFonts w:ascii="Arial" w:cs="Arial" w:eastAsia="Arial" w:hAnsi="Arial"/>
          <w:sz w:val="16"/>
          <w:szCs w:val="16"/>
          <w:color w:val="auto"/>
        </w:rPr>
        <w:t xml:space="preserve"> </w:t>
      </w:r>
      <w:r>
        <w:rPr>
          <w:rFonts w:ascii="Arial" w:cs="Arial" w:eastAsia="Arial" w:hAnsi="Arial"/>
          <w:sz w:val="16"/>
          <w:szCs w:val="16"/>
          <w:b w:val="1"/>
          <w:bCs w:val="1"/>
          <w:color w:val="auto"/>
        </w:rPr>
        <w:t>WHOLE OR IN PART, OUT OF THE COMPARATIVE, CONTRIBUTORY OR SOLE NEGLIGENCE OF THE INDEMNITEE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w:t>
      </w:r>
    </w:p>
    <w:p>
      <w:pPr>
        <w:spacing w:after="0" w:line="12" w:lineRule="exact"/>
        <w:rPr>
          <w:rFonts w:ascii="Arial" w:cs="Arial" w:eastAsia="Arial" w:hAnsi="Arial"/>
          <w:sz w:val="16"/>
          <w:szCs w:val="16"/>
          <w:color w:val="auto"/>
        </w:rPr>
      </w:pPr>
    </w:p>
    <w:p>
      <w:pPr>
        <w:ind w:left="-8" w:right="60" w:firstLine="8"/>
        <w:spacing w:after="0" w:line="255" w:lineRule="auto"/>
        <w:tabs>
          <w:tab w:leader="none" w:pos="2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result from a claim brought by a Loan Party or any Subsidiary against an Indemnitee for breach in bad faith of such Indemnitee’s obligations hereunder or under any other Loan Document, if such Loan Party or such Subsidiary has obtained a final and nonappealable judgment in its favor on such claim as determined by a court of competent jurisdiction.</w:t>
      </w:r>
    </w:p>
    <w:p>
      <w:pPr>
        <w:spacing w:after="0" w:line="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12"/>
          </w:cols>
          <w:pgMar w:left="248" w:top="959" w:right="239" w:bottom="1440" w:gutter="0" w:footer="0" w:header="0"/>
        </w:sectPr>
      </w:pPr>
    </w:p>
    <w:bookmarkStart w:id="169" w:name="page170"/>
    <w:bookmarkEnd w:id="169"/>
    <w:p>
      <w:pPr>
        <w:ind w:left="672" w:hanging="240"/>
        <w:spacing w:after="0"/>
        <w:tabs>
          <w:tab w:leader="none" w:pos="672"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left="-8" w:firstLine="8"/>
        <w:spacing w:after="0" w:line="288" w:lineRule="auto"/>
        <w:tabs>
          <w:tab w:leader="none" w:pos="247" w:val="left"/>
        </w:tabs>
        <w:numPr>
          <w:ilvl w:val="0"/>
          <w:numId w:val="174"/>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Section to be paid 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2.12(e)</w:t>
      </w:r>
      <w:r>
        <w:rPr>
          <w:rFonts w:ascii="Arial" w:cs="Arial" w:eastAsia="Arial" w:hAnsi="Arial"/>
          <w:sz w:val="16"/>
          <w:szCs w:val="16"/>
          <w:color w:val="auto"/>
        </w:rPr>
        <w:t>.</w:t>
      </w:r>
    </w:p>
    <w:p>
      <w:pPr>
        <w:spacing w:after="0" w:line="33" w:lineRule="exact"/>
        <w:rPr>
          <w:rFonts w:ascii="Arial" w:cs="Arial" w:eastAsia="Arial" w:hAnsi="Arial"/>
          <w:sz w:val="16"/>
          <w:szCs w:val="16"/>
          <w:u w:val="single" w:color="auto"/>
          <w:color w:val="auto"/>
        </w:rPr>
      </w:pPr>
    </w:p>
    <w:p>
      <w:pPr>
        <w:jc w:val="both"/>
        <w:ind w:left="-8" w:firstLine="440"/>
        <w:spacing w:after="0" w:line="286" w:lineRule="auto"/>
        <w:tabs>
          <w:tab w:leader="none" w:pos="679"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6"/>
          <w:szCs w:val="16"/>
          <w:u w:val="single" w:color="auto"/>
          <w:color w:val="auto"/>
        </w:rPr>
        <w:t>subsection</w:t>
      </w:r>
    </w:p>
    <w:p>
      <w:pPr>
        <w:spacing w:after="0" w:line="1" w:lineRule="exact"/>
        <w:rPr>
          <w:rFonts w:ascii="Arial" w:cs="Arial" w:eastAsia="Arial" w:hAnsi="Arial"/>
          <w:sz w:val="16"/>
          <w:szCs w:val="16"/>
          <w:color w:val="auto"/>
        </w:rPr>
      </w:pPr>
    </w:p>
    <w:p>
      <w:pPr>
        <w:ind w:left="-8" w:right="180" w:firstLine="8"/>
        <w:spacing w:after="0" w:line="295" w:lineRule="auto"/>
        <w:tabs>
          <w:tab w:leader="none" w:pos="247" w:val="left"/>
        </w:tabs>
        <w:numPr>
          <w:ilvl w:val="0"/>
          <w:numId w:val="175"/>
        </w:numPr>
        <w:rPr>
          <w:rFonts w:ascii="Arial" w:cs="Arial" w:eastAsia="Arial" w:hAnsi="Arial"/>
          <w:sz w:val="16"/>
          <w:szCs w:val="16"/>
          <w:u w:val="single" w:color="auto"/>
          <w:color w:val="auto"/>
        </w:rPr>
      </w:pPr>
      <w:r>
        <w:rPr>
          <w:rFonts w:ascii="Arial" w:cs="Arial" w:eastAsia="Arial" w:hAnsi="Arial"/>
          <w:sz w:val="16"/>
          <w:szCs w:val="16"/>
          <w:color w:val="auto"/>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26" w:lineRule="exact"/>
        <w:rPr>
          <w:rFonts w:ascii="Arial" w:cs="Arial" w:eastAsia="Arial" w:hAnsi="Arial"/>
          <w:sz w:val="16"/>
          <w:szCs w:val="16"/>
          <w:u w:val="single" w:color="auto"/>
          <w:color w:val="auto"/>
        </w:rPr>
      </w:pPr>
    </w:p>
    <w:p>
      <w:pPr>
        <w:ind w:left="672" w:hanging="240"/>
        <w:spacing w:after="0"/>
        <w:tabs>
          <w:tab w:leader="none" w:pos="672"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90" w:lineRule="exact"/>
        <w:rPr>
          <w:rFonts w:ascii="Arial" w:cs="Arial" w:eastAsia="Arial" w:hAnsi="Arial"/>
          <w:sz w:val="18"/>
          <w:szCs w:val="18"/>
          <w:color w:val="auto"/>
        </w:rPr>
      </w:pPr>
    </w:p>
    <w:p>
      <w:pPr>
        <w:ind w:left="-8" w:right="520" w:firstLine="440"/>
        <w:spacing w:after="0" w:line="308" w:lineRule="auto"/>
        <w:tabs>
          <w:tab w:leader="none" w:pos="649"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agreements in this Section shall survive the resignation of the Administrative Agent and any L/C Issuer, the replacement of any Lender, the termination of the Aggregate Commitments and the repayment, satisfaction or discharge of the Obligations.</w:t>
      </w:r>
    </w:p>
    <w:p>
      <w:pPr>
        <w:spacing w:after="0" w:line="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72"/>
          </w:cols>
          <w:pgMar w:left="248" w:top="881" w:right="279" w:bottom="1440" w:gutter="0" w:footer="0" w:header="0"/>
        </w:sectPr>
      </w:pPr>
    </w:p>
    <w:bookmarkStart w:id="170" w:name="page171"/>
    <w:bookmarkEnd w:id="170"/>
    <w:p>
      <w:pPr>
        <w:ind w:right="20" w:firstLine="432"/>
        <w:spacing w:after="0" w:line="291" w:lineRule="auto"/>
        <w:rPr>
          <w:sz w:val="20"/>
          <w:szCs w:val="20"/>
          <w:color w:val="auto"/>
        </w:rPr>
      </w:pPr>
      <w:r>
        <w:rPr>
          <w:rFonts w:ascii="Arial" w:cs="Arial" w:eastAsia="Arial" w:hAnsi="Arial"/>
          <w:sz w:val="16"/>
          <w:szCs w:val="16"/>
          <w:color w:val="auto"/>
        </w:rPr>
        <w:t xml:space="preserve">11.05 </w:t>
      </w:r>
      <w:r>
        <w:rPr>
          <w:rFonts w:ascii="Arial" w:cs="Arial" w:eastAsia="Arial" w:hAnsi="Arial"/>
          <w:sz w:val="16"/>
          <w:szCs w:val="16"/>
          <w:b w:val="1"/>
          <w:bCs w:val="1"/>
          <w:color w:val="auto"/>
        </w:rPr>
        <w:t>Payments Set Aside.</w:t>
      </w:r>
      <w:r>
        <w:rPr>
          <w:rFonts w:ascii="Arial" w:cs="Arial" w:eastAsia="Arial" w:hAnsi="Arial"/>
          <w:sz w:val="16"/>
          <w:szCs w:val="16"/>
          <w:color w:val="auto"/>
        </w:rPr>
        <w:t xml:space="preserve"> 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plus interest thereon from the date of such demand to the date such payment is made at a rate per annum equal to the Federal Funds Rate from time to time in effect.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b w:val="1"/>
          <w:bCs w:val="1"/>
          <w:color w:val="auto"/>
        </w:rPr>
        <w:t>Successors and Assigns.</w:t>
      </w:r>
    </w:p>
    <w:p>
      <w:pPr>
        <w:spacing w:after="0" w:line="94" w:lineRule="exact"/>
        <w:rPr>
          <w:sz w:val="20"/>
          <w:szCs w:val="20"/>
          <w:color w:val="auto"/>
        </w:rPr>
      </w:pPr>
    </w:p>
    <w:p>
      <w:pPr>
        <w:ind w:right="60" w:firstLine="440"/>
        <w:spacing w:after="0" w:line="270" w:lineRule="auto"/>
        <w:tabs>
          <w:tab w:leader="none" w:pos="677"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(ii) by way of participation in accordance with the provisions of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or (iii) by way of pledge or assignment of a security interest subject to the restrictions of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and, to the extent expressly contemplated hereby, the Indemnitees) any legal or equitable right, remedy or claim under or by reason of this Agreement.</w:t>
      </w:r>
    </w:p>
    <w:p>
      <w:pPr>
        <w:spacing w:after="0" w:line="46" w:lineRule="exact"/>
        <w:rPr>
          <w:rFonts w:ascii="Arial" w:cs="Arial" w:eastAsia="Arial" w:hAnsi="Arial"/>
          <w:sz w:val="17"/>
          <w:szCs w:val="17"/>
          <w:color w:val="auto"/>
        </w:rPr>
      </w:pPr>
    </w:p>
    <w:p>
      <w:pPr>
        <w:ind w:firstLine="440"/>
        <w:spacing w:after="0" w:line="264" w:lineRule="auto"/>
        <w:tabs>
          <w:tab w:leader="none" w:pos="687"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participations in L/C Obligations)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46" w:lineRule="exact"/>
        <w:rPr>
          <w:rFonts w:ascii="Arial" w:cs="Arial" w:eastAsia="Arial" w:hAnsi="Arial"/>
          <w:sz w:val="18"/>
          <w:szCs w:val="18"/>
          <w:color w:val="auto"/>
        </w:rPr>
      </w:pPr>
    </w:p>
    <w:p>
      <w:pPr>
        <w:ind w:left="1100" w:hanging="214"/>
        <w:spacing w:after="0"/>
        <w:tabs>
          <w:tab w:leader="none" w:pos="1100"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1318"/>
        <w:spacing w:after="0" w:line="308" w:lineRule="auto"/>
        <w:tabs>
          <w:tab w:leader="none" w:pos="1605" w:val="left"/>
        </w:tabs>
        <w:numPr>
          <w:ilvl w:val="2"/>
          <w:numId w:val="176"/>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1" w:lineRule="exact"/>
        <w:rPr>
          <w:rFonts w:ascii="Arial" w:cs="Arial" w:eastAsia="Arial" w:hAnsi="Arial"/>
          <w:sz w:val="17"/>
          <w:szCs w:val="17"/>
          <w:color w:val="auto"/>
        </w:rPr>
      </w:pPr>
    </w:p>
    <w:p>
      <w:pPr>
        <w:ind w:right="220" w:firstLine="1318"/>
        <w:spacing w:after="0" w:line="302" w:lineRule="auto"/>
        <w:tabs>
          <w:tab w:leader="none" w:pos="1595" w:val="left"/>
        </w:tabs>
        <w:numPr>
          <w:ilvl w:val="2"/>
          <w:numId w:val="176"/>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Section 11.06(b)(i)(A)</w:t>
      </w:r>
      <w:r>
        <w:rPr>
          <w:rFonts w:ascii="Arial" w:cs="Arial" w:eastAsia="Arial" w:hAnsi="Arial"/>
          <w:sz w:val="16"/>
          <w:szCs w:val="16"/>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878" w:right="239" w:bottom="1440" w:gutter="0" w:footer="0" w:header="0"/>
        </w:sectPr>
      </w:pPr>
    </w:p>
    <w:bookmarkStart w:id="171" w:name="page172"/>
    <w:bookmarkEnd w:id="171"/>
    <w:p>
      <w:pPr>
        <w:ind w:right="200" w:firstLine="878"/>
        <w:spacing w:after="0" w:line="276" w:lineRule="auto"/>
        <w:rPr>
          <w:sz w:val="20"/>
          <w:szCs w:val="20"/>
          <w:color w:val="auto"/>
        </w:rPr>
      </w:pPr>
      <w:r>
        <w:rPr>
          <w:rFonts w:ascii="Arial" w:cs="Arial" w:eastAsia="Arial" w:hAnsi="Arial"/>
          <w:sz w:val="17"/>
          <w:szCs w:val="17"/>
          <w:color w:val="auto"/>
        </w:rPr>
        <w:t xml:space="preserve">Agent and, so long as no Event of Default has occurred and is continuing, the Borrower otherwise consents (each such consent not to be unreasonably withheld or delayed and such consent of the Borrower being deemed to have been given by the Borrower unless it objects thereto within five Business Days after having received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37" w:lineRule="exact"/>
        <w:rPr>
          <w:sz w:val="20"/>
          <w:szCs w:val="20"/>
          <w:color w:val="auto"/>
        </w:rPr>
      </w:pPr>
    </w:p>
    <w:p>
      <w:pPr>
        <w:ind w:right="220" w:firstLine="886"/>
        <w:spacing w:after="0" w:line="277" w:lineRule="auto"/>
        <w:tabs>
          <w:tab w:leader="none" w:pos="114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35" w:lineRule="exact"/>
        <w:rPr>
          <w:rFonts w:ascii="Arial" w:cs="Arial" w:eastAsia="Arial" w:hAnsi="Arial"/>
          <w:sz w:val="18"/>
          <w:szCs w:val="18"/>
          <w:color w:val="auto"/>
        </w:rPr>
      </w:pPr>
    </w:p>
    <w:p>
      <w:pPr>
        <w:ind w:left="1200" w:hanging="314"/>
        <w:spacing w:after="0"/>
        <w:tabs>
          <w:tab w:leader="none" w:pos="120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consent shall be required for any assignment except to the extent required by </w:t>
      </w:r>
      <w:r>
        <w:rPr>
          <w:rFonts w:ascii="Arial" w:cs="Arial" w:eastAsia="Arial" w:hAnsi="Arial"/>
          <w:sz w:val="16"/>
          <w:szCs w:val="16"/>
          <w:u w:val="single" w:color="auto"/>
          <w:color w:val="auto"/>
        </w:rPr>
        <w:t>Section 11.06(b)(i)(B)</w:t>
      </w:r>
      <w:r>
        <w:rPr>
          <w:rFonts w:ascii="Arial" w:cs="Arial" w:eastAsia="Arial" w:hAnsi="Arial"/>
          <w:sz w:val="16"/>
          <w:szCs w:val="16"/>
          <w:color w:val="auto"/>
        </w:rPr>
        <w:t xml:space="preserve"> and, in addition:</w:t>
      </w:r>
    </w:p>
    <w:p>
      <w:pPr>
        <w:spacing w:after="0" w:line="113" w:lineRule="exact"/>
        <w:rPr>
          <w:rFonts w:ascii="Arial" w:cs="Arial" w:eastAsia="Arial" w:hAnsi="Arial"/>
          <w:sz w:val="16"/>
          <w:szCs w:val="16"/>
          <w:color w:val="auto"/>
        </w:rPr>
      </w:pPr>
    </w:p>
    <w:p>
      <w:pPr>
        <w:ind w:right="20" w:firstLine="1318"/>
        <w:spacing w:after="0" w:line="259" w:lineRule="auto"/>
        <w:tabs>
          <w:tab w:leader="none" w:pos="160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and such consent of the Borrower being deemed to have been given by the Borrower unless it objects thereto within five Business Days after having received notice thereof) shall be required unless (1) an Event of Default has occurred and is continuing at the time of such assignment or (2) such assignment is to a Lender, an Affiliate of a Lender or an Approved Fund;</w:t>
      </w:r>
    </w:p>
    <w:p>
      <w:pPr>
        <w:spacing w:after="0" w:line="51" w:lineRule="exact"/>
        <w:rPr>
          <w:rFonts w:ascii="Arial" w:cs="Arial" w:eastAsia="Arial" w:hAnsi="Arial"/>
          <w:sz w:val="18"/>
          <w:szCs w:val="18"/>
          <w:color w:val="auto"/>
        </w:rPr>
      </w:pPr>
    </w:p>
    <w:p>
      <w:pPr>
        <w:ind w:firstLine="1318"/>
        <w:spacing w:after="0" w:line="277" w:lineRule="auto"/>
        <w:tabs>
          <w:tab w:leader="none" w:pos="159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 and</w:t>
      </w:r>
    </w:p>
    <w:p>
      <w:pPr>
        <w:spacing w:after="0" w:line="35" w:lineRule="exact"/>
        <w:rPr>
          <w:rFonts w:ascii="Arial" w:cs="Arial" w:eastAsia="Arial" w:hAnsi="Arial"/>
          <w:sz w:val="18"/>
          <w:szCs w:val="18"/>
          <w:color w:val="auto"/>
        </w:rPr>
      </w:pPr>
    </w:p>
    <w:p>
      <w:pPr>
        <w:ind w:right="340" w:firstLine="1318"/>
        <w:spacing w:after="0" w:line="277" w:lineRule="auto"/>
        <w:tabs>
          <w:tab w:leader="none" w:pos="159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consent of each L/C Issuer and the Swing Line Lender (each such consent not to be unreasonably withheld or delayed) shall be required for any assignment.</w:t>
      </w:r>
    </w:p>
    <w:p>
      <w:pPr>
        <w:spacing w:after="0" w:line="35" w:lineRule="exact"/>
        <w:rPr>
          <w:rFonts w:ascii="Arial" w:cs="Arial" w:eastAsia="Arial" w:hAnsi="Arial"/>
          <w:sz w:val="18"/>
          <w:szCs w:val="18"/>
          <w:color w:val="auto"/>
        </w:rPr>
      </w:pPr>
    </w:p>
    <w:p>
      <w:pPr>
        <w:jc w:val="both"/>
        <w:ind w:right="460" w:firstLine="886"/>
        <w:spacing w:after="0" w:line="259" w:lineRule="auto"/>
        <w:tabs>
          <w:tab w:leader="none" w:pos="118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51" w:lineRule="exact"/>
        <w:rPr>
          <w:rFonts w:ascii="Arial" w:cs="Arial" w:eastAsia="Arial" w:hAnsi="Arial"/>
          <w:sz w:val="18"/>
          <w:szCs w:val="18"/>
          <w:color w:val="auto"/>
        </w:rPr>
      </w:pPr>
    </w:p>
    <w:p>
      <w:pPr>
        <w:ind w:right="20" w:firstLine="886"/>
        <w:spacing w:after="0" w:line="264" w:lineRule="auto"/>
        <w:tabs>
          <w:tab w:leader="none" w:pos="113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to (A) the Borrower or any of the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46" w:lineRule="exact"/>
        <w:rPr>
          <w:rFonts w:ascii="Arial" w:cs="Arial" w:eastAsia="Arial" w:hAnsi="Arial"/>
          <w:sz w:val="18"/>
          <w:szCs w:val="18"/>
          <w:color w:val="auto"/>
        </w:rPr>
      </w:pPr>
    </w:p>
    <w:p>
      <w:pPr>
        <w:ind w:left="1200" w:hanging="314"/>
        <w:spacing w:after="0"/>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90" w:lineRule="exact"/>
        <w:rPr>
          <w:rFonts w:ascii="Arial" w:cs="Arial" w:eastAsia="Arial" w:hAnsi="Arial"/>
          <w:sz w:val="18"/>
          <w:szCs w:val="18"/>
          <w:color w:val="auto"/>
        </w:rPr>
      </w:pPr>
    </w:p>
    <w:p>
      <w:pPr>
        <w:ind w:firstLine="886"/>
        <w:spacing w:after="0" w:line="259" w:lineRule="auto"/>
        <w:tabs>
          <w:tab w:leader="none" w:pos="123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881" w:right="299" w:bottom="1440" w:gutter="0" w:footer="0" w:header="0"/>
        </w:sectPr>
      </w:pPr>
    </w:p>
    <w:bookmarkStart w:id="172" w:name="page173"/>
    <w:bookmarkEnd w:id="172"/>
    <w:p>
      <w:pPr>
        <w:ind w:right="140" w:firstLine="432"/>
        <w:spacing w:after="0" w:line="271" w:lineRule="auto"/>
        <w:rPr>
          <w:sz w:val="20"/>
          <w:szCs w:val="20"/>
          <w:color w:val="auto"/>
        </w:rPr>
      </w:pPr>
      <w:r>
        <w:rPr>
          <w:rFonts w:ascii="Arial" w:cs="Arial" w:eastAsia="Arial" w:hAnsi="Arial"/>
          <w:sz w:val="17"/>
          <w:szCs w:val="17"/>
          <w:color w:val="auto"/>
        </w:rPr>
        <w:t>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Issuers, the Swing Line Lender and each other Lender hereunder (and interest accrued thereon), and (B)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w:t>
      </w:r>
    </w:p>
    <w:p>
      <w:pPr>
        <w:spacing w:after="0" w:line="48" w:lineRule="exact"/>
        <w:rPr>
          <w:sz w:val="20"/>
          <w:szCs w:val="20"/>
          <w:color w:val="auto"/>
        </w:rPr>
      </w:pPr>
    </w:p>
    <w:p>
      <w:pPr>
        <w:ind w:right="40" w:firstLine="440"/>
        <w:spacing w:after="0" w:line="255" w:lineRule="auto"/>
        <w:tabs>
          <w:tab w:leader="none" w:pos="67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 shall maintain at one of its offices in Charlotte, North Carolina,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54" w:lineRule="exact"/>
        <w:rPr>
          <w:rFonts w:ascii="Arial" w:cs="Arial" w:eastAsia="Arial" w:hAnsi="Arial"/>
          <w:sz w:val="18"/>
          <w:szCs w:val="18"/>
          <w:color w:val="auto"/>
        </w:rPr>
      </w:pPr>
    </w:p>
    <w:p>
      <w:pPr>
        <w:ind w:firstLine="440"/>
        <w:spacing w:after="0" w:line="255" w:lineRule="auto"/>
        <w:tabs>
          <w:tab w:leader="none" w:pos="68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the Administrative Agent, the L/C Issuers or the Swing Line Lender, sell participations to any Person (other than a natural person or the Borrower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882" w:right="259" w:bottom="1440" w:gutter="0" w:footer="0" w:header="0"/>
        </w:sectPr>
      </w:pPr>
    </w:p>
    <w:bookmarkStart w:id="173" w:name="page174"/>
    <w:bookmarkEnd w:id="173"/>
    <w:p>
      <w:pPr>
        <w:ind w:right="100" w:firstLine="432"/>
        <w:spacing w:after="0" w:line="254"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that affects such Participant. Subject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w:t>
      </w:r>
    </w:p>
    <w:p>
      <w:pPr>
        <w:spacing w:after="0" w:line="57" w:lineRule="exact"/>
        <w:rPr>
          <w:sz w:val="20"/>
          <w:szCs w:val="20"/>
          <w:color w:val="auto"/>
        </w:rPr>
      </w:pPr>
    </w:p>
    <w:p>
      <w:pPr>
        <w:ind w:right="20" w:firstLine="440"/>
        <w:spacing w:after="0" w:line="257" w:lineRule="auto"/>
        <w:tabs>
          <w:tab w:leader="none" w:pos="67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as though it were a Lender.</w:t>
      </w:r>
    </w:p>
    <w:p>
      <w:pPr>
        <w:spacing w:after="0" w:line="53" w:lineRule="exact"/>
        <w:rPr>
          <w:rFonts w:ascii="Arial" w:cs="Arial" w:eastAsia="Arial" w:hAnsi="Arial"/>
          <w:sz w:val="18"/>
          <w:szCs w:val="18"/>
          <w:color w:val="auto"/>
        </w:rPr>
      </w:pPr>
    </w:p>
    <w:p>
      <w:pPr>
        <w:ind w:firstLine="440"/>
        <w:spacing w:after="0" w:line="289" w:lineRule="auto"/>
        <w:tabs>
          <w:tab w:leader="none" w:pos="657"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Participant Register</w:t>
      </w:r>
      <w:r>
        <w:rPr>
          <w:rFonts w:ascii="Arial" w:cs="Arial" w:eastAsia="Arial" w:hAnsi="Arial"/>
          <w:sz w:val="16"/>
          <w:szCs w:val="16"/>
          <w:color w:val="auto"/>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1" w:lineRule="exact"/>
        <w:rPr>
          <w:rFonts w:ascii="Arial" w:cs="Arial" w:eastAsia="Arial" w:hAnsi="Arial"/>
          <w:sz w:val="16"/>
          <w:szCs w:val="16"/>
          <w:color w:val="auto"/>
        </w:rPr>
      </w:pPr>
    </w:p>
    <w:p>
      <w:pPr>
        <w:ind w:right="120" w:firstLine="440"/>
        <w:spacing w:after="0" w:line="259" w:lineRule="auto"/>
        <w:tabs>
          <w:tab w:leader="none" w:pos="68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51" w:lineRule="exact"/>
        <w:rPr>
          <w:rFonts w:ascii="Arial" w:cs="Arial" w:eastAsia="Arial" w:hAnsi="Arial"/>
          <w:sz w:val="18"/>
          <w:szCs w:val="18"/>
          <w:color w:val="auto"/>
        </w:rPr>
      </w:pPr>
    </w:p>
    <w:p>
      <w:pPr>
        <w:ind w:left="700" w:hanging="260"/>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As used herein, the following terms have the following meanings:</w:t>
      </w:r>
    </w:p>
    <w:p>
      <w:pPr>
        <w:spacing w:after="0" w:line="90" w:lineRule="exact"/>
        <w:rPr>
          <w:sz w:val="20"/>
          <w:szCs w:val="20"/>
          <w:color w:val="auto"/>
        </w:rPr>
      </w:pPr>
    </w:p>
    <w:p>
      <w:pPr>
        <w:ind w:right="6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a Lender; (b) an Affiliate of a Lender; (c) an Approved Fund; and (d) any other Person (other than a natural person) approved by (i) the Administrative Agent and each L/C Issuer, and (ii) unless an Event of Default has occurred and is continuing, the Borrower (each such approval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“Eligible Assignee” shall not include the Borrower or any of the Borrower’s Affiliates or Subsidiaries.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882" w:right="259" w:bottom="1440" w:gutter="0" w:footer="0" w:header="0"/>
        </w:sectPr>
      </w:pPr>
    </w:p>
    <w:bookmarkStart w:id="174" w:name="page175"/>
    <w:bookmarkEnd w:id="174"/>
    <w:p>
      <w:pPr>
        <w:ind w:right="46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35" w:lineRule="exact"/>
        <w:rPr>
          <w:sz w:val="20"/>
          <w:szCs w:val="20"/>
          <w:color w:val="auto"/>
        </w:rPr>
      </w:pPr>
    </w:p>
    <w:p>
      <w:pPr>
        <w:ind w:right="1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16" w:lineRule="exact"/>
        <w:rPr>
          <w:sz w:val="20"/>
          <w:szCs w:val="20"/>
          <w:color w:val="auto"/>
        </w:rPr>
      </w:pPr>
    </w:p>
    <w:p>
      <w:pPr>
        <w:ind w:firstLine="440"/>
        <w:spacing w:after="0" w:line="269" w:lineRule="auto"/>
        <w:tabs>
          <w:tab w:leader="none" w:pos="647"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and Swing Line Lender after Assignment</w:t>
      </w:r>
      <w:r>
        <w:rPr>
          <w:rFonts w:ascii="Arial" w:cs="Arial" w:eastAsia="Arial" w:hAnsi="Arial"/>
          <w:sz w:val="17"/>
          <w:szCs w:val="17"/>
          <w:color w:val="auto"/>
        </w:rPr>
        <w:t xml:space="preserve">. Notwithstanding anything to the contrary contained herein, if at any time Wells Fargo Bank assigns all of its Commitment and Loans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Wells Fargo Bank may, upon 30 days’ notice to the Borrower and the Lenders, resign as L/C Issuer and Swing Line Lender. In the event of any such resignation as L/C Issuer and Swing Line Lender, the Borrower shall be entitled to appoint from among the Lenders a successor L/C Issuer and Swing Line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failure by the Borrower to appoint any such successor shall affect the resignation of Wells Fargo Bank as L/C Issuer and Swing Line Lender. If Wells Fargo Bank resigns as L/C Issuer and Swing Line Lender, it shall retain all the rights, powers, privileges and duties of a L/C Issuer and Swing Line Lender hereunder with respect to all Letters of Credit and Swing Line Loans outstanding as of the effective date of its resignation as L/C Issuer and Swing Line Lender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2.04</w:t>
      </w:r>
      <w:r>
        <w:rPr>
          <w:rFonts w:ascii="Arial" w:cs="Arial" w:eastAsia="Arial" w:hAnsi="Arial"/>
          <w:sz w:val="17"/>
          <w:szCs w:val="17"/>
          <w:color w:val="auto"/>
        </w:rPr>
        <w:t>). Upon the appointment of a successor L/C Issuer and Swing Line Lender, (a) such successor shall succeed to and become vested with all of the rights, powers, privileges and obligations of the retiring L/C Issuer and Swing Line Lender and (b) the successor L/C Issuer shall issue letters of credit in substitution for the Letters of Credit, if any, outstanding at the time of such succession or make other arrangements satisfactory to Wells Fargo Bank to effectively assume the obligations of Wells Fargo Bank with respect to such Letters of Credit.</w:t>
      </w:r>
    </w:p>
    <w:p>
      <w:pPr>
        <w:spacing w:after="0" w:line="122"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 xml:space="preserve">11.07 </w:t>
      </w:r>
      <w:r>
        <w:rPr>
          <w:rFonts w:ascii="Arial" w:cs="Arial" w:eastAsia="Arial" w:hAnsi="Arial"/>
          <w:sz w:val="16"/>
          <w:szCs w:val="16"/>
          <w:b w:val="1"/>
          <w:bCs w:val="1"/>
          <w:color w:val="auto"/>
        </w:rPr>
        <w:t>Confidentiality.</w:t>
      </w:r>
      <w:r>
        <w:rPr>
          <w:rFonts w:ascii="Arial" w:cs="Arial" w:eastAsia="Arial" w:hAnsi="Arial"/>
          <w:sz w:val="16"/>
          <w:szCs w:val="16"/>
          <w:color w:val="auto"/>
        </w:rPr>
        <w:t xml:space="preserve"> Each of the Administrative Agent and the Lenders agrees to maintain the confidentiality of the Information (as defined below), except that Information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w:t>
      </w:r>
    </w:p>
    <w:p>
      <w:pPr>
        <w:spacing w:after="0" w:line="5" w:lineRule="exact"/>
        <w:rPr>
          <w:sz w:val="20"/>
          <w:szCs w:val="20"/>
          <w:color w:val="auto"/>
        </w:rPr>
      </w:pPr>
    </w:p>
    <w:p>
      <w:pPr>
        <w:ind w:right="100" w:firstLine="8"/>
        <w:spacing w:after="0" w:line="252" w:lineRule="auto"/>
        <w:tabs>
          <w:tab w:leader="none" w:pos="2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Related Parties) to any swap, derivative or other agreement under which payments are to be made by reference to the Borrower or any Subsidiary and its or their obligations, this Agreement, or payments hereunder, (g) with the consent of the Borrower, (h) on a confidential basis to (x) any rating agency in connection with rating the Parent Guarantor or its Subsidiaries or the credit facility provided hereunder, or (y) the CUSIP Service Bureau or any similar agency in connection with the issuance and monitoring of CUSIP numbers with respect to the credit facility provided hereunder, or (i) to the extent such Information (x) becomes publicly available other than as a result of a breach of this Section or (y) becomes available to the Administrative Agent or any Lender on a nonconfidential basis from a source other than the Borrower.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882" w:right="259" w:bottom="1440" w:gutter="0" w:footer="0" w:header="0"/>
        </w:sectPr>
      </w:pPr>
    </w:p>
    <w:bookmarkStart w:id="175" w:name="page176"/>
    <w:bookmarkEnd w:id="175"/>
    <w:p>
      <w:pPr>
        <w:ind w:firstLine="432"/>
        <w:spacing w:after="0" w:line="273"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the Borrower or any of its Subsidiaries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4"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89"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 xml:space="preserve">11.08 </w:t>
      </w:r>
      <w:r>
        <w:rPr>
          <w:rFonts w:ascii="Arial" w:cs="Arial" w:eastAsia="Arial" w:hAnsi="Arial"/>
          <w:sz w:val="16"/>
          <w:szCs w:val="16"/>
          <w:b w:val="1"/>
          <w:bCs w:val="1"/>
          <w:color w:val="auto"/>
        </w:rPr>
        <w:t>Set-off.</w:t>
      </w:r>
      <w:r>
        <w:rPr>
          <w:rFonts w:ascii="Arial" w:cs="Arial" w:eastAsia="Arial" w:hAnsi="Arial"/>
          <w:sz w:val="16"/>
          <w:szCs w:val="16"/>
          <w:color w:val="auto"/>
        </w:rPr>
        <w:t xml:space="preserve"> In addition to any rights and remedies of the Lenders provided by law, upon the occurrence and during the continuance of any Event of Default, each Lender is authorized at any time and from time to time, without prior notice to any Loan Party or any Subsidiary, any such notice being waived by the Borrower and the other Loan Parties (each on its own behalf and on behalf of each Subsidiary) to the fullest extent permitted by law, to set off and apply any and all deposits (general or special, time or demand, provisional or final) at any time held by, and other obligations at any time owing by, such Lender to or for the credit or the account of the Borrower or other Loan Party against any and all Obligations owing to such Lender hereunder or under any other Loan Document, now or hereafter existing, irrespective of whether or not the Administrative Agent or such Lender shall have made demand under this Agreement or any other Loan Document and although such Obligations may be contingent or unmatured or denominated in a currency different from that of the applicable deposit or indebtedness or are owed to a branch, office or Affiliate of a Lender different from the branch, office or Affiliate holding such deposit or obligated on such obligation. Each Lender agrees promptly to notify the Borrower and the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such notice shall not affect the validity of such set-off and application.</w:t>
      </w:r>
    </w:p>
    <w:p>
      <w:pPr>
        <w:spacing w:after="0" w:line="107" w:lineRule="exact"/>
        <w:rPr>
          <w:sz w:val="20"/>
          <w:szCs w:val="20"/>
          <w:color w:val="auto"/>
        </w:rPr>
      </w:pPr>
    </w:p>
    <w:p>
      <w:pPr>
        <w:ind w:right="140" w:firstLine="432"/>
        <w:spacing w:after="0" w:line="285" w:lineRule="auto"/>
        <w:rPr>
          <w:sz w:val="20"/>
          <w:szCs w:val="20"/>
          <w:color w:val="auto"/>
        </w:rPr>
      </w:pPr>
      <w:r>
        <w:rPr>
          <w:rFonts w:ascii="Arial" w:cs="Arial" w:eastAsia="Arial" w:hAnsi="Arial"/>
          <w:sz w:val="16"/>
          <w:szCs w:val="16"/>
          <w:color w:val="auto"/>
        </w:rPr>
        <w:t xml:space="preserve">11.09 </w:t>
      </w:r>
      <w:r>
        <w:rPr>
          <w:rFonts w:ascii="Arial" w:cs="Arial" w:eastAsia="Arial" w:hAnsi="Arial"/>
          <w:sz w:val="16"/>
          <w:szCs w:val="16"/>
          <w:b w:val="1"/>
          <w:bCs w:val="1"/>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to a Lender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4" w:lineRule="exact"/>
        <w:rPr>
          <w:sz w:val="20"/>
          <w:szCs w:val="20"/>
          <w:color w:val="auto"/>
        </w:rPr>
      </w:pPr>
    </w:p>
    <w:p>
      <w:pPr>
        <w:ind w:right="720" w:firstLine="8"/>
        <w:spacing w:after="0" w:line="261" w:lineRule="auto"/>
        <w:tabs>
          <w:tab w:leader="none" w:pos="24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amortize, prorate, allocate, and spread in equal or unequal parts the total amount of interest throughout the contemplated term of the Obligations hereunder.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800" w:right="299" w:bottom="1440" w:gutter="0" w:footer="0" w:header="0"/>
        </w:sectPr>
      </w:pPr>
    </w:p>
    <w:bookmarkStart w:id="176" w:name="page177"/>
    <w:bookmarkEnd w:id="176"/>
    <w:p>
      <w:pPr>
        <w:ind w:right="200" w:firstLine="432"/>
        <w:spacing w:after="0" w:line="281"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b w:val="1"/>
          <w:bCs w:val="1"/>
          <w:color w:val="auto"/>
        </w:rPr>
        <w:t>Counterparts.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or any other Loan Document or other document or writing delivered in connection therewith by facsimile or in electronic (i.e., “pdf” or “tif”) format shall be effective as delivery of a manually executed counterpart of this Agreement.</w:t>
      </w:r>
    </w:p>
    <w:p>
      <w:pPr>
        <w:spacing w:after="0" w:line="111"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Integration.</w:t>
      </w:r>
      <w:r>
        <w:rPr>
          <w:rFonts w:ascii="Arial" w:cs="Arial" w:eastAsia="Arial" w:hAnsi="Arial"/>
          <w:sz w:val="18"/>
          <w:szCs w:val="18"/>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34" w:lineRule="exact"/>
        <w:rPr>
          <w:sz w:val="20"/>
          <w:szCs w:val="20"/>
          <w:color w:val="auto"/>
        </w:rPr>
      </w:pPr>
    </w:p>
    <w:p>
      <w:pPr>
        <w:ind w:right="180" w:firstLine="432"/>
        <w:spacing w:after="0" w:line="274"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b w:val="1"/>
          <w:bCs w:val="1"/>
          <w:color w:val="auto"/>
        </w:rPr>
        <w:t>Survival of Representations and Warranties.</w:t>
      </w:r>
      <w:r>
        <w:rPr>
          <w:rFonts w:ascii="Arial" w:cs="Arial" w:eastAsia="Arial" w:hAnsi="Arial"/>
          <w:sz w:val="17"/>
          <w:szCs w:val="17"/>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20" w:lineRule="exact"/>
        <w:rPr>
          <w:sz w:val="20"/>
          <w:szCs w:val="20"/>
          <w:color w:val="auto"/>
        </w:rPr>
      </w:pPr>
    </w:p>
    <w:p>
      <w:pPr>
        <w:ind w:right="60" w:firstLine="432"/>
        <w:spacing w:after="0" w:line="258"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30" w:lineRule="exact"/>
        <w:rPr>
          <w:sz w:val="20"/>
          <w:szCs w:val="20"/>
          <w:color w:val="auto"/>
        </w:rPr>
      </w:pPr>
    </w:p>
    <w:p>
      <w:pPr>
        <w:ind w:firstLine="432"/>
        <w:spacing w:after="0" w:line="274"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b w:val="1"/>
          <w:bCs w:val="1"/>
          <w:color w:val="auto"/>
        </w:rPr>
        <w:t>Replacement of Lenders.</w:t>
      </w:r>
      <w:r>
        <w:rPr>
          <w:rFonts w:ascii="Arial" w:cs="Arial" w:eastAsia="Arial" w:hAnsi="Arial"/>
          <w:sz w:val="17"/>
          <w:szCs w:val="17"/>
          <w:color w:val="auto"/>
        </w:rPr>
        <w:t xml:space="preserve"> Under any circumstances set forth herein providing that the Borrower shall have the right to replace a Lender as a party to this Agreement, the Borrower may, upon notice to such Lender and the Administrative Agent, replace such Lender by requiring such Lender to assign its Commitment (with the assignment fee to be paid by the Borrower in such instance) pursuant to (and subject to the consents required by)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to one or more Eligible Assignees;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assignment does not conflict with applicable Laws and such Lender shall have received payment of an amount equal to the outstanding principal of its Loans and L/C Advances, accrued interest thereon, accrued fees and all other amounts payable to it hereunder and under the other Loan Documents (including any amounts 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958" w:right="259" w:bottom="1440" w:gutter="0" w:footer="0" w:header="0"/>
        </w:sectPr>
      </w:pPr>
    </w:p>
    <w:bookmarkStart w:id="177" w:name="page178"/>
    <w:bookmarkEnd w:id="177"/>
    <w:p>
      <w:pPr>
        <w:jc w:val="both"/>
        <w:ind w:right="100"/>
        <w:spacing w:after="0" w:line="288" w:lineRule="auto"/>
        <w:rPr>
          <w:sz w:val="20"/>
          <w:szCs w:val="20"/>
          <w:color w:val="auto"/>
        </w:rPr>
      </w:pP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from the assignee (to the extent of such outstanding principal and accrued interest and fees) or the Borrower (in the case of all other amounts);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Borrower elects to exercise such right with respect to any Lender pursuant to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it shall be obligated to replace all Lenders that have made similar requests for compensation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Upon the making of any such assignment, the Borrower shall</w:t>
      </w:r>
    </w:p>
    <w:p>
      <w:pPr>
        <w:ind w:right="160" w:firstLine="8"/>
        <w:spacing w:after="0" w:line="255"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pay in full any amounts payable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(y) provide appropriate assurances and indemnities (which may include letters of credit) to the L/C Issuers as each may reasonably require with respect to any continuing obligation to fund participation interests in any L/C Obligations then outstanding.</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b w:val="1"/>
          <w:bCs w:val="1"/>
          <w:color w:val="auto"/>
        </w:rPr>
        <w:t>Governing Law.</w:t>
      </w:r>
    </w:p>
    <w:p>
      <w:pPr>
        <w:spacing w:after="0" w:line="94" w:lineRule="exact"/>
        <w:rPr>
          <w:sz w:val="20"/>
          <w:szCs w:val="20"/>
          <w:color w:val="auto"/>
        </w:rPr>
      </w:pPr>
    </w:p>
    <w:p>
      <w:pPr>
        <w:ind w:right="20" w:firstLine="440"/>
        <w:spacing w:after="0" w:line="276" w:lineRule="auto"/>
        <w:tabs>
          <w:tab w:leader="none" w:pos="677"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WITHOUT REGARD TO CONFLICTS OF LAWS PRINCIPLES.</w:t>
      </w:r>
    </w:p>
    <w:p>
      <w:pPr>
        <w:spacing w:after="0" w:line="37" w:lineRule="exact"/>
        <w:rPr>
          <w:rFonts w:ascii="Arial" w:cs="Arial" w:eastAsia="Arial" w:hAnsi="Arial"/>
          <w:sz w:val="17"/>
          <w:szCs w:val="17"/>
          <w:color w:val="auto"/>
        </w:rPr>
      </w:pPr>
    </w:p>
    <w:p>
      <w:pPr>
        <w:ind w:right="40" w:firstLine="440"/>
        <w:spacing w:after="0" w:line="252" w:lineRule="auto"/>
        <w:tabs>
          <w:tab w:leader="none" w:pos="687"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THE BOROUGH OF MANHATTAN IN NEW YORK CITY,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LOAN PARTY AND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pacing w:after="0" w:line="61" w:lineRule="exact"/>
        <w:rPr>
          <w:rFonts w:ascii="Arial" w:cs="Arial" w:eastAsia="Arial" w:hAnsi="Arial"/>
          <w:sz w:val="18"/>
          <w:szCs w:val="18"/>
          <w:color w:val="auto"/>
        </w:rPr>
      </w:pPr>
    </w:p>
    <w:p>
      <w:pPr>
        <w:ind w:firstLine="440"/>
        <w:spacing w:after="0" w:line="255" w:lineRule="auto"/>
        <w:tabs>
          <w:tab w:leader="none" w:pos="677"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LOAN PARTY AND EACH OF THE PARTIES HERETO HEREBY IRREVOCABLY WAIVES, TO THE FULLEST EXTENT PERMITTED BY APPLICABLE LAW, THE DEFENSE OF AN INCONVENIENT FORUM TO THE MAINTENANCE OF SUCH ACTION OR PROCEEDING IN ANY SUCH COURT.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963" w:right="259" w:bottom="1440" w:gutter="0" w:footer="0" w:header="0"/>
        </w:sectPr>
      </w:pPr>
    </w:p>
    <w:bookmarkStart w:id="178" w:name="page179"/>
    <w:bookmarkEnd w:id="178"/>
    <w:p>
      <w:pPr>
        <w:ind w:right="140" w:firstLine="440"/>
        <w:spacing w:after="0" w:line="264" w:lineRule="auto"/>
        <w:tabs>
          <w:tab w:leader="none" w:pos="68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LOAN PARTY AND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23" w:lineRule="exact"/>
        <w:rPr>
          <w:sz w:val="20"/>
          <w:szCs w:val="20"/>
          <w:color w:val="auto"/>
        </w:rPr>
      </w:pPr>
    </w:p>
    <w:p>
      <w:pPr>
        <w:ind w:right="240" w:firstLine="432"/>
        <w:spacing w:after="0" w:line="254"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b w:val="1"/>
          <w:bCs w:val="1"/>
          <w:color w:val="auto"/>
        </w:rPr>
        <w:t>Waiver of Right to Trial by Jury.</w:t>
      </w:r>
      <w:r>
        <w:rPr>
          <w:rFonts w:ascii="Arial" w:cs="Arial" w:eastAsia="Arial" w:hAnsi="Arial"/>
          <w:sz w:val="18"/>
          <w:szCs w:val="18"/>
          <w:color w:val="auto"/>
        </w:rPr>
        <w:t xml:space="preserve"> EACH LOAN PARTY AND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LOAN PARTY AND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11.17 </w:t>
      </w:r>
      <w:r>
        <w:rPr>
          <w:rFonts w:ascii="Arial" w:cs="Arial" w:eastAsia="Arial" w:hAnsi="Arial"/>
          <w:sz w:val="16"/>
          <w:szCs w:val="16"/>
          <w:b w:val="1"/>
          <w:bCs w:val="1"/>
          <w:color w:val="auto"/>
        </w:rPr>
        <w:t>No Advisory or Fiduciary Responsibility.</w:t>
      </w:r>
      <w:r>
        <w:rPr>
          <w:rFonts w:ascii="Arial" w:cs="Arial" w:eastAsia="Arial" w:hAnsi="Arial"/>
          <w:sz w:val="16"/>
          <w:szCs w:val="16"/>
          <w:color w:val="auto"/>
        </w:rPr>
        <w:t xml:space="preserve"> In connection with all aspects of each transaction contemplated hereby (including in connection with any amendment, waiver or other modification hereof or of any other Loan Document), each Loan Party acknowledges and agrees, and acknowledges its Affiliates’ understanding, that: (i) (A) the arranging and other services regarding this Agreement provided by the Administrative Agent and the Arrangers are arm’s-length commercial transactions between the Borrower and its Affiliates, on the one hand, and the Administrative Agent and the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w:t>
      </w:r>
    </w:p>
    <w:p>
      <w:pPr>
        <w:spacing w:after="0" w:line="4" w:lineRule="exact"/>
        <w:rPr>
          <w:sz w:val="20"/>
          <w:szCs w:val="20"/>
          <w:color w:val="auto"/>
        </w:rPr>
      </w:pPr>
    </w:p>
    <w:p>
      <w:pPr>
        <w:ind w:right="20" w:firstLine="8"/>
        <w:spacing w:after="0" w:line="281" w:lineRule="auto"/>
        <w:tabs>
          <w:tab w:leader="none" w:pos="26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 the Administrative Agent, each Arranger and each Lender is and has been acting solely as a principal and, except as expressly agreed in writing by the relevant parties, has not been, is not, and will not be acting as an advisor, agent or fiduciary for the Borrower or any of its Affiliates, or any other Person and</w:t>
      </w:r>
    </w:p>
    <w:p>
      <w:pPr>
        <w:spacing w:after="0" w:line="1" w:lineRule="exact"/>
        <w:rPr>
          <w:rFonts w:ascii="Arial" w:cs="Arial" w:eastAsia="Arial" w:hAnsi="Arial"/>
          <w:sz w:val="16"/>
          <w:szCs w:val="16"/>
          <w:color w:val="auto"/>
        </w:rPr>
      </w:pPr>
    </w:p>
    <w:p>
      <w:pPr>
        <w:ind w:right="60"/>
        <w:spacing w:after="0" w:line="252" w:lineRule="auto"/>
        <w:rPr>
          <w:rFonts w:ascii="Arial" w:cs="Arial" w:eastAsia="Arial" w:hAnsi="Arial"/>
          <w:sz w:val="16"/>
          <w:szCs w:val="16"/>
          <w:color w:val="auto"/>
        </w:rPr>
      </w:pPr>
      <w:r>
        <w:rPr>
          <w:rFonts w:ascii="Arial" w:cs="Arial" w:eastAsia="Arial" w:hAnsi="Arial"/>
          <w:sz w:val="18"/>
          <w:szCs w:val="18"/>
          <w:color w:val="auto"/>
        </w:rPr>
        <w:t>(B) neither the Administrative Agent, nor any Arranger or any Lender has any obligation to the Borrower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Borrower and its Affiliates, and neither the Administrative Agent nor any Arranger nor any Lender has any obligation to disclose any of such interests to the Borrower or its Affiliates. To the fullest extent permitted by law, each Loan Party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179" w:right="239" w:bottom="1440" w:gutter="0" w:footer="0" w:header="0"/>
        </w:sectPr>
      </w:pPr>
    </w:p>
    <w:bookmarkStart w:id="179" w:name="page180"/>
    <w:bookmarkEnd w:id="179"/>
    <w:p>
      <w:pPr>
        <w:ind w:firstLine="432"/>
        <w:spacing w:after="0" w:line="256"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b w:val="1"/>
          <w:bCs w:val="1"/>
          <w:color w:val="auto"/>
        </w:rPr>
        <w:t>Electronic Execution of Assignments and Certain Other Documents.</w:t>
      </w:r>
      <w:r>
        <w:rPr>
          <w:rFonts w:ascii="Arial" w:cs="Arial" w:eastAsia="Arial" w:hAnsi="Arial"/>
          <w:sz w:val="18"/>
          <w:szCs w:val="18"/>
          <w:color w:val="auto"/>
        </w:rPr>
        <w:t xml:space="preserv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3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b w:val="1"/>
          <w:bCs w:val="1"/>
          <w:color w:val="auto"/>
        </w:rPr>
        <w:t>USA PATRIOT Act Notice.</w:t>
      </w:r>
      <w:r>
        <w:rPr>
          <w:rFonts w:ascii="Arial" w:cs="Arial" w:eastAsia="Arial" w:hAnsi="Arial"/>
          <w:sz w:val="18"/>
          <w:szCs w:val="18"/>
          <w:color w:val="auto"/>
        </w:rPr>
        <w:t xml:space="preserve"> Each Lender that is subject to the Act (as hereinafter defined) and the Administrative Agent (for itself and not on behalf of any Lender) hereby notifies the Borrower and the other Loan Parties that pursuant to the requirements of the USA Patriot Act (Title III of Pub. L. 107,56 (signed into law October 26, 2001)) (the “Act”), it is required to obtain, verify and record information that identifies the Loan Parties, which information includes the name and address of each Loan Party and other information that will allow such Lender or the Administrative Agent, as applicable, to identify the Loan Parties in accordance with the Act. The Borrower and the Parent Guarantor shall, and shall cause their Subsidiaries to, promptly following a request by the Administrative Agent or any Lender, provide such documentation and other information that the Administrative Agent or such Lender reasonably requests in order to comply with its ongoing obligations under applicable “know your customer” and anti-money laundering rules and regulations, including the Act.</w:t>
      </w:r>
    </w:p>
    <w:p>
      <w:pPr>
        <w:spacing w:after="0" w:line="131" w:lineRule="exact"/>
        <w:rPr>
          <w:sz w:val="20"/>
          <w:szCs w:val="20"/>
          <w:color w:val="auto"/>
        </w:rPr>
      </w:pPr>
    </w:p>
    <w:p>
      <w:pPr>
        <w:ind w:right="400" w:firstLine="432"/>
        <w:spacing w:after="0" w:line="289" w:lineRule="auto"/>
        <w:rPr>
          <w:sz w:val="20"/>
          <w:szCs w:val="20"/>
          <w:color w:val="auto"/>
        </w:rPr>
      </w:pPr>
      <w:r>
        <w:rPr>
          <w:rFonts w:ascii="Arial" w:cs="Arial" w:eastAsia="Arial" w:hAnsi="Arial"/>
          <w:sz w:val="17"/>
          <w:szCs w:val="17"/>
          <w:color w:val="auto"/>
        </w:rPr>
        <w:t xml:space="preserve">11.20 </w:t>
      </w:r>
      <w:r>
        <w:rPr>
          <w:rFonts w:ascii="Arial" w:cs="Arial" w:eastAsia="Arial" w:hAnsi="Arial"/>
          <w:sz w:val="17"/>
          <w:szCs w:val="17"/>
          <w:b w:val="1"/>
          <w:bCs w:val="1"/>
          <w:color w:val="auto"/>
        </w:rPr>
        <w:t>ENTIRE AGREEMENT.</w:t>
      </w:r>
      <w:r>
        <w:rPr>
          <w:rFonts w:ascii="Arial" w:cs="Arial" w:eastAsia="Arial" w:hAnsi="Arial"/>
          <w:sz w:val="17"/>
          <w:szCs w:val="17"/>
          <w:color w:val="auto"/>
        </w:rPr>
        <w:t xml:space="preserve">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PAGES FOLLOW]</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959" w:right="299" w:bottom="1440" w:gutter="0" w:footer="0" w:header="0"/>
        </w:sectPr>
      </w:pPr>
    </w:p>
    <w:bookmarkStart w:id="180" w:name="page181"/>
    <w:bookmarkEnd w:id="180"/>
    <w:p>
      <w:pPr>
        <w:ind w:left="400"/>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600" w:type="dxa"/>
            <w:vAlign w:val="bottom"/>
          </w:tcPr>
          <w:p>
            <w:pPr>
              <w:jc w:val="right"/>
              <w:spacing w:after="0"/>
              <w:rPr>
                <w:sz w:val="20"/>
                <w:szCs w:val="20"/>
                <w:color w:val="auto"/>
              </w:rPr>
            </w:pPr>
            <w:r>
              <w:rPr>
                <w:rFonts w:ascii="Arial" w:cs="Arial" w:eastAsia="Arial" w:hAnsi="Arial"/>
                <w:sz w:val="18"/>
                <w:szCs w:val="18"/>
                <w:b w:val="1"/>
                <w:bCs w:val="1"/>
                <w:color w:val="auto"/>
              </w:rPr>
              <w:t xml:space="preserve">QEP MIDSTREAM PARTNERS OPERATING, LLC, </w:t>
            </w:r>
            <w:r>
              <w:rPr>
                <w:rFonts w:ascii="Arial" w:cs="Arial" w:eastAsia="Arial" w:hAnsi="Arial"/>
                <w:sz w:val="18"/>
                <w:szCs w:val="18"/>
                <w:color w:val="auto"/>
              </w:rPr>
              <w:t>as Borrower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QEP MIDSTREAM PARTNERS, LP, its sole member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QEP MIDSTREAM PARTNERS GP, LLC, its general partner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Richard J. Doleshek</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Richard J. Doleshek</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Executive Vice President and Chief</w:t>
            </w:r>
          </w:p>
        </w:tc>
      </w:tr>
      <w:tr>
        <w:trPr>
          <w:trHeight w:val="270"/>
        </w:trPr>
        <w:tc>
          <w:tcPr>
            <w:tcW w:w="780" w:type="dxa"/>
            <w:vAlign w:val="bottom"/>
          </w:tcPr>
          <w:p>
            <w:pPr>
              <w:spacing w:after="0"/>
              <w:rPr>
                <w:sz w:val="23"/>
                <w:szCs w:val="23"/>
                <w:color w:val="auto"/>
              </w:rPr>
            </w:pPr>
          </w:p>
        </w:tc>
        <w:tc>
          <w:tcPr>
            <w:tcW w:w="10600" w:type="dxa"/>
            <w:vAlign w:val="bottom"/>
          </w:tcPr>
          <w:p>
            <w:pPr>
              <w:ind w:left="940"/>
              <w:spacing w:after="0"/>
              <w:rPr>
                <w:sz w:val="20"/>
                <w:szCs w:val="20"/>
                <w:color w:val="auto"/>
              </w:rPr>
            </w:pPr>
            <w:r>
              <w:rPr>
                <w:rFonts w:ascii="Arial" w:cs="Arial" w:eastAsia="Arial" w:hAnsi="Arial"/>
                <w:sz w:val="18"/>
                <w:szCs w:val="18"/>
                <w:color w:val="auto"/>
              </w:rPr>
              <w:t>Financial Officer</w:t>
            </w:r>
          </w:p>
        </w:tc>
      </w:tr>
      <w:tr>
        <w:trPr>
          <w:trHeight w:val="594"/>
        </w:trPr>
        <w:tc>
          <w:tcPr>
            <w:tcW w:w="780" w:type="dxa"/>
            <w:vAlign w:val="bottom"/>
          </w:tcPr>
          <w:p>
            <w:pPr>
              <w:spacing w:after="0"/>
              <w:rPr>
                <w:sz w:val="24"/>
                <w:szCs w:val="24"/>
                <w:color w:val="auto"/>
              </w:rPr>
            </w:pPr>
          </w:p>
        </w:tc>
        <w:tc>
          <w:tcPr>
            <w:tcW w:w="10600" w:type="dxa"/>
            <w:vAlign w:val="bottom"/>
          </w:tcPr>
          <w:p>
            <w:pPr>
              <w:jc w:val="right"/>
              <w:spacing w:after="0"/>
              <w:rPr>
                <w:sz w:val="20"/>
                <w:szCs w:val="20"/>
                <w:color w:val="auto"/>
              </w:rPr>
            </w:pPr>
            <w:r>
              <w:rPr>
                <w:rFonts w:ascii="Arial" w:cs="Arial" w:eastAsia="Arial" w:hAnsi="Arial"/>
                <w:sz w:val="18"/>
                <w:szCs w:val="18"/>
                <w:b w:val="1"/>
                <w:bCs w:val="1"/>
                <w:color w:val="auto"/>
              </w:rPr>
              <w:t>QEP MIDSTREAM PARTNERS, LP</w:t>
            </w:r>
            <w:r>
              <w:rPr>
                <w:rFonts w:ascii="Arial" w:cs="Arial" w:eastAsia="Arial" w:hAnsi="Arial"/>
                <w:sz w:val="18"/>
                <w:szCs w:val="18"/>
                <w:color w:val="auto"/>
              </w:rPr>
              <w:t>, as Parent Guarantor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QEP MIDSTREAM PARTNERS GP, LLC, its general partner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Richard J. Doleshek</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Richard J. Doleshek</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Executive Vice President and Chief</w:t>
            </w:r>
          </w:p>
        </w:tc>
      </w:tr>
    </w:tbl>
    <w:p>
      <w:pPr>
        <w:spacing w:after="0" w:line="4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Financial Officer</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80"/>
          </w:cols>
          <w:pgMar w:left="280" w:top="963"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 xml:space="preserve">WELLS FARGO BANK, NATIONAL ASSOCIATION, </w:t>
      </w:r>
      <w:r>
        <w:rPr>
          <w:rFonts w:ascii="Arial" w:cs="Arial" w:eastAsia="Arial" w:hAnsi="Arial"/>
          <w:sz w:val="18"/>
          <w:szCs w:val="18"/>
          <w:color w:val="auto"/>
        </w:rPr>
        <w:t>as Administrative Agent, L/C Issuer, Swing Line Lender, and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Leanne S.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Leanne S. Phillips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Director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a Lender and a L/C Issuer</w:t>
      </w:r>
    </w:p>
    <w:p>
      <w:pPr>
        <w:spacing w:after="0" w:line="37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Sidford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Andrew Sidford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Lender and a L/C Issuer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Robert Mendoza</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 xml:space="preserve">U.S. BANK NATIONAL ASSOCIATION, </w:t>
      </w:r>
      <w:r>
        <w:rPr>
          <w:rFonts w:ascii="Arial" w:cs="Arial" w:eastAsia="Arial" w:hAnsi="Arial"/>
          <w:sz w:val="18"/>
          <w:szCs w:val="18"/>
          <w:color w:val="auto"/>
        </w:rPr>
        <w:t>as a Lender and a L/C Issuer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M.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Justin M. Alexander</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Senior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85" w:name="page186"/>
    <w:bookmarkEnd w:id="185"/>
    <w:p>
      <w:pPr>
        <w:ind w:left="5440"/>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a Lender and a L/C Issuer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Marcus M. Tarkington</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Marcus M. Tarkington</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Director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Dusan Lazarov</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Dusan Lazarov</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Director</w:t>
            </w: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80"/>
          </w:cols>
          <w:pgMar w:left="280" w:top="1283"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 xml:space="preserve">MORGAN STANLEY BANK, N.A., </w:t>
      </w:r>
      <w:r>
        <w:rPr>
          <w:rFonts w:ascii="Arial" w:cs="Arial" w:eastAsia="Arial" w:hAnsi="Arial"/>
          <w:sz w:val="18"/>
          <w:szCs w:val="18"/>
          <w:color w:val="auto"/>
        </w:rPr>
        <w:t>as a Lender and a L/C Issuer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Kelly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Kelly Chin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Authorized Signatory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 xml:space="preserve">BMO HARRIS BANK N.A.,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Utsey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Kevin Utsey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Director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88" w:name="page189"/>
    <w:bookmarkEnd w:id="188"/>
    <w:p>
      <w:pPr>
        <w:ind w:left="4560"/>
        <w:spacing w:after="0"/>
        <w:rPr>
          <w:sz w:val="20"/>
          <w:szCs w:val="20"/>
          <w:color w:val="auto"/>
        </w:rPr>
      </w:pPr>
      <w:r>
        <w:rPr>
          <w:rFonts w:ascii="Arial" w:cs="Arial" w:eastAsia="Arial" w:hAnsi="Arial"/>
          <w:sz w:val="17"/>
          <w:szCs w:val="17"/>
          <w:b w:val="1"/>
          <w:bCs w:val="1"/>
          <w:color w:val="auto"/>
        </w:rPr>
        <w:t xml:space="preserve">CANADIAN IMPERIAL BANK OF COMMERCE, NEW YORK AGENCY, </w:t>
      </w:r>
      <w:r>
        <w:rPr>
          <w:rFonts w:ascii="Arial" w:cs="Arial" w:eastAsia="Arial" w:hAnsi="Arial"/>
          <w:sz w:val="17"/>
          <w:szCs w:val="17"/>
          <w:color w:val="auto"/>
        </w:rPr>
        <w:t>as a Lender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Trudy Nelson</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Trudy Nelson</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Managing Director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Jonathan Kim</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Jonathan Kim</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Authorized Signatory</w:t>
            </w: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80"/>
          </w:cols>
          <w:pgMar w:left="280" w:top="1283"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CAPITAL ONE, NATIONAL ASSOCIATION,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a Lender</w:t>
      </w:r>
    </w:p>
    <w:p>
      <w:pPr>
        <w:spacing w:after="0" w:line="37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Kristin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Kristin Oswald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 xml:space="preserve">COMPASS BANK,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Dorothy Marchand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Dorothy Marchand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Executive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91" w:name="page192"/>
    <w:bookmarkEnd w:id="191"/>
    <w:p>
      <w:pPr>
        <w:ind w:left="5280"/>
        <w:spacing w:after="0"/>
        <w:rPr>
          <w:sz w:val="20"/>
          <w:szCs w:val="20"/>
          <w:color w:val="auto"/>
        </w:rPr>
      </w:pPr>
      <w:r>
        <w:rPr>
          <w:rFonts w:ascii="Arial" w:cs="Arial" w:eastAsia="Arial" w:hAnsi="Arial"/>
          <w:sz w:val="17"/>
          <w:szCs w:val="17"/>
          <w:b w:val="1"/>
          <w:bCs w:val="1"/>
          <w:color w:val="auto"/>
        </w:rPr>
        <w:t xml:space="preserve">CREDIT AGRICOLE CORPORATE AND INVESTMENT BANK, </w:t>
      </w:r>
      <w:r>
        <w:rPr>
          <w:rFonts w:ascii="Arial" w:cs="Arial" w:eastAsia="Arial" w:hAnsi="Arial"/>
          <w:sz w:val="17"/>
          <w:szCs w:val="17"/>
          <w:color w:val="auto"/>
        </w:rPr>
        <w:t>as a Lender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Sharada Manne</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Sharada Manne</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Managing Director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Michael Willis</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Michael Willis</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Managing Director</w:t>
            </w: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80"/>
          </w:cols>
          <w:pgMar w:left="280" w:top="1283" w:right="239" w:bottom="1440" w:gutter="0" w:footer="0" w:header="0"/>
        </w:sectPr>
      </w:pPr>
    </w:p>
    <w:bookmarkStart w:id="192" w:name="page193"/>
    <w:bookmarkEnd w:id="192"/>
    <w:p>
      <w:pPr>
        <w:ind w:left="6660"/>
        <w:spacing w:after="0"/>
        <w:rPr>
          <w:sz w:val="20"/>
          <w:szCs w:val="20"/>
          <w:color w:val="auto"/>
        </w:rPr>
      </w:pPr>
      <w:r>
        <w:rPr>
          <w:rFonts w:ascii="Arial" w:cs="Arial" w:eastAsia="Arial" w:hAnsi="Arial"/>
          <w:sz w:val="17"/>
          <w:szCs w:val="17"/>
          <w:b w:val="1"/>
          <w:bCs w:val="1"/>
          <w:color w:val="auto"/>
        </w:rPr>
        <w:t xml:space="preserve">DNB BANK ASA, GRAND CAYMAN BRANCH, </w:t>
      </w:r>
      <w:r>
        <w:rPr>
          <w:rFonts w:ascii="Arial" w:cs="Arial" w:eastAsia="Arial" w:hAnsi="Arial"/>
          <w:sz w:val="17"/>
          <w:szCs w:val="17"/>
          <w:color w:val="auto"/>
        </w:rPr>
        <w:t>as a Lender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Kristie Li</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Kristie Li</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First Vice President</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Philip F. Kurpiewski</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Philip F. Kurpiewski</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Senior Vice President</w:t>
            </w: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80"/>
          </w:cols>
          <w:pgMar w:left="280" w:top="1283"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 xml:space="preserve">FIFTH THIRD BANK,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Helen Wiggins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Helen Wiggins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Assistant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 xml:space="preserve">PNC BANK, NATIONAL ASSOCIATION,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R. Schweikle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Brett R. Schweikle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Senior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 xml:space="preserve">SUN TRUST BANK,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Shannon Juhan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Shannon Juhan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 xml:space="preserve">THE BANK OF TOKYO-MITSUBISHI UFJ, LTD.,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Sherwin Brandford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Sherwin Brandford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 xml:space="preserve">TORONTO DOMINION (NEW YORK) LLC,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Masood Fikree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Masood Fikree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Authorized Signatory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 xml:space="preserve">AMEGY BANK NATIONAL ASSOCIATION,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Donaldson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Kevin Donaldson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Senior Vice Predient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 xml:space="preserve">BRANCH BANKING AND TRUST COMPANY,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James Giordano</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 xml:space="preserve">COMERICA BANK,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 Mark Fuqua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V. Mark Fuqua</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Senior Vice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600" w:type="dxa"/>
            <w:vAlign w:val="bottom"/>
          </w:tcPr>
          <w:p>
            <w:pPr>
              <w:ind w:left="6620"/>
              <w:spacing w:after="0"/>
              <w:rPr>
                <w:sz w:val="20"/>
                <w:szCs w:val="20"/>
                <w:color w:val="auto"/>
              </w:rPr>
            </w:pPr>
            <w:r>
              <w:rPr>
                <w:rFonts w:ascii="Arial" w:cs="Arial" w:eastAsia="Arial" w:hAnsi="Arial"/>
                <w:sz w:val="18"/>
                <w:szCs w:val="18"/>
                <w:b w:val="1"/>
                <w:bCs w:val="1"/>
                <w:color w:val="auto"/>
                <w:w w:val="97"/>
              </w:rPr>
              <w:t xml:space="preserve">EXPORT DEVELOPMENT CANADA, </w:t>
            </w:r>
            <w:r>
              <w:rPr>
                <w:rFonts w:ascii="Arial" w:cs="Arial" w:eastAsia="Arial" w:hAnsi="Arial"/>
                <w:sz w:val="18"/>
                <w:szCs w:val="18"/>
                <w:color w:val="auto"/>
                <w:w w:val="97"/>
              </w:rPr>
              <w:t>as a Lender</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Anna Kane</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Anna Kane</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Senior Associate</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00" w:type="dxa"/>
            <w:vAlign w:val="bottom"/>
          </w:tcPr>
          <w:p>
            <w:pPr>
              <w:ind w:left="480"/>
              <w:spacing w:after="0"/>
              <w:rPr>
                <w:sz w:val="20"/>
                <w:szCs w:val="20"/>
                <w:color w:val="auto"/>
              </w:rPr>
            </w:pPr>
            <w:r>
              <w:rPr>
                <w:rFonts w:ascii="Arial" w:cs="Arial" w:eastAsia="Arial" w:hAnsi="Arial"/>
                <w:sz w:val="18"/>
                <w:szCs w:val="18"/>
                <w:color w:val="auto"/>
              </w:rPr>
              <w:t>/s/ Joanne Tognarelli</w:t>
            </w:r>
          </w:p>
        </w:tc>
      </w:tr>
      <w:tr>
        <w:trPr>
          <w:trHeight w:val="27"/>
        </w:trPr>
        <w:tc>
          <w:tcPr>
            <w:tcW w:w="780" w:type="dxa"/>
            <w:vAlign w:val="bottom"/>
          </w:tcPr>
          <w:p>
            <w:pPr>
              <w:spacing w:after="0"/>
              <w:rPr>
                <w:sz w:val="2"/>
                <w:szCs w:val="2"/>
                <w:color w:val="auto"/>
              </w:rPr>
            </w:pPr>
          </w:p>
        </w:tc>
        <w:tc>
          <w:tcPr>
            <w:tcW w:w="106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Name: Joanne Tognarelli</w:t>
            </w:r>
          </w:p>
        </w:tc>
      </w:tr>
      <w:tr>
        <w:trPr>
          <w:trHeight w:val="270"/>
        </w:trPr>
        <w:tc>
          <w:tcPr>
            <w:tcW w:w="780" w:type="dxa"/>
            <w:vAlign w:val="bottom"/>
          </w:tcPr>
          <w:p>
            <w:pPr>
              <w:spacing w:after="0"/>
              <w:rPr>
                <w:sz w:val="23"/>
                <w:szCs w:val="23"/>
                <w:color w:val="auto"/>
              </w:rPr>
            </w:pPr>
          </w:p>
        </w:tc>
        <w:tc>
          <w:tcPr>
            <w:tcW w:w="10600" w:type="dxa"/>
            <w:vAlign w:val="bottom"/>
          </w:tcPr>
          <w:p>
            <w:pPr>
              <w:ind w:left="480"/>
              <w:spacing w:after="0"/>
              <w:rPr>
                <w:sz w:val="20"/>
                <w:szCs w:val="20"/>
                <w:color w:val="auto"/>
              </w:rPr>
            </w:pPr>
            <w:r>
              <w:rPr>
                <w:rFonts w:ascii="Arial" w:cs="Arial" w:eastAsia="Arial" w:hAnsi="Arial"/>
                <w:sz w:val="18"/>
                <w:szCs w:val="18"/>
                <w:color w:val="auto"/>
              </w:rPr>
              <w:t>Title: Senior Financing Manager</w:t>
            </w:r>
          </w:p>
        </w:tc>
      </w:tr>
      <w:tr>
        <w:trPr>
          <w:trHeight w:val="391"/>
        </w:trPr>
        <w:tc>
          <w:tcPr>
            <w:tcW w:w="780" w:type="dxa"/>
            <w:vAlign w:val="bottom"/>
          </w:tcPr>
          <w:p>
            <w:pPr>
              <w:spacing w:after="0"/>
              <w:rPr>
                <w:sz w:val="24"/>
                <w:szCs w:val="24"/>
                <w:color w:val="auto"/>
              </w:rPr>
            </w:pPr>
          </w:p>
        </w:tc>
        <w:tc>
          <w:tcPr>
            <w:tcW w:w="10600" w:type="dxa"/>
            <w:vAlign w:val="bottom"/>
          </w:tcPr>
          <w:p>
            <w:pPr>
              <w:ind w:left="4120"/>
              <w:spacing w:after="0"/>
              <w:rPr>
                <w:sz w:val="20"/>
                <w:szCs w:val="20"/>
                <w:color w:val="auto"/>
              </w:rPr>
            </w:pPr>
            <w:r>
              <w:rPr>
                <w:rFonts w:ascii="Arial" w:cs="Arial" w:eastAsia="Arial" w:hAnsi="Arial"/>
                <w:sz w:val="18"/>
                <w:szCs w:val="18"/>
                <w:color w:val="auto"/>
              </w:rPr>
              <w:t>Signature Page to the</w:t>
            </w:r>
          </w:p>
        </w:tc>
      </w:tr>
      <w:tr>
        <w:trPr>
          <w:trHeight w:val="230"/>
        </w:trPr>
        <w:tc>
          <w:tcPr>
            <w:tcW w:w="780" w:type="dxa"/>
            <w:vAlign w:val="bottom"/>
          </w:tcPr>
          <w:p>
            <w:pPr>
              <w:spacing w:after="0"/>
              <w:rPr>
                <w:sz w:val="20"/>
                <w:szCs w:val="20"/>
                <w:color w:val="auto"/>
              </w:rPr>
            </w:pPr>
          </w:p>
        </w:tc>
        <w:tc>
          <w:tcPr>
            <w:tcW w:w="10600" w:type="dxa"/>
            <w:vAlign w:val="bottom"/>
          </w:tcPr>
          <w:p>
            <w:pPr>
              <w:ind w:left="2720"/>
              <w:spacing w:after="0"/>
              <w:rPr>
                <w:sz w:val="20"/>
                <w:szCs w:val="20"/>
                <w:color w:val="auto"/>
              </w:rPr>
            </w:pPr>
            <w:r>
              <w:rPr>
                <w:rFonts w:ascii="Arial" w:cs="Arial" w:eastAsia="Arial" w:hAnsi="Arial"/>
                <w:sz w:val="18"/>
                <w:szCs w:val="18"/>
                <w:color w:val="auto"/>
              </w:rPr>
              <w:t>QEP Midstream Partners Operating, LLC Credit Agreement</w:t>
            </w:r>
          </w:p>
        </w:tc>
      </w:tr>
    </w:tbl>
    <w:p>
      <w:pPr>
        <w:sectPr>
          <w:pgSz w:w="11900" w:h="16838" w:orient="portrait"/>
          <w:cols w:equalWidth="0" w:num="1">
            <w:col w:w="11380"/>
          </w:cols>
          <w:pgMar w:left="280" w:top="1283"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 xml:space="preserve">GOLDMAN SACHS BANK USA,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Mark Walton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Authorized Signatory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 xml:space="preserve">SUMITOMO MITSUI BANKING CORPORATION, NY BRANCH, </w:t>
      </w:r>
      <w:r>
        <w:rPr>
          <w:rFonts w:ascii="Arial" w:cs="Arial" w:eastAsia="Arial" w:hAnsi="Arial"/>
          <w:sz w:val="18"/>
          <w:szCs w:val="18"/>
          <w:color w:val="auto"/>
        </w:rPr>
        <w:t>as a Lender</w:t>
      </w:r>
    </w:p>
    <w:p>
      <w:pPr>
        <w:spacing w:after="0" w:line="3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Shuji Yabe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 Shuji Yabe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Managing Director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Midstream Partners Operating, LLC Credit Agreement</w:t>
      </w:r>
    </w:p>
    <w:p>
      <w:pPr>
        <w:sectPr>
          <w:pgSz w:w="11900" w:h="16838" w:orient="portrait"/>
          <w:cols w:equalWidth="0" w:num="1">
            <w:col w:w="11360"/>
          </w:cols>
          <w:pgMar w:left="280" w:top="1283" w:right="25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i w:val="1"/>
          <w:iCs w:val="1"/>
          <w:color w:val="auto"/>
        </w:rPr>
        <w:t>SCHEDULE 2.01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 RATA SHARES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QEP Midstream Partners Operating, LLC Credit Agreement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Lender</w:t>
            </w:r>
          </w:p>
        </w:tc>
        <w:tc>
          <w:tcPr>
            <w:tcW w:w="1700" w:type="dxa"/>
            <w:vAlign w:val="bottom"/>
          </w:tcPr>
          <w:p>
            <w:pPr>
              <w:spacing w:after="0"/>
              <w:rPr>
                <w:sz w:val="16"/>
                <w:szCs w:val="16"/>
                <w:color w:val="auto"/>
              </w:rPr>
            </w:pPr>
          </w:p>
        </w:tc>
        <w:tc>
          <w:tcPr>
            <w:tcW w:w="2100" w:type="dxa"/>
            <w:vAlign w:val="bottom"/>
          </w:tcPr>
          <w:p>
            <w:pPr>
              <w:jc w:val="right"/>
              <w:ind w:right="911"/>
              <w:spacing w:after="0"/>
              <w:rPr>
                <w:sz w:val="20"/>
                <w:szCs w:val="20"/>
                <w:color w:val="auto"/>
              </w:rPr>
            </w:pPr>
            <w:r>
              <w:rPr>
                <w:rFonts w:ascii="Arial" w:cs="Arial" w:eastAsia="Arial" w:hAnsi="Arial"/>
                <w:sz w:val="14"/>
                <w:szCs w:val="14"/>
                <w:b w:val="1"/>
                <w:bCs w:val="1"/>
                <w:color w:val="auto"/>
              </w:rPr>
              <w:t>Commitment</w:t>
            </w:r>
          </w:p>
        </w:tc>
        <w:tc>
          <w:tcPr>
            <w:tcW w:w="2020" w:type="dxa"/>
            <w:vAlign w:val="bottom"/>
          </w:tcPr>
          <w:p>
            <w:pPr>
              <w:jc w:val="right"/>
              <w:ind w:right="551"/>
              <w:spacing w:after="0"/>
              <w:rPr>
                <w:sz w:val="20"/>
                <w:szCs w:val="20"/>
                <w:color w:val="auto"/>
              </w:rPr>
            </w:pPr>
            <w:r>
              <w:rPr>
                <w:rFonts w:ascii="Arial" w:cs="Arial" w:eastAsia="Arial" w:hAnsi="Arial"/>
                <w:sz w:val="14"/>
                <w:szCs w:val="14"/>
                <w:b w:val="1"/>
                <w:bCs w:val="1"/>
                <w:color w:val="auto"/>
              </w:rPr>
              <w:t>Pro Rata Share</w:t>
            </w: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Wells Fargo Bank, National Association</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28,500,000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Citibank, N.A.</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27,500,000</w:t>
            </w:r>
          </w:p>
        </w:tc>
        <w:tc>
          <w:tcPr>
            <w:tcW w:w="20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JPMorgan Chase Bank, N.A.</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27,500,000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U.S. Bank National Association</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27,500,000</w:t>
            </w:r>
          </w:p>
        </w:tc>
        <w:tc>
          <w:tcPr>
            <w:tcW w:w="20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Deutsche Bank AG New York Branch</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26,000,000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Morgan Stanley Bank, N.A.</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26,000,000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5.200%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BMO Harris Bank N.A.</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Canadian Imperial Bank of Commerce, New York Agency</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4.600%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One, National Association</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Compass Bank</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4.600%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Agricole Corporate and Investment Bank</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DNB Bank ASA, Grand Cayman Branch</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4.600%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Fifth Third Bank</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PNC Bank, National Association</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4.600%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SunTrust Bank</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The Bank of Tokyo-Mitsubishi UFJ, Ltd.</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4.600%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Toronto Dominion (New York) LLC</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23,000,000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Amegy Bank National Association</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14,000,000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Branch Banking and Trust Company</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14,000,000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Comerica Bank</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14,000,000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Export Development Canada</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14,000,000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Goldman Sachs Bank USA</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14,000,000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Sumitomo Mitsui Banking Corporation, NY Branch</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14,000,000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51"/>
              <w:spacing w:after="0"/>
              <w:rPr>
                <w:sz w:val="20"/>
                <w:szCs w:val="20"/>
                <w:color w:val="auto"/>
              </w:rPr>
            </w:pPr>
            <w:r>
              <w:rPr>
                <w:rFonts w:ascii="Arial" w:cs="Arial" w:eastAsia="Arial" w:hAnsi="Arial"/>
                <w:sz w:val="18"/>
                <w:szCs w:val="18"/>
                <w:color w:val="auto"/>
              </w:rPr>
              <w:t>500,000,000.00</w:t>
            </w:r>
          </w:p>
        </w:tc>
        <w:tc>
          <w:tcPr>
            <w:tcW w:w="2020" w:type="dxa"/>
            <w:vAlign w:val="bottom"/>
          </w:tcPr>
          <w:p>
            <w:pPr>
              <w:jc w:val="right"/>
              <w:spacing w:after="0"/>
              <w:rPr>
                <w:sz w:val="20"/>
                <w:szCs w:val="20"/>
                <w:color w:val="auto"/>
              </w:rPr>
            </w:pPr>
            <w:r>
              <w:rPr>
                <w:rFonts w:ascii="Arial" w:cs="Arial" w:eastAsia="Arial" w:hAnsi="Arial"/>
                <w:sz w:val="18"/>
                <w:szCs w:val="18"/>
                <w:color w:val="auto"/>
              </w:rPr>
              <w:t>100.000000000%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2.01</w:t>
      </w:r>
    </w:p>
    <w:p>
      <w:pPr>
        <w:sectPr>
          <w:pgSz w:w="11900" w:h="16838" w:orient="portrait"/>
          <w:cols w:equalWidth="0" w:num="1">
            <w:col w:w="11420"/>
          </w:cols>
          <w:pgMar w:left="240" w:top="800"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i w:val="1"/>
          <w:iCs w:val="1"/>
          <w:color w:val="auto"/>
        </w:rPr>
        <w:t>SCHEDULE 2.04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SWING LINE RATE CALCULATION</w:t>
      </w:r>
    </w:p>
    <w:p>
      <w:pPr>
        <w:spacing w:after="0" w:line="17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rate of interest for a Swing Line Loan shall be (a) the “ASK” rate for Federal Funds appearing on Page 5 of the Dow Jones Market Service (or on any successor or substitute page of such Service, or any successor to or substitute for such Service, providing rate quotations comparable to those currently provided on such page of such Service, as determined by the Administrative Agent from time to time for purposes of providing quotations of the offer rates applicable to Federal Funds for a term of one Business Day) at the time reviewed by the Administrative Agent plus (b) the Applicable Rate for Eurodollar Rate Loans. In the event that part (a) of such rate is not available at such time for any reason, then part (a) of such rate will be the rate agreed to between the Administrative Agent and the Borrower. The Borrower understands and agrees that the rate quoted from Page 5 of the Dow Jones Market Service is a real-time rate that changes from time to time. The rate quoted by the Administrative Agent and used for the purpose of setting the interest rate for a Swing Line Loan will be the rate on the screen of the Administrative Agent at the time of setting the rate and will not be an average or composite of rates for that day.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2.04</w:t>
      </w:r>
    </w:p>
    <w:p>
      <w:pPr>
        <w:sectPr>
          <w:pgSz w:w="11900" w:h="16838" w:orient="portrait"/>
          <w:cols w:equalWidth="0" w:num="1">
            <w:col w:w="11420"/>
          </w:cols>
          <w:pgMar w:left="240" w:top="801"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i w:val="1"/>
          <w:iCs w:val="1"/>
          <w:color w:val="auto"/>
        </w:rPr>
        <w:t>SCHEDULE 5.09</w:t>
      </w:r>
    </w:p>
    <w:p>
      <w:pPr>
        <w:spacing w:after="0" w:line="16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LABOR DISPUTES</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AND ACTS OF GOD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5.09</w:t>
      </w:r>
    </w:p>
    <w:p>
      <w:pPr>
        <w:sectPr>
          <w:pgSz w:w="11900" w:h="16838" w:orient="portrait"/>
          <w:cols w:equalWidth="0" w:num="1">
            <w:col w:w="11420"/>
          </w:cols>
          <w:pgMar w:left="240" w:top="800"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i w:val="1"/>
          <w:iCs w:val="1"/>
          <w:color w:val="auto"/>
        </w:rPr>
        <w:t>SCHEDULE 5.12</w:t>
      </w:r>
    </w:p>
    <w:p>
      <w:pPr>
        <w:spacing w:after="0" w:line="16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SUBSIDIARIES, JOINT VENTURES AND OTHER EQUITY INVESTMENTS</w:t>
      </w:r>
    </w:p>
    <w:p>
      <w:pPr>
        <w:spacing w:after="0" w:line="364" w:lineRule="exact"/>
        <w:rPr>
          <w:sz w:val="20"/>
          <w:szCs w:val="20"/>
          <w:color w:val="auto"/>
        </w:rPr>
      </w:pPr>
    </w:p>
    <w:p>
      <w:pPr>
        <w:ind w:left="685" w:hanging="685"/>
        <w:spacing w:after="0"/>
        <w:tabs>
          <w:tab w:leader="none" w:pos="68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605" w:hanging="321"/>
        <w:spacing w:after="0"/>
        <w:tabs>
          <w:tab w:leader="none" w:pos="60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QEP Midstream Partners Operating, LLC (100% owned by QEP Midstream Partners, LP)</w:t>
      </w:r>
    </w:p>
    <w:p>
      <w:pPr>
        <w:spacing w:after="0" w:line="23" w:lineRule="exact"/>
        <w:rPr>
          <w:rFonts w:ascii="Arial" w:cs="Arial" w:eastAsia="Arial" w:hAnsi="Arial"/>
          <w:sz w:val="18"/>
          <w:szCs w:val="18"/>
          <w:color w:val="auto"/>
        </w:rPr>
      </w:pPr>
    </w:p>
    <w:p>
      <w:pPr>
        <w:ind w:left="605" w:hanging="321"/>
        <w:spacing w:after="0"/>
        <w:tabs>
          <w:tab w:leader="none" w:pos="60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QEPM Gathering I, LLC (100% owned by QEP Midstream Partners Operating, LLC)</w:t>
      </w:r>
    </w:p>
    <w:p>
      <w:pPr>
        <w:spacing w:after="0" w:line="9" w:lineRule="exact"/>
        <w:rPr>
          <w:rFonts w:ascii="Arial" w:cs="Arial" w:eastAsia="Arial" w:hAnsi="Arial"/>
          <w:sz w:val="18"/>
          <w:szCs w:val="18"/>
          <w:color w:val="auto"/>
        </w:rPr>
      </w:pPr>
    </w:p>
    <w:p>
      <w:pPr>
        <w:ind w:left="605" w:hanging="321"/>
        <w:spacing w:after="0"/>
        <w:tabs>
          <w:tab w:leader="none" w:pos="60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Rendezvous Pipeline Company, LLC (100% owned by QEPM Gathering I, LLC)</w:t>
      </w:r>
    </w:p>
    <w:p>
      <w:pPr>
        <w:spacing w:after="0" w:line="9" w:lineRule="exact"/>
        <w:rPr>
          <w:rFonts w:ascii="Arial" w:cs="Arial" w:eastAsia="Arial" w:hAnsi="Arial"/>
          <w:sz w:val="18"/>
          <w:szCs w:val="18"/>
          <w:color w:val="auto"/>
        </w:rPr>
      </w:pPr>
    </w:p>
    <w:p>
      <w:pPr>
        <w:ind w:left="605" w:hanging="321"/>
        <w:spacing w:after="0"/>
        <w:tabs>
          <w:tab w:leader="none" w:pos="60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Rendezvous Gas Services, L.L.C. (78% owned by QEPM Gathering I, LLC)</w:t>
      </w:r>
    </w:p>
    <w:p>
      <w:pPr>
        <w:spacing w:after="0" w:line="156" w:lineRule="exact"/>
        <w:rPr>
          <w:rFonts w:ascii="Arial" w:cs="Arial" w:eastAsia="Arial" w:hAnsi="Arial"/>
          <w:sz w:val="18"/>
          <w:szCs w:val="18"/>
          <w:color w:val="auto"/>
        </w:rPr>
      </w:pPr>
    </w:p>
    <w:p>
      <w:pPr>
        <w:ind w:left="685" w:hanging="685"/>
        <w:spacing w:after="0"/>
        <w:tabs>
          <w:tab w:leader="none" w:pos="68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Other Equity Interests</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5165" w:right="4360" w:hanging="4881"/>
        <w:spacing w:after="0" w:line="308" w:lineRule="auto"/>
        <w:tabs>
          <w:tab w:leader="none" w:pos="604"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Three Rivers Gathering, LLC (50% owned by QEP Midstream Partners Operating, LLC) Schedule 5.12</w:t>
      </w:r>
    </w:p>
    <w:p>
      <w:pPr>
        <w:sectPr>
          <w:pgSz w:w="11900" w:h="16838" w:orient="portrait"/>
          <w:cols w:equalWidth="0" w:num="1">
            <w:col w:w="11385"/>
          </w:cols>
          <w:pgMar w:left="275" w:top="801"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i w:val="1"/>
          <w:iCs w:val="1"/>
          <w:color w:val="auto"/>
        </w:rPr>
        <w:t>SCHEDULE 5.19</w:t>
      </w:r>
    </w:p>
    <w:p>
      <w:pPr>
        <w:spacing w:after="0" w:line="16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See attached.</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Schedule 5.19</w:t>
      </w:r>
    </w:p>
    <w:p>
      <w:pPr>
        <w:sectPr>
          <w:pgSz w:w="11900" w:h="16838" w:orient="portrait"/>
          <w:cols w:equalWidth="0" w:num="1">
            <w:col w:w="10220"/>
          </w:cols>
          <w:pgMar w:left="1440" w:top="801" w:right="239"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4339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33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2012-2013 Any One Person or Organization £10,000,000 General Aggregate Limit $ 2,000.000 Products/Completed Operations Aggregate Limit</w:t>
      </w:r>
    </w:p>
    <w:p>
      <w:pPr>
        <w:sectPr>
          <w:pgSz w:w="11900" w:h="16838" w:orient="portrait"/>
          <w:cols w:equalWidth="0" w:num="1">
            <w:col w:w="10219"/>
          </w:cols>
          <w:pgMar w:left="240" w:top="1440" w:right="1440" w:bottom="1440" w:gutter="0" w:footer="0" w:header="0"/>
        </w:sectPr>
      </w:pPr>
    </w:p>
    <w:p>
      <w:pPr>
        <w:spacing w:after="0" w:line="179"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Schedule 5.19</w:t>
      </w:r>
    </w:p>
    <w:p>
      <w:pPr>
        <w:sectPr>
          <w:pgSz w:w="11900" w:h="16838" w:orient="portrait"/>
          <w:cols w:equalWidth="0" w:num="1">
            <w:col w:w="10219"/>
          </w:cols>
          <w:pgMar w:left="240" w:top="1440" w:right="1440" w:bottom="1440" w:gutter="0" w:footer="0" w:header="0"/>
          <w:type w:val="continuous"/>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4262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FFFFFF"/>
        </w:rPr>
        <w:t>cable) Policy No. MAX6XL0000395 Policy Term: October 1, 2012—2013</w:t>
      </w:r>
    </w:p>
    <w:p>
      <w:pPr>
        <w:sectPr>
          <w:pgSz w:w="11900" w:h="16838" w:orient="portrait"/>
          <w:cols w:equalWidth="0" w:num="1">
            <w:col w:w="10219"/>
          </w:cols>
          <w:pgMar w:left="240" w:top="1440" w:right="1440" w:bottom="1440" w:gutter="0" w:footer="0" w:header="0"/>
        </w:sectPr>
      </w:pPr>
    </w:p>
    <w:p>
      <w:pPr>
        <w:spacing w:after="0" w:line="179"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Schedule 5.19</w:t>
      </w:r>
    </w:p>
    <w:p>
      <w:pPr>
        <w:sectPr>
          <w:pgSz w:w="11900" w:h="16838" w:orient="portrait"/>
          <w:cols w:equalWidth="0" w:num="1">
            <w:col w:w="10219"/>
          </w:cols>
          <w:pgMar w:left="240" w:top="1440" w:right="1440" w:bottom="1440" w:gutter="0" w:footer="0" w:header="0"/>
          <w:type w:val="continuous"/>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517525</wp:posOffset>
            </wp:positionV>
            <wp:extent cx="5848985" cy="4004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00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5.19</w:t>
      </w:r>
    </w:p>
    <w:p>
      <w:pPr>
        <w:sectPr>
          <w:pgSz w:w="11900" w:h="16838" w:orient="portrait"/>
          <w:cols w:equalWidth="0" w:num="1">
            <w:col w:w="9019"/>
          </w:cols>
          <w:pgMar w:left="1440" w:top="1440" w:right="1440" w:bottom="1440" w:gutter="0" w:footer="0" w:header="0"/>
        </w:sectPr>
      </w:pPr>
    </w:p>
    <w:bookmarkStart w:id="212" w:name="page213"/>
    <w:bookmarkEnd w:id="212"/>
    <w:p>
      <w:pPr>
        <w:spacing w:after="0" w:line="273" w:lineRule="auto"/>
        <w:rPr>
          <w:sz w:val="20"/>
          <w:szCs w:val="20"/>
          <w:color w:val="auto"/>
        </w:rPr>
      </w:pPr>
      <w:r>
        <w:rPr>
          <w:rFonts w:ascii="Arial" w:cs="Arial" w:eastAsia="Arial" w:hAnsi="Arial"/>
          <w:sz w:val="14"/>
          <w:szCs w:val="14"/>
          <w:color w:val="FFFFFF"/>
        </w:rPr>
        <w:t>ch Occurrence $25,000,000 General Aggregate $25,000,000 Products/Completed Operations Aggregate 3rd Excess $25,000,000 Each Occurrence $25,000,000 General Aggregate $25,000,000 Products/Completed Operations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848985" cy="3902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8985"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Schedule 5.19</w:t>
      </w:r>
    </w:p>
    <w:p>
      <w:pPr>
        <w:sectPr>
          <w:pgSz w:w="11900" w:h="16838" w:orient="portrait"/>
          <w:cols w:equalWidth="0" w:num="1">
            <w:col w:w="11080"/>
          </w:cols>
          <w:pgMar w:left="240" w:top="580" w:right="579" w:bottom="1440" w:gutter="0" w:footer="0" w:header="0"/>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517525</wp:posOffset>
            </wp:positionV>
            <wp:extent cx="5848985" cy="3764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76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5.19</w:t>
      </w:r>
    </w:p>
    <w:p>
      <w:pPr>
        <w:sectPr>
          <w:pgSz w:w="11900" w:h="16838" w:orient="portrait"/>
          <w:cols w:equalWidth="0" w:num="1">
            <w:col w:w="9019"/>
          </w:cols>
          <w:pgMar w:left="1440" w:top="1440" w:right="1440" w:bottom="1440" w:gutter="0" w:footer="0" w:header="0"/>
        </w:sectPr>
      </w:pPr>
    </w:p>
    <w:bookmarkStart w:id="214" w:name="page215"/>
    <w:bookmarkEnd w:id="214"/>
    <w:p>
      <w:pPr>
        <w:ind w:left="3440"/>
        <w:spacing w:after="0"/>
        <w:rPr>
          <w:sz w:val="20"/>
          <w:szCs w:val="20"/>
          <w:color w:val="auto"/>
        </w:rPr>
      </w:pPr>
      <w:r>
        <w:rPr>
          <w:rFonts w:ascii="Arial" w:cs="Arial" w:eastAsia="Arial" w:hAnsi="Arial"/>
          <w:sz w:val="14"/>
          <w:szCs w:val="14"/>
          <w:color w:val="FFFFFF"/>
        </w:rPr>
        <w:t>Miscellaneous Unnamed Locations $ 1,000,000 Land Improvements $</w:t>
      </w:r>
    </w:p>
    <w:p>
      <w:pPr>
        <w:spacing w:after="0" w:line="20" w:lineRule="exact"/>
        <w:rPr>
          <w:sz w:val="20"/>
          <w:szCs w:val="20"/>
          <w:color w:val="auto"/>
        </w:rPr>
      </w:pPr>
    </w:p>
    <w:p>
      <w:pPr>
        <w:spacing w:after="0"/>
        <w:rPr>
          <w:sz w:val="20"/>
          <w:szCs w:val="20"/>
          <w:color w:val="auto"/>
        </w:rPr>
      </w:pPr>
      <w:r>
        <w:rPr>
          <w:sz w:val="1"/>
          <w:szCs w:val="1"/>
          <w:color w:val="auto"/>
        </w:rPr>
        <w:drawing>
          <wp:inline distT="0" distB="0" distL="0" distR="0">
            <wp:extent cx="5848985" cy="38588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8985" cy="3858895"/>
                    </a:xfrm>
                    <a:prstGeom prst="rect">
                      <a:avLst/>
                    </a:prstGeom>
                    <a:noFill/>
                    <a:ln>
                      <a:noFill/>
                    </a:ln>
                  </pic:spPr>
                </pic:pic>
              </a:graphicData>
            </a:graphic>
          </wp:inline>
        </w:drawing>
      </w:r>
      <w:r>
        <w:rPr>
          <w:rFonts w:ascii="Arial" w:cs="Arial" w:eastAsia="Arial" w:hAnsi="Arial"/>
          <w:sz w:val="12"/>
          <w:szCs w:val="12"/>
          <w:color w:val="FFFFFF"/>
        </w:rPr>
        <w:t>15,000,000 Pipelines—Rivers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FFFFFF"/>
        </w:rPr>
        <w:t>Crossings, PD Only $ 10,000,000 Pipelines-Underground PD Only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5.19</w:t>
      </w:r>
    </w:p>
    <w:p>
      <w:pPr>
        <w:sectPr>
          <w:pgSz w:w="11900" w:h="16838" w:orient="portrait"/>
          <w:cols w:equalWidth="0" w:num="1">
            <w:col w:w="10940"/>
          </w:cols>
          <w:pgMar w:left="480" w:top="796" w:right="479"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3601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5.19</w:t>
      </w:r>
    </w:p>
    <w:p>
      <w:pPr>
        <w:sectPr>
          <w:pgSz w:w="11900" w:h="16838" w:orient="portrait"/>
          <w:cols w:equalWidth="0" w:num="1">
            <w:col w:w="9019"/>
          </w:cols>
          <w:pgMar w:left="1440" w:top="1440" w:right="1440" w:bottom="1440" w:gutter="0" w:footer="0" w:header="0"/>
        </w:sectPr>
      </w:pPr>
    </w:p>
    <w:bookmarkStart w:id="216" w:name="page217"/>
    <w:bookmarkEnd w:id="216"/>
    <w:p>
      <w:pPr>
        <w:jc w:val="center"/>
        <w:spacing w:after="0"/>
        <w:rPr>
          <w:sz w:val="20"/>
          <w:szCs w:val="20"/>
          <w:color w:val="auto"/>
        </w:rPr>
      </w:pPr>
      <w:r>
        <w:rPr>
          <w:rFonts w:ascii="Arial" w:cs="Arial" w:eastAsia="Arial" w:hAnsi="Arial"/>
          <w:sz w:val="13"/>
          <w:szCs w:val="13"/>
          <w:color w:val="FFFFFF"/>
        </w:rPr>
        <w:t>rm: April 1, 2O1 3 — October 1, 2O1 4 Deductibles apply as per primary 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19685</wp:posOffset>
            </wp:positionV>
            <wp:extent cx="5848985" cy="3241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985" cy="324167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5.19</w:t>
      </w:r>
    </w:p>
    <w:p>
      <w:pPr>
        <w:sectPr>
          <w:pgSz w:w="11900" w:h="16838" w:orient="portrait"/>
          <w:cols w:equalWidth="0" w:num="1">
            <w:col w:w="9019"/>
          </w:cols>
          <w:pgMar w:left="1440" w:top="796" w:right="1440" w:bottom="1440" w:gutter="0" w:footer="0" w:header="0"/>
          <w:type w:val="continuous"/>
        </w:sectPr>
      </w:pPr>
    </w:p>
    <w:bookmarkStart w:id="217" w:name="page218"/>
    <w:bookmarkEnd w:id="217"/>
    <w:p>
      <w:pPr>
        <w:jc w:val="right"/>
        <w:spacing w:after="0"/>
        <w:rPr>
          <w:sz w:val="20"/>
          <w:szCs w:val="20"/>
          <w:color w:val="auto"/>
        </w:rPr>
      </w:pPr>
      <w:r>
        <w:rPr>
          <w:rFonts w:ascii="Arial" w:cs="Arial" w:eastAsia="Arial" w:hAnsi="Arial"/>
          <w:sz w:val="18"/>
          <w:szCs w:val="18"/>
          <w:b w:val="1"/>
          <w:bCs w:val="1"/>
          <w:i w:val="1"/>
          <w:iCs w:val="1"/>
          <w:color w:val="auto"/>
        </w:rPr>
        <w:t>SCHEDULE 7.05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ON THE EXECUTION DATE AND THE CLOSING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Schedule 5.12.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7.05</w:t>
      </w:r>
    </w:p>
    <w:p>
      <w:pPr>
        <w:sectPr>
          <w:pgSz w:w="11900" w:h="16838" w:orient="portrait"/>
          <w:cols w:equalWidth="0" w:num="1">
            <w:col w:w="11420"/>
          </w:cols>
          <w:pgMar w:left="240" w:top="801"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i w:val="1"/>
          <w:iCs w:val="1"/>
          <w:color w:val="auto"/>
        </w:rPr>
        <w:t>SCHEDULE 11.02</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CERTAIN ADDRESSES FOR NOTICES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MIDSTREAM PARTNERS OPERATING, LLC: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QEP Midstream Partners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 17th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J. Doleshek,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Richard.doleshek@qepres.com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(303) 308-3639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(303) 640-4242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Rod H. Larsen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rod.larsen@qepres.com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(303) 308-3639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(303) 640-4261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 payments and Requests for Borrowings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1525 W WT Harris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28262-8522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Keisha Dockery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704-590-2770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704-590-2782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keisha.m.dockery@wellsfargo.com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Notices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1525 W WT Harris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28262-8522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Keisha Dockery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704-590-2770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704-590-2782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keisha.m.dockery@wellsfargo.com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BANK AS L/C ISSUER: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1525 W WT Harris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28262-8522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Keisha Dockery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11.02</w:t>
      </w:r>
    </w:p>
    <w:p>
      <w:pPr>
        <w:sectPr>
          <w:pgSz w:w="11900" w:h="16838" w:orient="portrait"/>
          <w:cols w:equalWidth="0" w:num="1">
            <w:col w:w="11420"/>
          </w:cols>
          <w:pgMar w:left="240" w:top="800"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Telephone: 704-590-2770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704-590-2782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keisha.m.dockery@wellsfargo.com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SWING LINE 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1525 W WT Harris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28262-8522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Keisha Dockery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704-590-2770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704-590-2782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keisha.m.dockery@wellsfargo.com</w:t>
      </w:r>
    </w:p>
    <w:p>
      <w:pPr>
        <w:spacing w:after="0" w:line="15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Schedule 11.02</w:t>
      </w:r>
    </w:p>
    <w:p>
      <w:pPr>
        <w:sectPr>
          <w:pgSz w:w="11900" w:h="16838" w:orient="portrait"/>
          <w:cols w:equalWidth="0" w:num="1">
            <w:col w:w="10219"/>
          </w:cols>
          <w:pgMar w:left="240" w:top="801"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i w:val="1"/>
          <w:iCs w:val="1"/>
          <w:color w:val="auto"/>
        </w:rPr>
        <w:t>EXHIBIT A-1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NOTICE</w:t>
      </w:r>
    </w:p>
    <w:p>
      <w:pPr>
        <w:spacing w:after="0" w:line="175" w:lineRule="exact"/>
        <w:rPr>
          <w:sz w:val="20"/>
          <w:szCs w:val="20"/>
          <w:color w:val="auto"/>
        </w:rPr>
      </w:pPr>
    </w:p>
    <w:p>
      <w:pPr>
        <w:ind w:left="9680"/>
        <w:spacing w:after="0"/>
        <w:tabs>
          <w:tab w:leader="none" w:pos="1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6423025</wp:posOffset>
            </wp:positionH>
            <wp:positionV relativeFrom="paragraph">
              <wp:posOffset>-10160</wp:posOffset>
            </wp:positionV>
            <wp:extent cx="8286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Wells Fargo Bank, National Association,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Reference is made to that certain Credit Agreement, dated as of August 14, 2013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QEP Midstream Partners Operating,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QEP Midstream Partners, LP, a Delaware limited partnership, each Lender and L/C Issuer from time to time party thereto, and Wells Fargo Bank, National Association, as Administrative Agent, L/C Issuer and Swing Line Lender.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(select one):</w:t>
      </w:r>
    </w:p>
    <w:p>
      <w:pPr>
        <w:spacing w:after="0" w:line="139" w:lineRule="exact"/>
        <w:rPr>
          <w:sz w:val="20"/>
          <w:szCs w:val="20"/>
          <w:color w:val="auto"/>
        </w:rPr>
      </w:pPr>
    </w:p>
    <w:p>
      <w:pPr>
        <w:jc w:val="center"/>
        <w:ind w:right="7700"/>
        <w:spacing w:after="0"/>
        <w:tabs>
          <w:tab w:leader="none" w:pos="4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 Borrowing of</w:t>
      </w:r>
    </w:p>
    <w:p>
      <w:pPr>
        <w:spacing w:after="0" w:line="58" w:lineRule="exact"/>
        <w:rPr>
          <w:sz w:val="20"/>
          <w:szCs w:val="20"/>
          <w:color w:val="auto"/>
        </w:rPr>
      </w:pPr>
    </w:p>
    <w:p>
      <w:pPr>
        <w:jc w:val="center"/>
        <w:ind w:right="8380"/>
        <w:spacing w:after="0"/>
        <w:rPr>
          <w:sz w:val="20"/>
          <w:szCs w:val="20"/>
          <w:color w:val="auto"/>
        </w:rPr>
      </w:pPr>
      <w:r>
        <w:rPr>
          <w:rFonts w:ascii="Arial" w:cs="Arial" w:eastAsia="Arial" w:hAnsi="Arial"/>
          <w:sz w:val="18"/>
          <w:szCs w:val="18"/>
          <w:color w:val="auto"/>
        </w:rPr>
        <w:t>Loans</w:t>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A conversion 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continuation of Loans</w:t>
      </w:r>
    </w:p>
    <w:p>
      <w:pPr>
        <w:spacing w:after="0" w:line="184"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126365</wp:posOffset>
            </wp:positionV>
            <wp:extent cx="11715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left="580" w:hanging="545"/>
        <w:spacing w:after="0"/>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amount of</w:t>
      </w:r>
    </w:p>
    <w:p>
      <w:pPr>
        <w:spacing w:after="0" w:line="23" w:lineRule="exact"/>
        <w:rPr>
          <w:sz w:val="20"/>
          <w:szCs w:val="20"/>
          <w:color w:val="auto"/>
        </w:rPr>
      </w:pPr>
    </w:p>
    <w:p>
      <w:pPr>
        <w:ind w:left="1560" w:hanging="985"/>
        <w:spacing w:after="0"/>
        <w:tabs>
          <w:tab w:leader="none" w:pos="15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-19050</wp:posOffset>
            </wp:positionV>
            <wp:extent cx="571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  Comprised</w:t>
            </w:r>
          </w:p>
        </w:tc>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0"/>
        </w:trPr>
        <w:tc>
          <w:tcPr>
            <w:tcW w:w="380" w:type="dxa"/>
            <w:vAlign w:val="bottom"/>
          </w:tcPr>
          <w:p>
            <w:pPr>
              <w:ind w:left="220"/>
              <w:spacing w:after="0" w:line="190" w:lineRule="exact"/>
              <w:rPr>
                <w:sz w:val="20"/>
                <w:szCs w:val="20"/>
                <w:color w:val="auto"/>
              </w:rPr>
            </w:pPr>
            <w:r>
              <w:rPr>
                <w:rFonts w:ascii="Arial" w:cs="Arial" w:eastAsia="Arial" w:hAnsi="Arial"/>
                <w:sz w:val="18"/>
                <w:szCs w:val="18"/>
                <w:color w:val="auto"/>
                <w:w w:val="92"/>
              </w:rPr>
              <w:t>of</w:t>
            </w:r>
          </w:p>
        </w:tc>
        <w:tc>
          <w:tcPr>
            <w:tcW w:w="1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80" w:type="dxa"/>
            <w:vAlign w:val="bottom"/>
          </w:tcPr>
          <w:p>
            <w:pPr>
              <w:jc w:val="right"/>
              <w:ind w:right="1310"/>
              <w:spacing w:after="0" w:line="190" w:lineRule="exact"/>
              <w:rPr>
                <w:sz w:val="20"/>
                <w:szCs w:val="20"/>
                <w:color w:val="auto"/>
              </w:rPr>
            </w:pPr>
            <w:r>
              <w:rPr>
                <w:rFonts w:ascii="Arial" w:cs="Arial" w:eastAsia="Arial" w:hAnsi="Arial"/>
                <w:sz w:val="18"/>
                <w:szCs w:val="18"/>
                <w:color w:val="auto"/>
              </w:rPr>
              <w:t>.</w:t>
            </w:r>
          </w:p>
        </w:tc>
      </w:tr>
      <w:tr>
        <w:trPr>
          <w:trHeight w:val="264"/>
        </w:trPr>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[Type of Loan requested]</w:t>
            </w:r>
          </w:p>
        </w:tc>
      </w:tr>
    </w:tbl>
    <w:p>
      <w:pPr>
        <w:spacing w:after="0" w:line="148" w:lineRule="exact"/>
        <w:rPr>
          <w:sz w:val="20"/>
          <w:szCs w:val="20"/>
          <w:color w:val="auto"/>
        </w:rPr>
      </w:pPr>
    </w:p>
    <w:p>
      <w:pPr>
        <w:ind w:left="580" w:right="9200" w:hanging="545"/>
        <w:spacing w:after="0" w:line="256" w:lineRule="auto"/>
        <w:tabs>
          <w:tab w:leader="none" w:pos="5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 Eurodollar Rate Loans: with an Interest Period of</w:t>
      </w:r>
    </w:p>
    <w:p>
      <w:pPr>
        <w:ind w:left="580" w:right="9440"/>
        <w:spacing w:after="0" w:line="261" w:lineRule="auto"/>
        <w:rPr>
          <w:rFonts w:ascii="Arial" w:cs="Arial" w:eastAsia="Arial" w:hAnsi="Arial"/>
          <w:sz w:val="18"/>
          <w:szCs w:val="18"/>
          <w:color w:val="auto"/>
        </w:rPr>
      </w:pPr>
      <w:r>
        <w:rPr>
          <w:rFonts w:ascii="Arial" w:cs="Arial" w:eastAsia="Arial" w:hAnsi="Arial"/>
          <w:sz w:val="18"/>
          <w:szCs w:val="18"/>
          <w:color w:val="auto"/>
        </w:rPr>
        <w:t>- [month(s) /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-173990</wp:posOffset>
            </wp:positionV>
            <wp:extent cx="342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Borrowing requested herein complies with the proviso to the first sentence of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of the Agreement.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QEP MIDSTREAM PARTNERS OPERATING, LLC</w:t>
      </w:r>
    </w:p>
    <w:p>
      <w:pPr>
        <w:sectPr>
          <w:pgSz w:w="11900" w:h="16838" w:orient="portrait"/>
          <w:cols w:equalWidth="0" w:num="1">
            <w:col w:w="11420"/>
          </w:cols>
          <w:pgMar w:left="240" w:top="800" w:right="23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QEP MIDSTREAM PARTNERS, LP, its sole member</w:t>
      </w:r>
    </w:p>
    <w:p>
      <w:pPr>
        <w:spacing w:after="0" w:line="211" w:lineRule="exact"/>
        <w:rPr>
          <w:sz w:val="20"/>
          <w:szCs w:val="20"/>
          <w:color w:val="auto"/>
        </w:rPr>
      </w:pPr>
    </w:p>
    <w:p>
      <w:pPr>
        <w:sectPr>
          <w:pgSz w:w="11900" w:h="16838" w:orient="portrait"/>
          <w:cols w:equalWidth="0" w:num="2">
            <w:col w:w="1720" w:space="720"/>
            <w:col w:w="8980"/>
          </w:cols>
          <w:pgMar w:left="240" w:top="800"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QEP MIDSTREAM PARTNERS GP, LLC, its general partner</w:t>
      </w:r>
    </w:p>
    <w:p>
      <w:pPr>
        <w:spacing w:after="0" w:line="211" w:lineRule="exact"/>
        <w:rPr>
          <w:sz w:val="20"/>
          <w:szCs w:val="20"/>
          <w:color w:val="auto"/>
        </w:rPr>
      </w:pPr>
    </w:p>
    <w:p>
      <w:pPr>
        <w:sectPr>
          <w:pgSz w:w="11900" w:h="16838" w:orient="portrait"/>
          <w:cols w:equalWidth="0" w:num="2">
            <w:col w:w="1720" w:space="720"/>
            <w:col w:w="8980"/>
          </w:cols>
          <w:pgMar w:left="240" w:top="800"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39370</wp:posOffset>
            </wp:positionV>
            <wp:extent cx="68091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p>
      <w:pPr>
        <w:spacing w:after="0" w:line="8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4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0" w:right="239" w:bottom="1440" w:gutter="0" w:footer="0" w:header="0"/>
          <w:type w:val="continuous"/>
        </w:sectPr>
      </w:pPr>
    </w:p>
    <w:bookmarkStart w:id="221" w:name="page222"/>
    <w:bookmarkEnd w:id="221"/>
    <w:p>
      <w:pPr>
        <w:jc w:val="right"/>
        <w:spacing w:after="0"/>
        <w:rPr>
          <w:sz w:val="20"/>
          <w:szCs w:val="20"/>
          <w:color w:val="auto"/>
        </w:rPr>
      </w:pPr>
      <w:r>
        <w:rPr>
          <w:rFonts w:ascii="Arial" w:cs="Arial" w:eastAsia="Arial" w:hAnsi="Arial"/>
          <w:sz w:val="18"/>
          <w:szCs w:val="18"/>
          <w:b w:val="1"/>
          <w:bCs w:val="1"/>
          <w:i w:val="1"/>
          <w:iCs w:val="1"/>
          <w:color w:val="auto"/>
        </w:rPr>
        <w:t>EXHIBIT A-2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175" w:lineRule="exact"/>
        <w:rPr>
          <w:sz w:val="20"/>
          <w:szCs w:val="20"/>
          <w:color w:val="auto"/>
        </w:rPr>
      </w:pPr>
    </w:p>
    <w:p>
      <w:pPr>
        <w:ind w:left="964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-10160</wp:posOffset>
            </wp:positionV>
            <wp:extent cx="8572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Wells Fargo Bank, National Association,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Reference is made to that certain Credit Agreement, dated as of August 14, 2013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QEP Midstream Partners Operating,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QEP Midstream Partners, LP, a Delaware limited partnership, each Lender and L/C Issuer from time to time party thereto, and Wells Fargo Bank, National Association, as Administrative Agent, L/C Issuer and Swing Line Lender.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a Swing Line Loan:</w:t>
      </w:r>
    </w:p>
    <w:p>
      <w:pPr>
        <w:spacing w:after="0" w:line="360" w:lineRule="exact"/>
        <w:rPr>
          <w:sz w:val="20"/>
          <w:szCs w:val="20"/>
          <w:color w:val="auto"/>
        </w:rPr>
      </w:pPr>
    </w:p>
    <w:p>
      <w:pPr>
        <w:ind w:left="580" w:hanging="545"/>
        <w:spacing w:after="0"/>
        <w:tabs>
          <w:tab w:leader="none" w:pos="5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-10160</wp:posOffset>
            </wp:positionV>
            <wp:extent cx="771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-19050</wp:posOffset>
            </wp:positionV>
            <wp:extent cx="257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64" w:lineRule="exact"/>
        <w:rPr>
          <w:sz w:val="20"/>
          <w:szCs w:val="20"/>
          <w:color w:val="auto"/>
        </w:rPr>
      </w:pPr>
    </w:p>
    <w:p>
      <w:pPr>
        <w:ind w:left="580" w:hanging="545"/>
        <w:spacing w:after="0"/>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amount of</w:t>
      </w:r>
    </w:p>
    <w:p>
      <w:pPr>
        <w:spacing w:after="0" w:line="23" w:lineRule="exact"/>
        <w:rPr>
          <w:sz w:val="20"/>
          <w:szCs w:val="20"/>
          <w:color w:val="auto"/>
        </w:rPr>
      </w:pPr>
    </w:p>
    <w:p>
      <w:pPr>
        <w:ind w:left="1560" w:hanging="985"/>
        <w:spacing w:after="0"/>
        <w:tabs>
          <w:tab w:leader="none" w:pos="15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-19050</wp:posOffset>
            </wp:positionV>
            <wp:extent cx="571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53" w:lineRule="exact"/>
        <w:rPr>
          <w:sz w:val="20"/>
          <w:szCs w:val="20"/>
          <w:color w:val="auto"/>
        </w:rPr>
      </w:pPr>
    </w:p>
    <w:p>
      <w:pPr>
        <w:ind w:left="580" w:right="9120" w:hanging="545"/>
        <w:spacing w:after="0" w:line="291" w:lineRule="auto"/>
        <w:tabs>
          <w:tab w:leader="none" w:pos="5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With a Swing Line Rate equal to [the Base Rate plus the Applicable Rate for Base Rate Loans] [the rate established as provided on </w:t>
      </w:r>
      <w:r>
        <w:rPr>
          <w:rFonts w:ascii="Arial" w:cs="Arial" w:eastAsia="Arial" w:hAnsi="Arial"/>
          <w:sz w:val="16"/>
          <w:szCs w:val="16"/>
          <w:u w:val="single" w:color="auto"/>
          <w:color w:val="auto"/>
        </w:rPr>
        <w:t>Schedule 2.04]</w:t>
      </w:r>
      <w:r>
        <w:rPr>
          <w:rFonts w:ascii="Arial" w:cs="Arial" w:eastAsia="Arial" w:hAnsi="Arial"/>
          <w:sz w:val="16"/>
          <w:szCs w:val="16"/>
          <w:color w:val="auto"/>
        </w:rPr>
        <w: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Swing Line Borrowing requested herein complies with the requirements of the provisos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of the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QEP MIDSTREAM PARTNERS OPERATING, LLC</w:t>
      </w:r>
    </w:p>
    <w:p>
      <w:pPr>
        <w:sectPr>
          <w:pgSz w:w="11900" w:h="16838" w:orient="portrait"/>
          <w:cols w:equalWidth="0" w:num="1">
            <w:col w:w="11420"/>
          </w:cols>
          <w:pgMar w:left="240" w:top="801" w:right="23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QEP MIDSTREAM PARTNERS, LP, its sole member</w:t>
      </w:r>
    </w:p>
    <w:p>
      <w:pPr>
        <w:spacing w:after="0" w:line="211" w:lineRule="exact"/>
        <w:rPr>
          <w:sz w:val="20"/>
          <w:szCs w:val="20"/>
          <w:color w:val="auto"/>
        </w:rPr>
      </w:pPr>
    </w:p>
    <w:p>
      <w:pPr>
        <w:sectPr>
          <w:pgSz w:w="11900" w:h="16838" w:orient="portrait"/>
          <w:cols w:equalWidth="0" w:num="2">
            <w:col w:w="1720" w:space="720"/>
            <w:col w:w="8980"/>
          </w:cols>
          <w:pgMar w:left="240" w:top="801"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QEP MIDSTREAM PARTNERS GP, LLC, its general partner</w:t>
      </w:r>
    </w:p>
    <w:p>
      <w:pPr>
        <w:spacing w:after="0" w:line="211" w:lineRule="exact"/>
        <w:rPr>
          <w:sz w:val="20"/>
          <w:szCs w:val="20"/>
          <w:color w:val="auto"/>
        </w:rPr>
      </w:pPr>
    </w:p>
    <w:p>
      <w:pPr>
        <w:sectPr>
          <w:pgSz w:w="11900" w:h="16838" w:orient="portrait"/>
          <w:cols w:equalWidth="0" w:num="2">
            <w:col w:w="1720" w:space="720"/>
            <w:col w:w="8980"/>
          </w:cols>
          <w:pgMar w:left="240" w:top="801"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39370</wp:posOffset>
            </wp:positionV>
            <wp:extent cx="68091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type w:val="continuous"/>
        </w:sectPr>
      </w:pPr>
    </w:p>
    <w:p>
      <w:pPr>
        <w:spacing w:after="0" w:line="8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4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1" w:right="239" w:bottom="1440" w:gutter="0" w:footer="0" w:header="0"/>
          <w:type w:val="continuous"/>
        </w:sectPr>
      </w:pPr>
    </w:p>
    <w:bookmarkStart w:id="222" w:name="page223"/>
    <w:bookmarkEnd w:id="222"/>
    <w:tbl>
      <w:tblPr>
        <w:tblLayout w:type="fixed"/>
        <w:tblInd w:w="4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EXHIBIT B</w:t>
            </w:r>
          </w:p>
        </w:tc>
      </w:tr>
      <w:tr>
        <w:trPr>
          <w:trHeight w:val="378"/>
        </w:trPr>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FORM OF NOTE</w:t>
            </w: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8"/>
        </w:trPr>
        <w:tc>
          <w:tcPr>
            <w:tcW w:w="4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650"/>
              <w:spacing w:after="0"/>
              <w:rPr>
                <w:sz w:val="20"/>
                <w:szCs w:val="20"/>
                <w:color w:val="auto"/>
              </w:rPr>
            </w:pPr>
            <w:r>
              <w:rPr>
                <w:rFonts w:ascii="Arial" w:cs="Arial" w:eastAsia="Arial" w:hAnsi="Arial"/>
                <w:sz w:val="18"/>
                <w:szCs w:val="18"/>
                <w:color w:val="auto"/>
              </w:rPr>
              <w:t>], 20[  ]</w:t>
            </w: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6800" w:type="dxa"/>
            <w:vAlign w:val="bottom"/>
            <w:gridSpan w:val="4"/>
          </w:tcPr>
          <w:p>
            <w:pPr>
              <w:jc w:val="right"/>
              <w:ind w:right="370"/>
              <w:spacing w:after="0"/>
              <w:rPr>
                <w:sz w:val="20"/>
                <w:szCs w:val="20"/>
                <w:color w:val="auto"/>
              </w:rPr>
            </w:pPr>
            <w:r>
              <w:rPr>
                <w:rFonts w:ascii="Arial" w:cs="Arial" w:eastAsia="Arial" w:hAnsi="Arial"/>
                <w:sz w:val="18"/>
                <w:szCs w:val="18"/>
                <w:color w:val="auto"/>
                <w:w w:val="92"/>
              </w:rPr>
              <w:t>FOR VALUE RECEIVED, the undersigned (the “Borrower”) hereby promises to pay to</w:t>
            </w:r>
          </w:p>
        </w:tc>
        <w:tc>
          <w:tcPr>
            <w:tcW w:w="4180" w:type="dxa"/>
            <w:vAlign w:val="bottom"/>
            <w:gridSpan w:val="3"/>
          </w:tcPr>
          <w:p>
            <w:pPr>
              <w:ind w:left="480"/>
              <w:spacing w:after="0"/>
              <w:rPr>
                <w:sz w:val="20"/>
                <w:szCs w:val="20"/>
                <w:color w:val="auto"/>
              </w:rPr>
            </w:pPr>
            <w:r>
              <w:rPr>
                <w:rFonts w:ascii="Arial" w:cs="Arial" w:eastAsia="Arial" w:hAnsi="Arial"/>
                <w:sz w:val="18"/>
                <w:szCs w:val="18"/>
                <w:color w:val="auto"/>
                <w:w w:val="91"/>
              </w:rPr>
              <w:t>or registered assigns (the “Lender”), in accordance</w:t>
            </w:r>
          </w:p>
        </w:tc>
      </w:tr>
      <w:tr>
        <w:trPr>
          <w:trHeight w:val="20"/>
        </w:trPr>
        <w:tc>
          <w:tcPr>
            <w:tcW w:w="3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with the provisions of the Agreement (as hereinafter defined), the principal amount of each Loan from time to time made by the Lender to the Borrower under that certain Credit Agreement, dated as of August 14, 2013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the Borrower, QEP Midstream Partners, LP, each Lender and L/C Issuer from time to time party thereto, and Wells Fargo Bank, National Association, as Administrative Agent, L/C Issuer and Swing Line Lender.</w:t>
      </w:r>
    </w:p>
    <w:p>
      <w:pPr>
        <w:spacing w:after="0" w:line="10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Borrower promises to pay interest on the unpaid principal amount of each Loan from the date of such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34"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This Note is one of the Notes referred to in the Agreement, is entitled to the benefits thereof and may be prepaid in whole or in part subject to the terms and conditions provided therein. Upon the occurrence and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0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Note.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1" w:right="239" w:bottom="1440" w:gutter="0" w:footer="0" w:header="0"/>
        </w:sectPr>
      </w:pPr>
    </w:p>
    <w:bookmarkStart w:id="223" w:name="page224"/>
    <w:bookmarkEnd w:id="223"/>
    <w:p>
      <w:pPr>
        <w:ind w:firstLine="432"/>
        <w:spacing w:after="0" w:line="277" w:lineRule="auto"/>
        <w:rPr>
          <w:sz w:val="20"/>
          <w:szCs w:val="20"/>
          <w:color w:val="auto"/>
        </w:rPr>
      </w:pPr>
      <w:r>
        <w:rPr>
          <w:rFonts w:ascii="Arial" w:cs="Arial" w:eastAsia="Arial" w:hAnsi="Arial"/>
          <w:sz w:val="18"/>
          <w:szCs w:val="18"/>
          <w:color w:val="auto"/>
        </w:rPr>
        <w:t>THIS NOTE SHALL BE GOVERNED BY AND CONSTRUED IN ACCORDANCE WITH THE LAWS OF THE STATE OF NEW YORK, WITHOUT REGARD TO CONFLICTS OF LAWS PRINCIPLES.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QEP MIDSTREAM PARTNERS OPERATING, LLC</w:t>
      </w:r>
    </w:p>
    <w:p>
      <w:pPr>
        <w:sectPr>
          <w:pgSz w:w="11900" w:h="16838" w:orient="portrait"/>
          <w:cols w:equalWidth="0" w:num="1">
            <w:col w:w="10700"/>
          </w:cols>
          <w:pgMar w:left="240" w:top="801" w:right="95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QEP MIDSTREAM PARTNERS, LP, its sole member</w:t>
      </w:r>
    </w:p>
    <w:p>
      <w:pPr>
        <w:spacing w:after="0" w:line="211" w:lineRule="exact"/>
        <w:rPr>
          <w:sz w:val="20"/>
          <w:szCs w:val="20"/>
          <w:color w:val="auto"/>
        </w:rPr>
      </w:pPr>
    </w:p>
    <w:p>
      <w:pPr>
        <w:sectPr>
          <w:pgSz w:w="11900" w:h="16838" w:orient="portrait"/>
          <w:cols w:equalWidth="0" w:num="2">
            <w:col w:w="800" w:space="720"/>
            <w:col w:w="9180"/>
          </w:cols>
          <w:pgMar w:left="240" w:top="801" w:right="95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QEP MIDSTREAM PARTNERS GP, LLC, its general partner</w:t>
      </w:r>
    </w:p>
    <w:p>
      <w:pPr>
        <w:spacing w:after="0" w:line="211" w:lineRule="exact"/>
        <w:rPr>
          <w:sz w:val="20"/>
          <w:szCs w:val="20"/>
          <w:color w:val="auto"/>
        </w:rPr>
      </w:pPr>
    </w:p>
    <w:p>
      <w:pPr>
        <w:sectPr>
          <w:pgSz w:w="11900" w:h="16838" w:orient="portrait"/>
          <w:cols w:equalWidth="0" w:num="2">
            <w:col w:w="800" w:space="720"/>
            <w:col w:w="9180"/>
          </w:cols>
          <w:pgMar w:left="240" w:top="801"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31750</wp:posOffset>
            </wp:positionV>
            <wp:extent cx="6586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5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31750</wp:posOffset>
            </wp:positionV>
            <wp:extent cx="4768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31750</wp:posOffset>
            </wp:positionV>
            <wp:extent cx="4768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192" w:lineRule="exact"/>
        <w:rPr>
          <w:sz w:val="20"/>
          <w:szCs w:val="20"/>
          <w:color w:val="auto"/>
        </w:rPr>
      </w:pPr>
    </w:p>
    <w:p>
      <w:pPr>
        <w:jc w:val="center"/>
        <w:ind w:right="-719"/>
        <w:spacing w:after="0"/>
        <w:rPr>
          <w:sz w:val="20"/>
          <w:szCs w:val="20"/>
          <w:color w:val="auto"/>
        </w:rPr>
      </w:pPr>
      <w:r>
        <w:rPr>
          <w:rFonts w:ascii="Arial" w:cs="Arial" w:eastAsia="Arial" w:hAnsi="Arial"/>
          <w:sz w:val="17"/>
          <w:szCs w:val="17"/>
          <w:color w:val="auto"/>
        </w:rPr>
        <w:t>Exhibit B</w:t>
      </w:r>
    </w:p>
    <w:p>
      <w:pPr>
        <w:spacing w:after="0" w:line="35"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700"/>
          </w:cols>
          <w:pgMar w:left="240" w:top="801" w:right="959" w:bottom="1440" w:gutter="0" w:footer="0" w:header="0"/>
          <w:type w:val="continuous"/>
        </w:sectPr>
      </w:pPr>
    </w:p>
    <w:bookmarkStart w:id="224" w:name="page225"/>
    <w:bookmarkEnd w:id="224"/>
    <w:p>
      <w:pPr>
        <w:jc w:val="right"/>
        <w:spacing w:after="0"/>
        <w:rPr>
          <w:sz w:val="20"/>
          <w:szCs w:val="20"/>
          <w:color w:val="auto"/>
        </w:rPr>
      </w:pPr>
      <w:r>
        <w:rPr>
          <w:rFonts w:ascii="Arial" w:cs="Arial" w:eastAsia="Arial" w:hAnsi="Arial"/>
          <w:sz w:val="18"/>
          <w:szCs w:val="18"/>
          <w:b w:val="1"/>
          <w:bCs w:val="1"/>
          <w:i w:val="1"/>
          <w:iCs w:val="1"/>
          <w:color w:val="auto"/>
        </w:rPr>
        <w:t>EXHIBIT 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175"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Financial 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6908800</wp:posOffset>
            </wp:positionH>
            <wp:positionV relativeFrom="paragraph">
              <wp:posOffset>-10160</wp:posOffset>
            </wp:positionV>
            <wp:extent cx="3429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Wells Fargo Bank, National Association,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Reference is made to that certain Credit Agreement, dated as of August 14, 2013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QEP Midstream Partners Operating,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QEP Midstream Partners, LP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each Lender and L/C Issuer from time to time party thereto, and Wells Fargo Bank, National Association, as Administrative Agent, L/C Issuer and Swing Line Lender.</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Responsible Officer of the Parent Guarantor and Responsible Officer of the Borrower hereby certifies as of the date hereof that he/she</w:t>
      </w:r>
    </w:p>
    <w:p>
      <w:pPr>
        <w:spacing w:after="0" w:line="4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 the</w:t>
      </w:r>
      <w:r>
        <w:rPr>
          <w:sz w:val="20"/>
          <w:szCs w:val="20"/>
          <w:color w:val="auto"/>
        </w:rPr>
        <w:tab/>
      </w:r>
      <w:r>
        <w:rPr>
          <w:rFonts w:ascii="Arial" w:cs="Arial" w:eastAsia="Arial" w:hAnsi="Arial"/>
          <w:sz w:val="16"/>
          <w:szCs w:val="16"/>
          <w:color w:val="auto"/>
        </w:rPr>
        <w:t>of each of the Parent Guarantor and the Borrower, and that, as such, he/she is authorized to execute and deliver this Certificate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on the behalf of the Parent Guarantor and behalf of the Borrower, and that: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year-end</w:t>
      </w:r>
      <w:r>
        <w:rPr>
          <w:rFonts w:ascii="Arial" w:cs="Arial" w:eastAsia="Arial" w:hAnsi="Arial"/>
          <w:sz w:val="18"/>
          <w:szCs w:val="18"/>
          <w:i w:val="1"/>
          <w:iCs w:val="1"/>
          <w:color w:val="auto"/>
        </w:rPr>
        <w:t xml:space="preserve"> financial statements]</w:t>
      </w:r>
    </w:p>
    <w:p>
      <w:pPr>
        <w:spacing w:after="0" w:line="171" w:lineRule="exact"/>
        <w:rPr>
          <w:sz w:val="20"/>
          <w:szCs w:val="20"/>
          <w:color w:val="auto"/>
        </w:rPr>
      </w:pPr>
    </w:p>
    <w:p>
      <w:pPr>
        <w:ind w:right="640" w:firstLine="440"/>
        <w:spacing w:after="0" w:line="264" w:lineRule="auto"/>
        <w:tabs>
          <w:tab w:leader="none" w:pos="61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year-end audited financial statements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the reconciliation, if required, by </w:t>
      </w:r>
      <w:r>
        <w:rPr>
          <w:rFonts w:ascii="Arial" w:cs="Arial" w:eastAsia="Arial" w:hAnsi="Arial"/>
          <w:sz w:val="18"/>
          <w:szCs w:val="18"/>
          <w:u w:val="single" w:color="auto"/>
          <w:color w:val="auto"/>
        </w:rPr>
        <w:t>Section 6.01(d)(i)</w:t>
      </w:r>
      <w:r>
        <w:rPr>
          <w:rFonts w:ascii="Arial" w:cs="Arial" w:eastAsia="Arial" w:hAnsi="Arial"/>
          <w:sz w:val="18"/>
          <w:szCs w:val="18"/>
          <w:color w:val="auto"/>
        </w:rPr>
        <w:t xml:space="preserve"> of the Agreement for the fiscal year of the Parent Guarantor ended as of the above date, together with the report and opinion of an independent certified public accountant required by such section.</w:t>
      </w:r>
    </w:p>
    <w:p>
      <w:pPr>
        <w:spacing w:after="0" w:line="289"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quarter-end</w:t>
      </w:r>
      <w:r>
        <w:rPr>
          <w:rFonts w:ascii="Arial" w:cs="Arial" w:eastAsia="Arial" w:hAnsi="Arial"/>
          <w:sz w:val="18"/>
          <w:szCs w:val="18"/>
          <w:i w:val="1"/>
          <w:iCs w:val="1"/>
          <w:color w:val="auto"/>
        </w:rPr>
        <w:t xml:space="preserve"> financial statements]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unaudited financial statements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 the reconciliation, if required, by</w:t>
      </w:r>
    </w:p>
    <w:p>
      <w:pPr>
        <w:spacing w:after="0" w:line="23"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u w:val="single" w:color="auto"/>
          <w:color w:val="auto"/>
        </w:rPr>
        <w:t>Section 6.01(d)(i)</w:t>
      </w:r>
      <w:r>
        <w:rPr>
          <w:rFonts w:ascii="Arial" w:cs="Arial" w:eastAsia="Arial" w:hAnsi="Arial"/>
          <w:sz w:val="17"/>
          <w:szCs w:val="17"/>
          <w:color w:val="auto"/>
        </w:rPr>
        <w:t xml:space="preserve"> of the Agreement for the fiscal quarter of the Parent Guarantor ended as of the above date. Such financial statements fairly present, in all material respects, the financial condition, results of operations and cash flows of the Parent Guarantor and its Subsidiaries in accordance with GAAP as at such date and for such period, subject only to normal year-end adjustments and the absence of footnotes.</w:t>
      </w:r>
    </w:p>
    <w:p>
      <w:pPr>
        <w:spacing w:after="0" w:line="119" w:lineRule="exact"/>
        <w:rPr>
          <w:sz w:val="20"/>
          <w:szCs w:val="20"/>
          <w:color w:val="auto"/>
        </w:rPr>
      </w:pPr>
    </w:p>
    <w:p>
      <w:pPr>
        <w:jc w:val="both"/>
        <w:ind w:right="180" w:firstLine="440"/>
        <w:spacing w:after="0" w:line="264" w:lineRule="auto"/>
        <w:tabs>
          <w:tab w:leader="none" w:pos="61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Agreement and has made, or has caused to be made under his/her supervision, a detailed review of the transactions and condition (financial or otherwise) of the Borrower and the Parent Guarantor during the accounting period covered by the attached financial statements.</w:t>
      </w:r>
    </w:p>
    <w:p>
      <w:pPr>
        <w:spacing w:after="0" w:line="127" w:lineRule="exact"/>
        <w:rPr>
          <w:rFonts w:ascii="Arial" w:cs="Arial" w:eastAsia="Arial" w:hAnsi="Arial"/>
          <w:sz w:val="18"/>
          <w:szCs w:val="18"/>
          <w:color w:val="auto"/>
        </w:rPr>
      </w:pPr>
    </w:p>
    <w:p>
      <w:pPr>
        <w:ind w:right="20" w:firstLine="440"/>
        <w:spacing w:after="0" w:line="264" w:lineRule="auto"/>
        <w:tabs>
          <w:tab w:leader="none" w:pos="61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review of the activities of the Parent Guarantor and the Borrower during such fiscal period has been made under the supervision of the undersigned with a view to determining whether during such fiscal period the Borrower and the Parent Guarantor performed and observed all their Obligations under the Loan Documents, and</w:t>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[select one:]</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1" w:right="239" w:bottom="1440" w:gutter="0" w:footer="0" w:header="0"/>
        </w:sectPr>
      </w:pPr>
    </w:p>
    <w:bookmarkStart w:id="225" w:name="page226"/>
    <w:bookmarkEnd w:id="225"/>
    <w:p>
      <w:pPr>
        <w:ind w:right="120" w:firstLine="432"/>
        <w:spacing w:after="0" w:line="282" w:lineRule="auto"/>
        <w:rPr>
          <w:sz w:val="20"/>
          <w:szCs w:val="20"/>
          <w:color w:val="auto"/>
        </w:rPr>
      </w:pPr>
      <w:r>
        <w:rPr>
          <w:rFonts w:ascii="Arial" w:cs="Arial" w:eastAsia="Arial" w:hAnsi="Arial"/>
          <w:sz w:val="18"/>
          <w:szCs w:val="18"/>
          <w:b w:val="1"/>
          <w:bCs w:val="1"/>
          <w:color w:val="auto"/>
        </w:rPr>
        <w:t>[to the best knowledge of the undersigned, there is no condition or event at the end of such fiscal period or at the time of this certificate which constitutes a Default.]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—or—</w:t>
      </w:r>
    </w:p>
    <w:p>
      <w:pPr>
        <w:spacing w:after="0" w:line="167" w:lineRule="exact"/>
        <w:rPr>
          <w:sz w:val="20"/>
          <w:szCs w:val="20"/>
          <w:color w:val="auto"/>
        </w:rPr>
      </w:pPr>
    </w:p>
    <w:p>
      <w:pPr>
        <w:ind w:right="60" w:firstLine="432"/>
        <w:spacing w:after="0" w:line="282" w:lineRule="auto"/>
        <w:rPr>
          <w:sz w:val="20"/>
          <w:szCs w:val="20"/>
          <w:color w:val="auto"/>
        </w:rPr>
      </w:pPr>
      <w:r>
        <w:rPr>
          <w:rFonts w:ascii="Arial" w:cs="Arial" w:eastAsia="Arial" w:hAnsi="Arial"/>
          <w:sz w:val="18"/>
          <w:szCs w:val="18"/>
          <w:b w:val="1"/>
          <w:bCs w:val="1"/>
          <w:color w:val="auto"/>
        </w:rPr>
        <w:t>[to the best knowledge of the undersigned, at the end of such fiscal period, or on the date of this certificate, the following conditions and events constitute a Default and their nature and period of existence are specified below:]</w:t>
      </w:r>
    </w:p>
    <w:p>
      <w:pPr>
        <w:spacing w:after="0" w:line="31" w:lineRule="exact"/>
        <w:rPr>
          <w:sz w:val="20"/>
          <w:szCs w:val="20"/>
          <w:color w:val="auto"/>
        </w:rPr>
      </w:pPr>
    </w:p>
    <w:p>
      <w:pPr>
        <w:ind w:left="620" w:hanging="180"/>
        <w:spacing w:after="0"/>
        <w:tabs>
          <w:tab w:leader="none" w:pos="6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financial covenant analyses and information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are true and accurate on and as of the date of this Certificate.</w:t>
      </w:r>
    </w:p>
    <w:p>
      <w:pPr>
        <w:spacing w:after="0" w:line="113" w:lineRule="exact"/>
        <w:rPr>
          <w:rFonts w:ascii="Arial" w:cs="Arial" w:eastAsia="Arial" w:hAnsi="Arial"/>
          <w:sz w:val="16"/>
          <w:szCs w:val="16"/>
          <w:color w:val="auto"/>
        </w:rPr>
      </w:pPr>
    </w:p>
    <w:p>
      <w:pPr>
        <w:ind w:right="340" w:firstLine="440"/>
        <w:spacing w:after="0" w:line="277" w:lineRule="auto"/>
        <w:tabs>
          <w:tab w:leader="none" w:pos="61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are updating changes to the Schedules to the Security Agreement.] The Schedules to the Security Agreement, [as amended by </w:t>
      </w:r>
      <w:r>
        <w:rPr>
          <w:rFonts w:ascii="Arial" w:cs="Arial" w:eastAsia="Arial" w:hAnsi="Arial"/>
          <w:sz w:val="18"/>
          <w:szCs w:val="18"/>
          <w:u w:val="single" w:color="auto"/>
          <w:color w:val="auto"/>
        </w:rPr>
        <w:t>Schedule 3</w:t>
      </w:r>
      <w:r>
        <w:rPr>
          <w:rFonts w:ascii="Arial" w:cs="Arial" w:eastAsia="Arial" w:hAnsi="Arial"/>
          <w:sz w:val="18"/>
          <w:szCs w:val="18"/>
          <w:color w:val="auto"/>
        </w:rPr>
        <w:t>] attached hereto, are accurate and complete in all material respects.</w:t>
      </w:r>
    </w:p>
    <w:p>
      <w:pPr>
        <w:spacing w:after="0" w:line="35" w:lineRule="exact"/>
        <w:rPr>
          <w:rFonts w:ascii="Arial" w:cs="Arial" w:eastAsia="Arial" w:hAnsi="Arial"/>
          <w:sz w:val="18"/>
          <w:szCs w:val="18"/>
          <w:color w:val="auto"/>
        </w:rPr>
      </w:pPr>
    </w:p>
    <w:p>
      <w:pPr>
        <w:ind w:left="620" w:hanging="180"/>
        <w:spacing w:after="0"/>
        <w:tabs>
          <w:tab w:leader="none" w:pos="6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During the fiscal quarter ending on the above date,</w:t>
      </w:r>
    </w:p>
    <w:p>
      <w:pPr>
        <w:spacing w:after="0" w:line="167" w:lineRule="exact"/>
        <w:rPr>
          <w:sz w:val="20"/>
          <w:szCs w:val="20"/>
          <w:color w:val="auto"/>
        </w:rPr>
      </w:pPr>
    </w:p>
    <w:p>
      <w:pPr>
        <w:ind w:right="960" w:firstLine="432"/>
        <w:spacing w:after="0" w:line="282" w:lineRule="auto"/>
        <w:rPr>
          <w:sz w:val="20"/>
          <w:szCs w:val="20"/>
          <w:color w:val="auto"/>
        </w:rPr>
      </w:pPr>
      <w:r>
        <w:rPr>
          <w:rFonts w:ascii="Arial" w:cs="Arial" w:eastAsia="Arial" w:hAnsi="Arial"/>
          <w:sz w:val="18"/>
          <w:szCs w:val="18"/>
          <w:b w:val="1"/>
          <w:bCs w:val="1"/>
          <w:color w:val="auto"/>
        </w:rPr>
        <w:t>[no Loan Party or Material Subsidiary acquired any Material Real Property on which a Lien is required to be created pursuant to Section 6.11(c) of the Credit Agreement.]</w:t>
      </w:r>
    </w:p>
    <w:p>
      <w:pPr>
        <w:spacing w:after="0" w:line="274"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—or—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[Material Real Property was acquired by a Loan Party or a Material Subsidiary, consisting of [include general description].]</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796" w:right="279" w:bottom="1440" w:gutter="0" w:footer="0" w:header="0"/>
        </w:sectPr>
      </w:pPr>
    </w:p>
    <w:bookmarkStart w:id="226" w:name="page227"/>
    <w:bookmarkEnd w:id="226"/>
    <w:tbl>
      <w:tblPr>
        <w:tblLayout w:type="fixed"/>
        <w:tblInd w:w="40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w w:val="94"/>
              </w:rPr>
              <w:t>IN WITNESS WHEREOF</w:t>
            </w:r>
            <w:r>
              <w:rPr>
                <w:rFonts w:ascii="Arial" w:cs="Arial" w:eastAsia="Arial" w:hAnsi="Arial"/>
                <w:sz w:val="18"/>
                <w:szCs w:val="18"/>
                <w:color w:val="auto"/>
                <w:w w:val="94"/>
              </w:rPr>
              <w:t>, the undersigned has executed this Certificate as of</w:t>
            </w:r>
          </w:p>
        </w:tc>
        <w:tc>
          <w:tcPr>
            <w:tcW w:w="960" w:type="dxa"/>
            <w:vAlign w:val="bottom"/>
          </w:tcPr>
          <w:p>
            <w:pPr>
              <w:jc w:val="right"/>
              <w:spacing w:after="0"/>
              <w:rPr>
                <w:sz w:val="20"/>
                <w:szCs w:val="20"/>
                <w:color w:val="auto"/>
              </w:rPr>
            </w:pPr>
            <w:r>
              <w:rPr>
                <w:rFonts w:ascii="Arial" w:cs="Arial" w:eastAsia="Arial" w:hAnsi="Arial"/>
                <w:sz w:val="18"/>
                <w:szCs w:val="18"/>
                <w:color w:val="auto"/>
                <w:w w:val="78"/>
              </w:rPr>
              <w:t>, 20.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MIDSTREAM PARTNERS, LP</w:t>
      </w:r>
    </w:p>
    <w:p>
      <w:pPr>
        <w:spacing w:after="0" w:line="39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QEP Midstream Partners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31750</wp:posOffset>
            </wp:positionV>
            <wp:extent cx="65862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5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31750</wp:posOffset>
            </wp:positionV>
            <wp:extent cx="47682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4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31750</wp:posOffset>
            </wp:positionV>
            <wp:extent cx="47682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MIDSTREAM PARTNERS OPERATING, LLC</w:t>
      </w:r>
    </w:p>
    <w:p>
      <w:pPr>
        <w:sectPr>
          <w:pgSz w:w="11900" w:h="16838" w:orient="portrait"/>
          <w:cols w:equalWidth="0" w:num="1">
            <w:col w:w="10179"/>
          </w:cols>
          <w:pgMar w:left="280" w:top="801" w:right="1440"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QEP MIDSTREAM PARTNERS, LP, its sole member</w:t>
      </w:r>
    </w:p>
    <w:p>
      <w:pPr>
        <w:spacing w:after="0" w:line="211" w:lineRule="exact"/>
        <w:rPr>
          <w:sz w:val="20"/>
          <w:szCs w:val="20"/>
          <w:color w:val="auto"/>
        </w:rPr>
      </w:pPr>
    </w:p>
    <w:p>
      <w:pPr>
        <w:sectPr>
          <w:pgSz w:w="11900" w:h="16838" w:orient="portrait"/>
          <w:cols w:equalWidth="0" w:num="2">
            <w:col w:w="760" w:space="720"/>
            <w:col w:w="8699"/>
          </w:cols>
          <w:pgMar w:left="280" w:top="801" w:right="1440"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QEP MIDSTREAM PARTNERS GP, LLC, its general partner</w:t>
      </w:r>
    </w:p>
    <w:p>
      <w:pPr>
        <w:spacing w:after="0" w:line="211" w:lineRule="exact"/>
        <w:rPr>
          <w:sz w:val="20"/>
          <w:szCs w:val="20"/>
          <w:color w:val="auto"/>
        </w:rPr>
      </w:pPr>
    </w:p>
    <w:p>
      <w:pPr>
        <w:sectPr>
          <w:pgSz w:w="11900" w:h="16838" w:orient="portrait"/>
          <w:cols w:equalWidth="0" w:num="2">
            <w:col w:w="760" w:space="720"/>
            <w:col w:w="8699"/>
          </w:cols>
          <w:pgMar w:left="280" w:top="8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31750</wp:posOffset>
            </wp:positionV>
            <wp:extent cx="65862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5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31750</wp:posOffset>
            </wp:positionV>
            <wp:extent cx="47682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4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31750</wp:posOffset>
            </wp:positionV>
            <wp:extent cx="47682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192" w:lineRule="exact"/>
        <w:rPr>
          <w:sz w:val="20"/>
          <w:szCs w:val="20"/>
          <w:color w:val="auto"/>
        </w:rPr>
      </w:pPr>
    </w:p>
    <w:p>
      <w:pPr>
        <w:jc w:val="center"/>
        <w:ind w:right="-1160"/>
        <w:spacing w:after="0"/>
        <w:rPr>
          <w:sz w:val="20"/>
          <w:szCs w:val="20"/>
          <w:color w:val="auto"/>
        </w:rPr>
      </w:pPr>
      <w:r>
        <w:rPr>
          <w:rFonts w:ascii="Arial" w:cs="Arial" w:eastAsia="Arial" w:hAnsi="Arial"/>
          <w:sz w:val="17"/>
          <w:szCs w:val="17"/>
          <w:color w:val="auto"/>
        </w:rPr>
        <w:t>Exhibit C</w:t>
      </w:r>
    </w:p>
    <w:p>
      <w:pPr>
        <w:spacing w:after="0" w:line="3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179"/>
          </w:cols>
          <w:pgMar w:left="280" w:top="801" w:right="1440" w:bottom="1440" w:gutter="0" w:footer="0" w:header="0"/>
          <w:type w:val="continuous"/>
        </w:sectPr>
      </w:pPr>
    </w:p>
    <w:bookmarkStart w:id="227" w:name="page228"/>
    <w:bookmarkEnd w:id="227"/>
    <w:p>
      <w:pPr>
        <w:jc w:val="center"/>
        <w:ind w:right="-20"/>
        <w:spacing w:after="0"/>
        <w:rPr>
          <w:sz w:val="20"/>
          <w:szCs w:val="20"/>
          <w:color w:val="auto"/>
        </w:rPr>
      </w:pPr>
      <w:r>
        <w:rPr>
          <w:rFonts w:ascii="Arial" w:cs="Arial" w:eastAsia="Arial" w:hAnsi="Arial"/>
          <w:sz w:val="18"/>
          <w:szCs w:val="18"/>
          <w:b w:val="1"/>
          <w:bCs w:val="1"/>
          <w:color w:val="auto"/>
        </w:rPr>
        <w:t>FORM OF SCHEDULE 1 TO COMPLIANCE CERTIFICATE</w:t>
      </w:r>
    </w:p>
    <w:p>
      <w:pPr>
        <w:sectPr>
          <w:pgSz w:w="11900" w:h="16838" w:orient="portrait"/>
          <w:cols w:equalWidth="0" w:num="1">
            <w:col w:w="9019"/>
          </w:cols>
          <w:pgMar w:left="1440" w:top="797"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COMPLIANCE CERTIFICATE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attached]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 to Compliance Certificate</w:t>
      </w:r>
    </w:p>
    <w:p>
      <w:pPr>
        <w:sectPr>
          <w:pgSz w:w="11900" w:h="16838" w:orient="portrait"/>
          <w:cols w:equalWidth="0" w:num="1">
            <w:col w:w="9019"/>
          </w:cols>
          <w:pgMar w:left="1440" w:top="797" w:right="1440" w:bottom="1440" w:gutter="0" w:footer="0" w:header="0"/>
          <w:type w:val="continuous"/>
        </w:sectPr>
      </w:pPr>
    </w:p>
    <w:bookmarkStart w:id="228" w:name="page229"/>
    <w:bookmarkEnd w:id="228"/>
    <w:p>
      <w:pPr>
        <w:jc w:val="center"/>
        <w:ind w:right="-20"/>
        <w:spacing w:after="0"/>
        <w:rPr>
          <w:sz w:val="20"/>
          <w:szCs w:val="20"/>
          <w:color w:val="auto"/>
        </w:rPr>
      </w:pPr>
      <w:r>
        <w:rPr>
          <w:rFonts w:ascii="Arial" w:cs="Arial" w:eastAsia="Arial" w:hAnsi="Arial"/>
          <w:sz w:val="18"/>
          <w:szCs w:val="18"/>
          <w:b w:val="1"/>
          <w:bCs w:val="1"/>
          <w:color w:val="auto"/>
        </w:rPr>
        <w:t>FORM OF SCHEDULE 2 TO COMPLIANCE CERTIFICATE</w:t>
      </w:r>
    </w:p>
    <w:p>
      <w:pPr>
        <w:sectPr>
          <w:pgSz w:w="11900" w:h="16838" w:orient="portrait"/>
          <w:cols w:equalWidth="0" w:num="1">
            <w:col w:w="9019"/>
          </w:cols>
          <w:pgMar w:left="1440" w:top="797"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COMPLIANCE CERTIFICATE</w:t>
      </w:r>
    </w:p>
    <w:p>
      <w:pPr>
        <w:spacing w:after="0" w:line="140"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2820" w:type="dxa"/>
            <w:vAlign w:val="bottom"/>
          </w:tcPr>
          <w:p>
            <w:pPr>
              <w:spacing w:after="0"/>
              <w:rPr>
                <w:sz w:val="20"/>
                <w:szCs w:val="20"/>
                <w:color w:val="auto"/>
              </w:rPr>
            </w:pPr>
            <w:r>
              <w:rPr>
                <w:rFonts w:ascii="Arial" w:cs="Arial" w:eastAsia="Arial" w:hAnsi="Arial"/>
                <w:sz w:val="18"/>
                <w:szCs w:val="18"/>
                <w:color w:val="auto"/>
              </w:rPr>
              <w:t>For the Quarter/Year ended</w:t>
            </w:r>
          </w:p>
        </w:tc>
        <w:tc>
          <w:tcPr>
            <w:tcW w:w="1920" w:type="dxa"/>
            <w:vAlign w:val="bottom"/>
            <w:gridSpan w:val="3"/>
          </w:tcPr>
          <w:p>
            <w:pPr>
              <w:ind w:left="40"/>
              <w:spacing w:after="0"/>
              <w:rPr>
                <w:sz w:val="20"/>
                <w:szCs w:val="20"/>
                <w:color w:val="auto"/>
              </w:rPr>
            </w:pPr>
            <w:r>
              <w:rPr>
                <w:rFonts w:ascii="Arial" w:cs="Arial" w:eastAsia="Arial" w:hAnsi="Arial"/>
                <w:sz w:val="18"/>
                <w:szCs w:val="18"/>
                <w:color w:val="auto"/>
                <w:w w:val="95"/>
              </w:rPr>
              <w:t>, 20   (“Statement Date”)</w:t>
            </w:r>
          </w:p>
        </w:tc>
      </w:tr>
      <w:tr>
        <w:trPr>
          <w:trHeight w:val="237"/>
        </w:trPr>
        <w:tc>
          <w:tcPr>
            <w:tcW w:w="2820" w:type="dxa"/>
            <w:vAlign w:val="bottom"/>
          </w:tcPr>
          <w:p>
            <w:pPr>
              <w:ind w:left="1960"/>
              <w:spacing w:after="0"/>
              <w:rPr>
                <w:sz w:val="20"/>
                <w:szCs w:val="20"/>
                <w:color w:val="auto"/>
              </w:rPr>
            </w:pPr>
            <w:r>
              <w:rPr>
                <w:rFonts w:ascii="Arial" w:cs="Arial" w:eastAsia="Arial" w:hAnsi="Arial"/>
                <w:sz w:val="18"/>
                <w:szCs w:val="18"/>
                <w:color w:val="auto"/>
                <w:w w:val="94"/>
              </w:rPr>
              <w:t>($ in 000’s)</w:t>
            </w:r>
          </w:p>
        </w:tc>
        <w:tc>
          <w:tcPr>
            <w:tcW w:w="6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attached]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 to Compliance Certificate</w:t>
      </w:r>
    </w:p>
    <w:p>
      <w:pPr>
        <w:sectPr>
          <w:pgSz w:w="11900" w:h="16838" w:orient="portrait"/>
          <w:cols w:equalWidth="0" w:num="1">
            <w:col w:w="9019"/>
          </w:cols>
          <w:pgMar w:left="1440" w:top="797" w:right="1440" w:bottom="1440" w:gutter="0" w:footer="0" w:header="0"/>
          <w:type w:val="continuous"/>
        </w:sectPr>
      </w:pPr>
    </w:p>
    <w:bookmarkStart w:id="229" w:name="page230"/>
    <w:bookmarkEnd w:id="229"/>
    <w:p>
      <w:pPr>
        <w:jc w:val="center"/>
        <w:ind w:right="-20"/>
        <w:spacing w:after="0"/>
        <w:rPr>
          <w:sz w:val="20"/>
          <w:szCs w:val="20"/>
          <w:color w:val="auto"/>
        </w:rPr>
      </w:pPr>
      <w:r>
        <w:rPr>
          <w:rFonts w:ascii="Arial" w:cs="Arial" w:eastAsia="Arial" w:hAnsi="Arial"/>
          <w:sz w:val="18"/>
          <w:szCs w:val="18"/>
          <w:b w:val="1"/>
          <w:bCs w:val="1"/>
          <w:color w:val="auto"/>
        </w:rPr>
        <w:t>FORM OF SCHEDULE 3 TO COMPLIANCE CERTIFICATE</w:t>
      </w:r>
    </w:p>
    <w:p>
      <w:pPr>
        <w:sectPr>
          <w:pgSz w:w="11900" w:h="16838" w:orient="portrait"/>
          <w:cols w:equalWidth="0" w:num="1">
            <w:col w:w="9019"/>
          </w:cols>
          <w:pgMar w:left="1440" w:top="797"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COMPLIANCE CERTIFICATE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Updates to Schedules to the Security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attached]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3 to Compliance Certificate</w:t>
      </w:r>
    </w:p>
    <w:p>
      <w:pPr>
        <w:sectPr>
          <w:pgSz w:w="11900" w:h="16838" w:orient="portrait"/>
          <w:cols w:equalWidth="0" w:num="1">
            <w:col w:w="9019"/>
          </w:cols>
          <w:pgMar w:left="1440" w:top="797" w:right="1440" w:bottom="1440" w:gutter="0" w:footer="0" w:header="0"/>
          <w:type w:val="continuous"/>
        </w:sectPr>
      </w:pPr>
    </w:p>
    <w:bookmarkStart w:id="230" w:name="page231"/>
    <w:bookmarkEnd w:id="230"/>
    <w:p>
      <w:pPr>
        <w:jc w:val="right"/>
        <w:spacing w:after="0"/>
        <w:rPr>
          <w:sz w:val="20"/>
          <w:szCs w:val="20"/>
          <w:color w:val="auto"/>
        </w:rPr>
      </w:pPr>
      <w:r>
        <w:rPr>
          <w:rFonts w:ascii="Arial" w:cs="Arial" w:eastAsia="Arial" w:hAnsi="Arial"/>
          <w:sz w:val="18"/>
          <w:szCs w:val="18"/>
          <w:b w:val="1"/>
          <w:bCs w:val="1"/>
          <w:i w:val="1"/>
          <w:iCs w:val="1"/>
          <w:color w:val="auto"/>
        </w:rPr>
        <w:t>EXHIBIT 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34" w:lineRule="exact"/>
        <w:rPr>
          <w:sz w:val="20"/>
          <w:szCs w:val="20"/>
          <w:color w:val="auto"/>
        </w:rPr>
      </w:pPr>
    </w:p>
    <w:p>
      <w:pPr>
        <w:ind w:right="40" w:firstLine="432"/>
        <w:spacing w:after="0" w:line="283"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credit facility under the Credit Agreement (including, without limitation, the Letters of Credit)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w:t>
      </w:r>
    </w:p>
    <w:p>
      <w:pPr>
        <w:spacing w:after="0" w:line="7" w:lineRule="exact"/>
        <w:rPr>
          <w:sz w:val="20"/>
          <w:szCs w:val="20"/>
          <w:color w:val="auto"/>
        </w:rPr>
      </w:pPr>
    </w:p>
    <w:p>
      <w:pPr>
        <w:ind w:right="20" w:firstLine="8"/>
        <w:spacing w:after="0" w:line="255" w:lineRule="auto"/>
        <w:tabs>
          <w:tab w:leader="none" w:pos="21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above (the rights and obligations sold and assigned pursuant to clauses (i) 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325" w:lineRule="exact"/>
        <w:rPr>
          <w:sz w:val="20"/>
          <w:szCs w:val="20"/>
          <w:color w:val="auto"/>
        </w:rPr>
      </w:pPr>
    </w:p>
    <w:p>
      <w:pPr>
        <w:ind w:left="720" w:hanging="685"/>
        <w:spacing w:after="0"/>
        <w:tabs>
          <w:tab w:leader="none" w:pos="7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-10160</wp:posOffset>
            </wp:positionV>
            <wp:extent cx="12858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78" w:lineRule="exact"/>
        <w:rPr>
          <w:sz w:val="20"/>
          <w:szCs w:val="20"/>
          <w:color w:val="auto"/>
        </w:rPr>
      </w:pPr>
    </w:p>
    <w:p>
      <w:pPr>
        <w:ind w:left="40"/>
        <w:spacing w:after="0"/>
        <w:tabs>
          <w:tab w:leader="none" w:pos="700" w:val="left"/>
          <w:tab w:leader="none" w:pos="3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Assignee:</w:t>
      </w:r>
      <w:r>
        <w:rPr>
          <w:sz w:val="20"/>
          <w:szCs w:val="20"/>
          <w:color w:val="auto"/>
        </w:rPr>
        <w:tab/>
      </w:r>
      <w:r>
        <w:rPr>
          <w:rFonts w:ascii="Arial" w:cs="Arial" w:eastAsia="Arial" w:hAnsi="Arial"/>
          <w:sz w:val="16"/>
          <w:szCs w:val="16"/>
          <w:color w:val="auto"/>
        </w:rPr>
        <w:t>[and is an Affiliate/Approved Fund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-10160</wp:posOffset>
            </wp:positionV>
            <wp:extent cx="12858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71" w:lineRule="exact"/>
        <w:rPr>
          <w:sz w:val="20"/>
          <w:szCs w:val="20"/>
          <w:color w:val="auto"/>
        </w:rPr>
      </w:pPr>
    </w:p>
    <w:p>
      <w:pPr>
        <w:ind w:left="720" w:hanging="685"/>
        <w:spacing w:after="0"/>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Borrower: QEP Midstream Partners Operating, LLC</w:t>
      </w:r>
    </w:p>
    <w:p>
      <w:pPr>
        <w:spacing w:after="0" w:line="198" w:lineRule="exact"/>
        <w:rPr>
          <w:rFonts w:ascii="Arial" w:cs="Arial" w:eastAsia="Arial" w:hAnsi="Arial"/>
          <w:sz w:val="18"/>
          <w:szCs w:val="18"/>
          <w:color w:val="auto"/>
        </w:rPr>
      </w:pPr>
    </w:p>
    <w:p>
      <w:pPr>
        <w:ind w:left="720" w:hanging="685"/>
        <w:spacing w:after="0"/>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Administrative Agent: Wells Fargo Bank, National Association, as the administrative agent under the Credit Agreement</w:t>
      </w:r>
    </w:p>
    <w:p>
      <w:pPr>
        <w:spacing w:after="0" w:line="198" w:lineRule="exact"/>
        <w:rPr>
          <w:rFonts w:ascii="Arial" w:cs="Arial" w:eastAsia="Arial" w:hAnsi="Arial"/>
          <w:sz w:val="18"/>
          <w:szCs w:val="18"/>
          <w:color w:val="auto"/>
        </w:rPr>
      </w:pPr>
    </w:p>
    <w:p>
      <w:pPr>
        <w:ind w:left="720" w:right="60" w:hanging="685"/>
        <w:spacing w:after="0" w:line="264" w:lineRule="auto"/>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Credit Agreement: Credit Agreement, dated as of August 14, 2013, among QEP Midstream Partners Operating, LLC, QEP Midstream Partners, LP, each Lender and L/C Issuer from time to time party thereto, and Wells Fargo Bank, National Association, as Administrative Agent, L/C Issuer and Swing Line Lender</w:t>
      </w:r>
    </w:p>
    <w:p>
      <w:pPr>
        <w:spacing w:after="0" w:line="154" w:lineRule="exact"/>
        <w:rPr>
          <w:rFonts w:ascii="Arial" w:cs="Arial" w:eastAsia="Arial" w:hAnsi="Arial"/>
          <w:sz w:val="18"/>
          <w:szCs w:val="18"/>
          <w:color w:val="auto"/>
        </w:rPr>
      </w:pPr>
    </w:p>
    <w:p>
      <w:pPr>
        <w:ind w:left="720" w:hanging="685"/>
        <w:spacing w:after="0"/>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 of Commitment/Loans for all Lenders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 of Commitment/Loans Assigned: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Percentage Assigned of Commitment: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Number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1" w:right="2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0"/>
        </w:trPr>
        <w:tc>
          <w:tcPr>
            <w:tcW w:w="720" w:type="dxa"/>
            <w:vAlign w:val="bottom"/>
          </w:tcPr>
          <w:p>
            <w:pPr>
              <w:ind w:left="4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0"/>
                <w:szCs w:val="20"/>
                <w:color w:val="auto"/>
              </w:rPr>
            </w:pPr>
            <w:r>
              <w:rPr>
                <w:rFonts w:ascii="Arial" w:cs="Arial" w:eastAsia="Arial" w:hAnsi="Arial"/>
                <w:sz w:val="18"/>
                <w:szCs w:val="18"/>
                <w:color w:val="auto"/>
              </w:rPr>
              <w:t>Trade Date:</w:t>
            </w:r>
          </w:p>
        </w:tc>
        <w:tc>
          <w:tcPr>
            <w:tcW w:w="8700" w:type="dxa"/>
            <w:vAlign w:val="bottom"/>
            <w:vMerge w:val="restart"/>
          </w:tcPr>
          <w:p>
            <w:pPr>
              <w:jc w:val="right"/>
              <w:ind w:right="855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198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8700" w:type="dxa"/>
            <w:vAlign w:val="bottom"/>
          </w:tcPr>
          <w:p>
            <w:pPr>
              <w:jc w:val="right"/>
              <w:spacing w:after="0"/>
              <w:rPr>
                <w:sz w:val="20"/>
                <w:szCs w:val="20"/>
                <w:color w:val="auto"/>
              </w:rPr>
            </w:pPr>
            <w:r>
              <w:rPr>
                <w:rFonts w:ascii="Arial" w:cs="Arial" w:eastAsia="Arial" w:hAnsi="Arial"/>
                <w:sz w:val="18"/>
                <w:szCs w:val="18"/>
                <w:color w:val="auto"/>
                <w:w w:val="98"/>
              </w:rPr>
              <w:t>, 20   [TO BE INSERTED BY ADMINISTRATIVE AGENT AND WHICH SHALL BE THE EFFECTIVE DATE OF</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ASSIGNOR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OF ASSIGNOR]</w:t>
      </w:r>
    </w:p>
    <w:p>
      <w:pPr>
        <w:spacing w:after="0" w:line="38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jc w:val="right"/>
        <w:ind w:right="2720"/>
        <w:spacing w:after="0"/>
        <w:rPr>
          <w:sz w:val="20"/>
          <w:szCs w:val="20"/>
          <w:color w:val="auto"/>
        </w:rPr>
      </w:pPr>
      <w:r>
        <w:rPr>
          <w:rFonts w:ascii="Arial" w:cs="Arial" w:eastAsia="Arial" w:hAnsi="Arial"/>
          <w:sz w:val="18"/>
          <w:szCs w:val="18"/>
          <w:color w:val="auto"/>
        </w:rPr>
        <w:t>Title:</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ASSIGNEE</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OF ASSIGNEE]</w:t>
      </w:r>
    </w:p>
    <w:p>
      <w:pPr>
        <w:spacing w:after="0" w:line="38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jc w:val="right"/>
        <w:ind w:right="2720"/>
        <w:spacing w:after="0"/>
        <w:rPr>
          <w:sz w:val="20"/>
          <w:szCs w:val="20"/>
          <w:color w:val="auto"/>
        </w:rPr>
      </w:pPr>
      <w:r>
        <w:rPr>
          <w:rFonts w:ascii="Arial" w:cs="Arial" w:eastAsia="Arial" w:hAnsi="Arial"/>
          <w:sz w:val="18"/>
          <w:szCs w:val="18"/>
          <w:color w:val="auto"/>
        </w:rPr>
        <w:t>Title: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22466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[Consented to:]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QEP MIDSTREAM PARTNERS OPERATING,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QEP MIDSTREAM PARTNERS, LP, its sole member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QEP MIDSTREAM PARTNERS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31750</wp:posOffset>
            </wp:positionV>
            <wp:extent cx="22466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31750</wp:posOffset>
            </wp:positionV>
            <wp:extent cx="22466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31750</wp:posOffset>
            </wp:positionV>
            <wp:extent cx="22466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92"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680"/>
          </w:cols>
          <w:pgMar w:left="240" w:top="963" w:right="97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i w:val="1"/>
          <w:iCs w:val="1"/>
          <w:color w:val="auto"/>
        </w:rPr>
        <w:t>ANNEX 1 TO ASSIGNMENT AND ASSUMPTION</w:t>
      </w:r>
    </w:p>
    <w:p>
      <w:pPr>
        <w:spacing w:after="0" w:line="171" w:lineRule="exact"/>
        <w:rPr>
          <w:sz w:val="20"/>
          <w:szCs w:val="20"/>
          <w:color w:val="auto"/>
        </w:rPr>
      </w:pPr>
    </w:p>
    <w:p>
      <w:pPr>
        <w:ind w:left="4980"/>
        <w:spacing w:after="0"/>
        <w:tabs>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71" w:lineRule="exact"/>
        <w:rPr>
          <w:sz w:val="20"/>
          <w:szCs w:val="20"/>
          <w:color w:val="auto"/>
        </w:rPr>
      </w:pPr>
    </w:p>
    <w:p>
      <w:pPr>
        <w:ind w:left="180" w:hanging="172"/>
        <w:spacing w:after="0"/>
        <w:tabs>
          <w:tab w:leader="none" w:pos="1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5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w:t>
      </w:r>
    </w:p>
    <w:p>
      <w:pPr>
        <w:ind w:right="20" w:firstLine="8"/>
        <w:spacing w:after="0" w:line="286" w:lineRule="auto"/>
        <w:tabs>
          <w:tab w:leader="none" w:pos="31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(vi) if it is a Foreign Lender, attached hereto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to Exhibit D</w:t>
      </w:r>
    </w:p>
    <w:p>
      <w:pPr>
        <w:sectPr>
          <w:pgSz w:w="11900" w:h="16838" w:orient="portrait"/>
          <w:cols w:equalWidth="0" w:num="1">
            <w:col w:w="11420"/>
          </w:cols>
          <w:pgMar w:left="240" w:top="801" w:right="239" w:bottom="1440" w:gutter="0" w:footer="0" w:header="0"/>
        </w:sectPr>
      </w:pPr>
    </w:p>
    <w:bookmarkStart w:id="233" w:name="page234"/>
    <w:bookmarkEnd w:id="233"/>
    <w:p>
      <w:pPr>
        <w:ind w:left="-8" w:right="60" w:firstLine="8"/>
        <w:spacing w:after="0" w:line="264" w:lineRule="auto"/>
        <w:tabs>
          <w:tab w:leader="none" w:pos="17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46" w:lineRule="exact"/>
        <w:rPr>
          <w:rFonts w:ascii="Arial" w:cs="Arial" w:eastAsia="Arial" w:hAnsi="Arial"/>
          <w:sz w:val="18"/>
          <w:szCs w:val="18"/>
          <w:color w:val="auto"/>
        </w:rPr>
      </w:pPr>
    </w:p>
    <w:p>
      <w:pPr>
        <w:ind w:left="-8" w:firstLine="8"/>
        <w:spacing w:after="0" w:line="257" w:lineRule="auto"/>
        <w:tabs>
          <w:tab w:leader="none" w:pos="17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without regard to conflicts of laws principles.</w:t>
      </w:r>
    </w:p>
    <w:p>
      <w:pPr>
        <w:spacing w:after="0" w:line="1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Annex I to Exhibit D</w:t>
      </w:r>
    </w:p>
    <w:p>
      <w:pPr>
        <w:sectPr>
          <w:pgSz w:w="11900" w:h="16838" w:orient="portrait"/>
          <w:cols w:equalWidth="0" w:num="1">
            <w:col w:w="11372"/>
          </w:cols>
          <w:pgMar w:left="248" w:top="801" w:right="27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i w:val="1"/>
          <w:iCs w:val="1"/>
          <w:color w:val="auto"/>
        </w:rPr>
        <w:t>EXHIBIT E -1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157" w:lineRule="exact"/>
        <w:rPr>
          <w:sz w:val="20"/>
          <w:szCs w:val="20"/>
          <w:color w:val="auto"/>
        </w:rPr>
      </w:pPr>
    </w:p>
    <w:p>
      <w:pPr>
        <w:ind w:right="200" w:firstLine="878"/>
        <w:spacing w:after="0" w:line="259" w:lineRule="auto"/>
        <w:rPr>
          <w:sz w:val="20"/>
          <w:szCs w:val="20"/>
          <w:color w:val="auto"/>
        </w:rPr>
      </w:pPr>
      <w:r>
        <w:rPr>
          <w:rFonts w:ascii="Arial" w:cs="Arial" w:eastAsia="Arial" w:hAnsi="Arial"/>
          <w:sz w:val="18"/>
          <w:szCs w:val="18"/>
          <w:color w:val="auto"/>
        </w:rPr>
        <w:t>Reference is hereby made to the Credit Agreement dated as of August 14, 2013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QEP MIDSTREAM PARTNERS OPERATING, LLC, as Borrower, QEP MIDSTREAM PARTNERS, LP, as Guarantor, WELLS FARGO BANK, NATIONAL ASSOCIATION, as Administrative Agent, L/C Issuer and Swing Line Lender, and each Lender and L/C Issuer from time to time party thereto.</w:t>
      </w:r>
    </w:p>
    <w:p>
      <w:pPr>
        <w:spacing w:after="0" w:line="133" w:lineRule="exact"/>
        <w:rPr>
          <w:sz w:val="20"/>
          <w:szCs w:val="20"/>
          <w:color w:val="auto"/>
        </w:rPr>
      </w:pPr>
    </w:p>
    <w:p>
      <w:pPr>
        <w:ind w:right="100" w:firstLine="878"/>
        <w:spacing w:after="0" w:line="279" w:lineRule="auto"/>
        <w:rPr>
          <w:sz w:val="20"/>
          <w:szCs w:val="20"/>
          <w:color w:val="auto"/>
        </w:rPr>
      </w:pPr>
      <w:r>
        <w:rPr>
          <w:rFonts w:ascii="Arial" w:cs="Arial" w:eastAsia="Arial" w:hAnsi="Arial"/>
          <w:sz w:val="17"/>
          <w:szCs w:val="17"/>
          <w:color w:val="auto"/>
        </w:rPr>
        <w:t>Pursuant to the provisions of Section 3.01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17" w:lineRule="exact"/>
        <w:rPr>
          <w:sz w:val="20"/>
          <w:szCs w:val="20"/>
          <w:color w:val="auto"/>
        </w:rPr>
      </w:pPr>
    </w:p>
    <w:p>
      <w:pPr>
        <w:ind w:right="40" w:firstLine="878"/>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LENDER]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22466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110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1100" w:type="dxa"/>
            <w:vAlign w:val="bottom"/>
          </w:tcPr>
          <w:p>
            <w:pPr>
              <w:spacing w:after="0"/>
              <w:rPr>
                <w:sz w:val="23"/>
                <w:szCs w:val="23"/>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-24765</wp:posOffset>
            </wp:positionV>
            <wp:extent cx="7143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0"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i w:val="1"/>
          <w:iCs w:val="1"/>
          <w:color w:val="auto"/>
        </w:rPr>
        <w:t>EXHIBIT E -2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157" w:lineRule="exact"/>
        <w:rPr>
          <w:sz w:val="20"/>
          <w:szCs w:val="20"/>
          <w:color w:val="auto"/>
        </w:rPr>
      </w:pPr>
    </w:p>
    <w:p>
      <w:pPr>
        <w:ind w:right="200" w:firstLine="878"/>
        <w:spacing w:after="0" w:line="259" w:lineRule="auto"/>
        <w:rPr>
          <w:sz w:val="20"/>
          <w:szCs w:val="20"/>
          <w:color w:val="auto"/>
        </w:rPr>
      </w:pPr>
      <w:r>
        <w:rPr>
          <w:rFonts w:ascii="Arial" w:cs="Arial" w:eastAsia="Arial" w:hAnsi="Arial"/>
          <w:sz w:val="18"/>
          <w:szCs w:val="18"/>
          <w:color w:val="auto"/>
        </w:rPr>
        <w:t>Reference is hereby made to the Credit Agreement dated as of August 14, 2013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QEP MIDSTREAM PARTNERS OPERATING, LLC, as Borrower, QEP MIDSTREAM PARTNERS, LP, as Guarantor, WELLS FARGO BANK, NATIONAL ASSOCIATION, as Administrative Agent, L/C Issuer and Swing Line Lender, and each Lender and L/C Issuer from time to time party thereto.</w:t>
      </w:r>
    </w:p>
    <w:p>
      <w:pPr>
        <w:spacing w:after="0" w:line="133"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33" w:lineRule="exact"/>
        <w:rPr>
          <w:sz w:val="20"/>
          <w:szCs w:val="20"/>
          <w:color w:val="auto"/>
        </w:rPr>
      </w:pPr>
    </w:p>
    <w:p>
      <w:pPr>
        <w:ind w:right="200" w:firstLine="878"/>
        <w:spacing w:after="0" w:line="302"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PARTICIPANT]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22466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110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1100" w:type="dxa"/>
            <w:vAlign w:val="bottom"/>
          </w:tcPr>
          <w:p>
            <w:pPr>
              <w:spacing w:after="0"/>
              <w:rPr>
                <w:sz w:val="23"/>
                <w:szCs w:val="23"/>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-24765</wp:posOffset>
            </wp:positionV>
            <wp:extent cx="7143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1"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i w:val="1"/>
          <w:iCs w:val="1"/>
          <w:color w:val="auto"/>
        </w:rPr>
        <w:t>EXHIBIT E -3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157" w:lineRule="exact"/>
        <w:rPr>
          <w:sz w:val="20"/>
          <w:szCs w:val="20"/>
          <w:color w:val="auto"/>
        </w:rPr>
      </w:pPr>
    </w:p>
    <w:p>
      <w:pPr>
        <w:ind w:right="200" w:firstLine="878"/>
        <w:spacing w:after="0" w:line="259" w:lineRule="auto"/>
        <w:rPr>
          <w:sz w:val="20"/>
          <w:szCs w:val="20"/>
          <w:color w:val="auto"/>
        </w:rPr>
      </w:pPr>
      <w:r>
        <w:rPr>
          <w:rFonts w:ascii="Arial" w:cs="Arial" w:eastAsia="Arial" w:hAnsi="Arial"/>
          <w:sz w:val="18"/>
          <w:szCs w:val="18"/>
          <w:color w:val="auto"/>
        </w:rPr>
        <w:t>Reference is hereby made to the Credit Agreement dated as of August 14, 2013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QEP MIDSTREAM PARTNERS OPERATING, LLC, as Borrower, QEP MIDSTREAM PARTNERS, LP, as Guarantor, WELLS FARGO BANK, NATIONAL ASSOCIATION, as Administrative Agent, L/C Issuer and Swing Line Lender, and each Lender and L/C Issuer from time to time party thereto.</w:t>
      </w:r>
    </w:p>
    <w:p>
      <w:pPr>
        <w:spacing w:after="0" w:line="133" w:lineRule="exact"/>
        <w:rPr>
          <w:sz w:val="20"/>
          <w:szCs w:val="20"/>
          <w:color w:val="auto"/>
        </w:rPr>
      </w:pPr>
    </w:p>
    <w:p>
      <w:pPr>
        <w:ind w:right="100" w:firstLine="878"/>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left="320" w:hanging="312"/>
        <w:spacing w:after="0"/>
        <w:tabs>
          <w:tab w:leader="none" w:pos="3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with respect such participation, neither the undersigned nor any of its direct or indirect partners/members is a bank extending credit pursuant to a loan</w:t>
      </w:r>
    </w:p>
    <w:p>
      <w:pPr>
        <w:spacing w:after="0" w:line="3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19" w:lineRule="exact"/>
        <w:rPr>
          <w:sz w:val="20"/>
          <w:szCs w:val="20"/>
          <w:color w:val="auto"/>
        </w:rPr>
      </w:pPr>
    </w:p>
    <w:p>
      <w:pPr>
        <w:ind w:right="20" w:firstLine="878"/>
        <w:spacing w:after="0" w:line="273" w:lineRule="auto"/>
        <w:rPr>
          <w:sz w:val="20"/>
          <w:szCs w:val="20"/>
          <w:color w:val="auto"/>
        </w:rPr>
      </w:pPr>
      <w:r>
        <w:rPr>
          <w:rFonts w:ascii="Arial" w:cs="Arial" w:eastAsia="Arial" w:hAnsi="Arial"/>
          <w:sz w:val="17"/>
          <w:szCs w:val="17"/>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PARTICIPANT]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22466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110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1100" w:type="dxa"/>
            <w:vAlign w:val="bottom"/>
          </w:tcPr>
          <w:p>
            <w:pPr>
              <w:spacing w:after="0"/>
              <w:rPr>
                <w:sz w:val="23"/>
                <w:szCs w:val="23"/>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-24765</wp:posOffset>
            </wp:positionV>
            <wp:extent cx="7143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0"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i w:val="1"/>
          <w:iCs w:val="1"/>
          <w:color w:val="auto"/>
        </w:rPr>
        <w:t>EXHIBIT E -4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157" w:lineRule="exact"/>
        <w:rPr>
          <w:sz w:val="20"/>
          <w:szCs w:val="20"/>
          <w:color w:val="auto"/>
        </w:rPr>
      </w:pPr>
    </w:p>
    <w:p>
      <w:pPr>
        <w:ind w:right="200" w:firstLine="878"/>
        <w:spacing w:after="0" w:line="259" w:lineRule="auto"/>
        <w:rPr>
          <w:sz w:val="20"/>
          <w:szCs w:val="20"/>
          <w:color w:val="auto"/>
        </w:rPr>
      </w:pPr>
      <w:r>
        <w:rPr>
          <w:rFonts w:ascii="Arial" w:cs="Arial" w:eastAsia="Arial" w:hAnsi="Arial"/>
          <w:sz w:val="18"/>
          <w:szCs w:val="18"/>
          <w:color w:val="auto"/>
        </w:rPr>
        <w:t>Reference is hereby made to the Credit Agreement dated as of August 14, 2013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QEP MIDSTREAM PARTNERS OPERATING, LLC, as Borrower, QEP MIDSTREAM PARTNERS, LP, as Guarantor, WELLS FARGO BANK, NATIONAL ASSOCIATION, as Administrative Agent, L/C Issuer and Swing Line Lender, and each Lender and L/C Issuer from time to time party thereto.</w:t>
      </w:r>
    </w:p>
    <w:p>
      <w:pPr>
        <w:spacing w:after="0" w:line="133" w:lineRule="exact"/>
        <w:rPr>
          <w:sz w:val="20"/>
          <w:szCs w:val="20"/>
          <w:color w:val="auto"/>
        </w:rPr>
      </w:pPr>
    </w:p>
    <w:p>
      <w:pPr>
        <w:ind w:right="100" w:firstLine="878"/>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13" w:lineRule="exact"/>
        <w:rPr>
          <w:sz w:val="20"/>
          <w:szCs w:val="20"/>
          <w:color w:val="auto"/>
        </w:rPr>
      </w:pPr>
    </w:p>
    <w:p>
      <w:pPr>
        <w:ind w:right="20" w:firstLine="878"/>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LENDER]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22466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110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1100" w:type="dxa"/>
            <w:vAlign w:val="bottom"/>
          </w:tcPr>
          <w:p>
            <w:pPr>
              <w:spacing w:after="0"/>
              <w:rPr>
                <w:sz w:val="23"/>
                <w:szCs w:val="23"/>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-24765</wp:posOffset>
            </wp:positionV>
            <wp:extent cx="7143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801"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QEP MIDSTREAM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LONG-TERM INCENTIVE PLAN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Purpose of the Plan</w:t>
      </w:r>
      <w:r>
        <w:rPr>
          <w:rFonts w:ascii="Arial" w:cs="Arial" w:eastAsia="Arial" w:hAnsi="Arial"/>
          <w:sz w:val="18"/>
          <w:szCs w:val="18"/>
          <w:color w:val="auto"/>
        </w:rPr>
        <w:t>.</w:t>
      </w:r>
    </w:p>
    <w:p>
      <w:pPr>
        <w:spacing w:after="0" w:line="17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This QEP Midstream Partners, LP 2013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has been adopted by QEP Midstream Partners GP,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general partner of QEP Midstream Partners,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The Plan is intended to promote the interests of the Partnership and the Company by providing incentive compensation awards denominated in or based on Units to Employees, Consultants and Directors to encourage superior performance. The Plan is also intended to enhance the ability of the Partnership, the Company and their Affiliates to attract and retain the services of individuals who are essential for the growth and profitability of the Partnership, the Company and their Affiliates and to encourage them to devote their best efforts to advancing the business of the Partnership, the Company and their Affiliates.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90"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ASC Topic 718</w:t>
      </w:r>
      <w:r>
        <w:rPr>
          <w:rFonts w:ascii="Arial" w:cs="Arial" w:eastAsia="Arial" w:hAnsi="Arial"/>
          <w:sz w:val="16"/>
          <w:szCs w:val="16"/>
          <w:color w:val="auto"/>
        </w:rPr>
        <w:t xml:space="preserve">” means Accounting Standards Codification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or any successor accounting standard.</w:t>
      </w:r>
    </w:p>
    <w:p>
      <w:pPr>
        <w:spacing w:after="0" w:line="1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Restricted Unit, Phantom Unit, DER, Substitute Award, Unit Appreciation Right, Unit Award or Profits Interest Unit granted under the Plan.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the written or electronic agreement between a Participant and the Company that sets forth the terms of the Award.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or board of managers, as the case may be, of the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and shall be deemed to have occurred upon one or more of the following events:</w:t>
      </w:r>
    </w:p>
    <w:p>
      <w:pPr>
        <w:spacing w:after="0" w:line="90" w:lineRule="exact"/>
        <w:rPr>
          <w:sz w:val="20"/>
          <w:szCs w:val="20"/>
          <w:color w:val="auto"/>
        </w:rPr>
      </w:pPr>
    </w:p>
    <w:p>
      <w:pPr>
        <w:ind w:right="60" w:firstLine="886"/>
        <w:spacing w:after="0" w:line="288" w:lineRule="auto"/>
        <w:tabs>
          <w:tab w:leader="none" w:pos="109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“person” or “group” within the meaning of Sections 13(d) and 14(d)(2) of the Exchange Act, other than the Company, QEP or an Affiliate of the Company or QEP (as determined immediately prior to such event), shall become the beneficial owner, by way of merger, acquisition, consolidation, recapitalization, reorganization or otherwise, of 50% or more of the combined voting power of the equity interests in the Company or the Partnership;</w:t>
      </w:r>
    </w:p>
    <w:p>
      <w:pPr>
        <w:ind w:left="1160" w:hanging="274"/>
        <w:spacing w:after="0"/>
        <w:tabs>
          <w:tab w:leader="none" w:pos="11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limited partners of the Partnership approve, in one or a series of transactions, a plan of complete liquidation of the Partnership;</w:t>
      </w:r>
    </w:p>
    <w:p>
      <w:pPr>
        <w:spacing w:after="0" w:line="87" w:lineRule="exact"/>
        <w:rPr>
          <w:rFonts w:ascii="Arial" w:cs="Arial" w:eastAsia="Arial" w:hAnsi="Arial"/>
          <w:sz w:val="17"/>
          <w:szCs w:val="17"/>
          <w:color w:val="auto"/>
        </w:rPr>
      </w:pPr>
    </w:p>
    <w:p>
      <w:pPr>
        <w:ind w:right="60" w:firstLine="886"/>
        <w:spacing w:after="0" w:line="277" w:lineRule="auto"/>
        <w:tabs>
          <w:tab w:leader="none" w:pos="119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sale or other disposition by either the Company or the Partnership of all or substantially all of its assets in one or more transactions to any Person other than the Company, the Partnership, QEP or an Affiliate of the Company the Partnership or QEP;</w:t>
      </w:r>
    </w:p>
    <w:p>
      <w:pPr>
        <w:spacing w:after="0" w:line="35" w:lineRule="exact"/>
        <w:rPr>
          <w:rFonts w:ascii="Arial" w:cs="Arial" w:eastAsia="Arial" w:hAnsi="Arial"/>
          <w:sz w:val="18"/>
          <w:szCs w:val="18"/>
          <w:color w:val="auto"/>
        </w:rPr>
      </w:pPr>
    </w:p>
    <w:p>
      <w:pPr>
        <w:ind w:right="120" w:firstLine="886"/>
        <w:spacing w:after="0" w:line="277" w:lineRule="auto"/>
        <w:tabs>
          <w:tab w:leader="none" w:pos="118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transaction resulting in a Person other than QEP, the Company or an Affiliate of QEP or the Company (as determined immediately prior to such event) being the sole general partner of the Partnership; or</w:t>
      </w:r>
    </w:p>
    <w:p>
      <w:pPr>
        <w:spacing w:after="0" w:line="35" w:lineRule="exact"/>
        <w:rPr>
          <w:rFonts w:ascii="Arial" w:cs="Arial" w:eastAsia="Arial" w:hAnsi="Arial"/>
          <w:sz w:val="18"/>
          <w:szCs w:val="18"/>
          <w:color w:val="auto"/>
        </w:rPr>
      </w:pPr>
    </w:p>
    <w:p>
      <w:pPr>
        <w:ind w:right="120" w:firstLine="886"/>
        <w:spacing w:after="0" w:line="277" w:lineRule="auto"/>
        <w:tabs>
          <w:tab w:leader="none" w:pos="113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change in control of QEP, as defined under Section 15 of the QEP Resources, Inc. 2010 Stock Incentive Plan or as may be defined pursuant to the terms of any successor equity compensation plan of QEP.</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which provides for the deferral of compensation and is subject to Section 409A, the transaction or event described in subsection (i), (ii), (iii) or (iv) above with respect to such Award must also constitute a “change in control event,” as defined in Treasury Regulation §1.409A-3(i)(5), and as relates to the holder of such Award, to the extent required to comply with Section 409A.</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Board, except that it shall mean such committee of the Board as is appointed by the Board to administer the Plan.</w:t>
      </w:r>
    </w:p>
    <w:p>
      <w:pPr>
        <w:sectPr>
          <w:pgSz w:w="11900" w:h="16838" w:orient="portrait"/>
          <w:cols w:equalWidth="0" w:num="1">
            <w:col w:w="11420"/>
          </w:cols>
          <w:pgMar w:left="240" w:top="581" w:right="239" w:bottom="1440" w:gutter="0" w:footer="0" w:header="0"/>
        </w:sectPr>
      </w:pPr>
    </w:p>
    <w:bookmarkStart w:id="239" w:name="page240"/>
    <w:bookmarkEnd w:id="239"/>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 individual who renders consulting services to the Company, the Partnership or any of their Affiliates.</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w:t>
      </w:r>
      <w:r>
        <w:rPr>
          <w:rFonts w:ascii="Arial" w:cs="Arial" w:eastAsia="Arial" w:hAnsi="Arial"/>
          <w:sz w:val="18"/>
          <w:szCs w:val="18"/>
          <w:color w:val="auto"/>
        </w:rPr>
        <w:t>” means a distribution equivalent right, representing a contingent right to receive an amount in cash, Units, Restricted Units and/or Phantom Units equal in value to the distributions made by the Partnership with respect to a Unit during the period such Award is outstanding.</w:t>
      </w:r>
    </w:p>
    <w:p>
      <w:pPr>
        <w:spacing w:after="0" w:line="116" w:lineRule="exact"/>
        <w:rPr>
          <w:sz w:val="20"/>
          <w:szCs w:val="20"/>
          <w:color w:val="auto"/>
        </w:rPr>
      </w:pPr>
    </w:p>
    <w:p>
      <w:pPr>
        <w:ind w:right="680" w:firstLine="43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of directors or board of managers, as the case may be, of the Company, the Partnership or any of their Affiliates who is not an Employee or a Consultant (other than in that individual’s capacity as a Director).</w:t>
      </w:r>
    </w:p>
    <w:p>
      <w:pPr>
        <w:spacing w:after="0" w:line="1" w:lineRule="exact"/>
        <w:rPr>
          <w:sz w:val="20"/>
          <w:szCs w:val="20"/>
          <w:color w:val="auto"/>
        </w:rPr>
      </w:pPr>
    </w:p>
    <w:p>
      <w:pPr>
        <w:ind w:right="360" w:firstLine="432"/>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total and permanent disability within the meaning of Section 22(e)(3) of the Code; provided, however, that if a Disability constitutes a payment event with respect to any Award which provides for the deferral of compensation and is subject to Section 409A, then, to the extent required to comply with Section 409A, the Participant must also be considered “disabled” within the meaning of Section 409A(a)(2)(C) of the Code. A determination of Disability may be made by a physician selected or approved by the Committee and, in this respect, Participants shall submit to an examination by such physician upon request by the Committee.</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 employee of the Company, the Partnership or any of their Affiliates.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given date, the closing sales price on such date during normal trading hours (or, if there are no reported sales on such date, on the last date prior to such date on which there were sales) of the Units on the New York Stock Exchange or, if not listed on such exchange, on any other national securities exchange on which the Units are listed or on an inter-dealer quotation system, in any case, as reported in such source as the Committee shall select. If there is no regular public trading market for the Units, the Fair Market Value of the Units shall be determined by the Committee in good faith and, to the extent applicable, in compliance with the requirements of Section 409A.</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Units granted pursuant to Section 6(a) of the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Unit-Based Award</w:t>
      </w:r>
      <w:r>
        <w:rPr>
          <w:rFonts w:ascii="Arial" w:cs="Arial" w:eastAsia="Arial" w:hAnsi="Arial"/>
          <w:sz w:val="18"/>
          <w:szCs w:val="18"/>
          <w:color w:val="auto"/>
        </w:rPr>
        <w:t>” means an award granted pursuant to Section 6(f) of the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 Employee, Consultant or Director granted an Award under the Plan and any authorized transferee of such individual.</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means the Agreement of Limited Partnership of the Partnership, as it may be amended or amended and restated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5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Unit</w:t>
      </w:r>
      <w:r>
        <w:rPr>
          <w:rFonts w:ascii="Arial" w:cs="Arial" w:eastAsia="Arial" w:hAnsi="Arial"/>
          <w:sz w:val="18"/>
          <w:szCs w:val="18"/>
          <w:color w:val="auto"/>
        </w:rPr>
        <w:t>” means a notional interest granted under the Plan that, to the extent vested, entitles the Participant to receive a Unit or an amount of cash equal to the Fair Market Value of a Unit, as determined by the Committee in its discretion.</w:t>
      </w:r>
    </w:p>
    <w:p>
      <w:pPr>
        <w:spacing w:after="0" w:line="116"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 Interest Unit</w:t>
      </w:r>
      <w:r>
        <w:rPr>
          <w:rFonts w:ascii="Arial" w:cs="Arial" w:eastAsia="Arial" w:hAnsi="Arial"/>
          <w:sz w:val="18"/>
          <w:szCs w:val="18"/>
          <w:color w:val="auto"/>
        </w:rPr>
        <w:t>” means to the extent authorized by the Partnership Agreement, an interest in the Partnership that is intended to constitute a “profits interest” within the meaning of the Code, Treasury Regulations promulgated thereunder, and any published guidance by the Internal Revenue Service with respect thereto.</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QEP</w:t>
      </w:r>
      <w:r>
        <w:rPr>
          <w:rFonts w:ascii="Arial" w:cs="Arial" w:eastAsia="Arial" w:hAnsi="Arial"/>
          <w:sz w:val="18"/>
          <w:szCs w:val="18"/>
          <w:color w:val="auto"/>
        </w:rPr>
        <w:t>” means QEP Resources, Inc., a Delaware corporation, or any successor thereto.</w:t>
      </w:r>
    </w:p>
    <w:p>
      <w:pPr>
        <w:spacing w:after="0" w:line="15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established by the Committee with respect to an Award during which the Award remains subject to forfeiture and is either not exercisable by or payable to the Participant, as the case may be.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Unit</w:t>
      </w:r>
      <w:r>
        <w:rPr>
          <w:rFonts w:ascii="Arial" w:cs="Arial" w:eastAsia="Arial" w:hAnsi="Arial"/>
          <w:sz w:val="18"/>
          <w:szCs w:val="18"/>
          <w:color w:val="auto"/>
        </w:rPr>
        <w:t>” means a Unit granted pursuant to Section 6(b) of the Plan that is subject to a Restricted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thereto.</w:t>
      </w:r>
    </w:p>
    <w:p>
      <w:pPr>
        <w:spacing w:after="0" w:line="171"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the Code and the Department of Treasury Regulations and other interpretive guidance issued thereunder, including without limitation any such regulations or other guidance that may be issued after the Effective Date (as defined in Section 9 below).</w:t>
      </w:r>
    </w:p>
    <w:p>
      <w:pPr>
        <w:sectPr>
          <w:pgSz w:w="11900" w:h="16838" w:orient="portrait"/>
          <w:cols w:equalWidth="0" w:num="1">
            <w:col w:w="11420"/>
          </w:cols>
          <w:pgMar w:left="240" w:top="746" w:right="239" w:bottom="1440" w:gutter="0" w:footer="0" w:header="0"/>
        </w:sectPr>
      </w:pPr>
    </w:p>
    <w:bookmarkStart w:id="240" w:name="page241"/>
    <w:bookmarkEnd w:id="240"/>
    <w:p>
      <w:pPr>
        <w:ind w:right="80" w:firstLine="432"/>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w:t>
      </w:r>
      <w:r>
        <w:rPr>
          <w:rFonts w:ascii="Arial" w:cs="Arial" w:eastAsia="Arial" w:hAnsi="Arial"/>
          <w:sz w:val="17"/>
          <w:szCs w:val="17"/>
          <w:color w:val="auto"/>
        </w:rPr>
        <w:t>” means service as an Employee, Consultant or Director. The Committee, in its sole discretion, shall determine the effect of all matters and questions relating to terminations of Service, including, without limitation, the questions of whether and when a termination of Service occurred and/or resulted from a discharge for cause (as such term may be defined in an Award Agreement or, otherwise, as may be determined by the Committee), and all questions of whether particular changes in status or leaves of absence constitute a termination of Service. The Committee, in its sole discretion, subject to the terms of any applicable Award Agreement, may determine that a termination of Service has not occurred in the event of (a) a termination where there is simultaneous commencement by the Participant of a relationship with the Partnership, the Company or any of their Affiliates as an Employee, Director or Consultant or (b) a termination which results in a temporary severance of the service relationship.</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means an award granted pursuant to Section 6(g) of the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w:t>
      </w:r>
      <w:r>
        <w:rPr>
          <w:rFonts w:ascii="Arial" w:cs="Arial" w:eastAsia="Arial" w:hAnsi="Arial"/>
          <w:sz w:val="18"/>
          <w:szCs w:val="18"/>
          <w:color w:val="auto"/>
        </w:rPr>
        <w:t>” means a Common Unit of the Partnership.</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UAR</w:t>
      </w:r>
      <w:r>
        <w:rPr>
          <w:rFonts w:ascii="Arial" w:cs="Arial" w:eastAsia="Arial" w:hAnsi="Arial"/>
          <w:sz w:val="18"/>
          <w:szCs w:val="18"/>
          <w:color w:val="auto"/>
        </w:rPr>
        <w:t>” means a contingent right that entitles the holder to receive the excess of the Fair Market Value of a Unit on the exercise date of the UAR over the exercise price of the UAR.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 Award</w:t>
      </w:r>
      <w:r>
        <w:rPr>
          <w:rFonts w:ascii="Arial" w:cs="Arial" w:eastAsia="Arial" w:hAnsi="Arial"/>
          <w:sz w:val="18"/>
          <w:szCs w:val="18"/>
          <w:color w:val="auto"/>
        </w:rPr>
        <w:t>” means an award granted pursuant to Section 6(d) of the Plan.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76" w:lineRule="exact"/>
        <w:rPr>
          <w:sz w:val="20"/>
          <w:szCs w:val="20"/>
          <w:color w:val="auto"/>
        </w:rPr>
      </w:pPr>
    </w:p>
    <w:p>
      <w:pPr>
        <w:ind w:firstLine="440"/>
        <w:spacing w:after="0" w:line="268" w:lineRule="auto"/>
        <w:tabs>
          <w:tab w:leader="none" w:pos="67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Plan shall be administered by the Committee, subject to subsection (b) below; provided, however, that in the event that the Board is not also serving as the Committee, the Board, in its sole discretion, may at any time and from time to time exercise any and all rights and duties of the Committee under the Plan. The governance of the Committee shall be subject to the charter, if any, of the Committee as approved by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Units to be covered by Awards; (iv) determine the terms and conditions of any Award; (v) determine whether, to what extent, and under what circumstances Awards may be settled, exercised, canceled, or forfeited; (vi) interpret and administer the Plan and any instrument or agreement relating to an Award made under the Plan; (vii) establish, amend, suspend, or waive such rules and regulations and appoint such agents as it shall deem appropriate for the proper administration of the Plan; and (viii) make any other determination and take any other action that the Committee deems necessary or desirable for the administration of the Plan. The Committee may correct any defect or supply any omission or reconcile any inconsistency in the Plan or an Award Agreement in such manner and to such extent as the Committee deems necessary or appropriate.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of their Affiliates, any Participant and any beneficiary of any Participant.</w:t>
      </w:r>
    </w:p>
    <w:p>
      <w:pPr>
        <w:spacing w:after="0" w:line="50" w:lineRule="exact"/>
        <w:rPr>
          <w:rFonts w:ascii="Arial" w:cs="Arial" w:eastAsia="Arial" w:hAnsi="Arial"/>
          <w:sz w:val="17"/>
          <w:szCs w:val="17"/>
          <w:color w:val="auto"/>
        </w:rPr>
      </w:pPr>
    </w:p>
    <w:p>
      <w:pPr>
        <w:ind w:firstLine="440"/>
        <w:spacing w:after="0" w:line="267" w:lineRule="auto"/>
        <w:tabs>
          <w:tab w:leader="none" w:pos="68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To the extent permitted by applicable law and the rules of any securities exchange on which the Units are listed, quoted or traded, the Board or Committee may from time to time delegate to a committee of one or more members of the Board or one or more officers of the Company the authority to grant or amend Awards or to take other administrative actions pursuant to Section 3(a); provided, however, that in no event shall an officer of the Company be delegated the authority to grant awards to, or amend awards held by, the following individuals: (i) individuals who are subject to Section 16 of the Exchange Act, or (ii) officers of the Company (or Directors) to whom authority to grant or amend Awards has been delegated hereunder; provided, further, that any delegation of administrative authority shall only be permitted to the extent that it is permissible under applicable provisions of the Code and applicable securities laws and the rules of any securities exchange on which the Units are listed, quoted or traded. Any delegation hereunder shall be subject to such restrictions and limitations as the Board or Committee, as applicable, specifies at the time of such delegation, and the Board or Committee, as applicable, may at any time rescind the authority so delegated or appoint a new delegatee. At all times, the delegatee appointed under this Section 3(b) shall serve in such capacity at the pleasure of the Board and the Committee.</w:t>
      </w:r>
    </w:p>
    <w:p>
      <w:pPr>
        <w:ind w:left="440"/>
        <w:spacing w:after="0"/>
        <w:rPr>
          <w:rFonts w:ascii="Arial" w:cs="Arial" w:eastAsia="Arial" w:hAnsi="Arial"/>
          <w:sz w:val="17"/>
          <w:szCs w:val="17"/>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Units</w:t>
      </w:r>
      <w:r>
        <w:rPr>
          <w:rFonts w:ascii="Arial" w:cs="Arial" w:eastAsia="Arial" w:hAnsi="Arial"/>
          <w:sz w:val="18"/>
          <w:szCs w:val="18"/>
          <w:color w:val="auto"/>
        </w:rPr>
        <w:t>.</w:t>
      </w:r>
    </w:p>
    <w:p>
      <w:pPr>
        <w:spacing w:after="0" w:line="76" w:lineRule="exact"/>
        <w:rPr>
          <w:sz w:val="20"/>
          <w:szCs w:val="20"/>
          <w:color w:val="auto"/>
        </w:rPr>
      </w:pPr>
    </w:p>
    <w:p>
      <w:pPr>
        <w:ind w:right="60" w:firstLine="440"/>
        <w:spacing w:after="0" w:line="254" w:lineRule="auto"/>
        <w:tabs>
          <w:tab w:leader="none" w:pos="67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Limits on Units Deliverable</w:t>
      </w:r>
      <w:r>
        <w:rPr>
          <w:rFonts w:ascii="Arial" w:cs="Arial" w:eastAsia="Arial" w:hAnsi="Arial"/>
          <w:sz w:val="18"/>
          <w:szCs w:val="18"/>
          <w:color w:val="auto"/>
        </w:rPr>
        <w:t>. Subject to adjustment as provided in Section 4(c), the number of Units that may be delivered with respect to Awards under the Plan is Five Million Three Hundred Forty-One Thousand (5,341,000). If any Award is forfeited, cancelled, exercised, paid, or otherwise terminates or expires without the actual delivery of Units pursuant to such Award (for the avoidance of doubt, the grant of Restricted Units is not a delivery of Units for this purpose unless and until such Restricted Units vest and any restrictions placed upon them under the Plan lapse), the Units subject to such Award shall again be available for Awards under the Plan. To the extent permitted by applicable law and securities exchange rules, Substitute Awards and Units issued in assumption of, or in substitution for, any outstanding awards of any entity acquired in any form of combination by the Partnership or any Affiliate thereof shall not be counted against the Units available for issuance pursuant to the Plan. There shall not be any limitation on the number of Awards that may be paid in cash.</w:t>
      </w:r>
    </w:p>
    <w:p>
      <w:pPr>
        <w:sectPr>
          <w:pgSz w:w="11900" w:h="16838" w:orient="portrait"/>
          <w:cols w:equalWidth="0" w:num="1">
            <w:col w:w="11400"/>
          </w:cols>
          <w:pgMar w:left="240" w:top="747" w:right="259" w:bottom="1440" w:gutter="0" w:footer="0" w:header="0"/>
        </w:sectPr>
      </w:pPr>
    </w:p>
    <w:bookmarkStart w:id="241" w:name="page242"/>
    <w:bookmarkEnd w:id="241"/>
    <w:p>
      <w:pPr>
        <w:ind w:left="-440" w:right="260" w:firstLine="440"/>
        <w:spacing w:after="0" w:line="264" w:lineRule="auto"/>
        <w:tabs>
          <w:tab w:leader="none" w:pos="247"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Sources of Units Deliverable Under Awards</w:t>
      </w:r>
      <w:r>
        <w:rPr>
          <w:rFonts w:ascii="Arial" w:cs="Arial" w:eastAsia="Arial" w:hAnsi="Arial"/>
          <w:sz w:val="18"/>
          <w:szCs w:val="18"/>
          <w:color w:val="auto"/>
        </w:rPr>
        <w:t>. Any Units delivered pursuant to an Award shall consist, in whole or in part, of Units acquired in the open market, from the Partnership, any Affiliate thereof or any other Person, or Units otherwise issuable by the Partnership, or any combination of the foregoing, as determined by the Committee in its discretion.</w:t>
      </w:r>
    </w:p>
    <w:p>
      <w:pPr>
        <w:spacing w:after="0" w:line="46" w:lineRule="exact"/>
        <w:rPr>
          <w:rFonts w:ascii="Arial" w:cs="Arial" w:eastAsia="Arial" w:hAnsi="Arial"/>
          <w:sz w:val="18"/>
          <w:szCs w:val="18"/>
          <w:color w:val="auto"/>
        </w:rPr>
      </w:pPr>
    </w:p>
    <w:p>
      <w:pPr>
        <w:ind w:left="240" w:hanging="240"/>
        <w:spacing w:after="0"/>
        <w:tabs>
          <w:tab w:leader="none" w:pos="24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Anti-dilution 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20" w:firstLine="886"/>
        <w:spacing w:after="0" w:line="271" w:lineRule="auto"/>
        <w:tabs>
          <w:tab w:leader="none" w:pos="653"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Equity Restructuring</w:t>
      </w:r>
      <w:r>
        <w:rPr>
          <w:rFonts w:ascii="Arial" w:cs="Arial" w:eastAsia="Arial" w:hAnsi="Arial"/>
          <w:sz w:val="17"/>
          <w:szCs w:val="17"/>
          <w:color w:val="auto"/>
        </w:rPr>
        <w:t>. With respect to any “equity restructuring” event that could result in an additional compensation expense to the Company or the Partnership pursuant to the provisions of ASC Topic 718 if adjustments to Awards with respect to such event were discretionary, the Committee shall equitably adjust the number and type of Units covered by each outstanding Award and the terms and conditions, including the exercise price and performance criteria (if any), of such Award to equitably reflect such event and shall adjust the number and type of Units (or other securities or property) with respect to which Awards may be granted under the Plan after such event. With respect to any other similar event that would not result in an ASC Topic 718 accounting charge if the adjustment to Awards with respect to such event were subject to discretionary action, the Committee shall have complete discretion to adjust Awards and the number and type of Units (or other securities or property) with respect to which Awards may be granted under the Plan in such manner as it deems appropriate with respect to such other event.</w:t>
      </w:r>
    </w:p>
    <w:p>
      <w:pPr>
        <w:spacing w:after="0" w:line="43" w:lineRule="exact"/>
        <w:rPr>
          <w:rFonts w:ascii="Arial" w:cs="Arial" w:eastAsia="Arial" w:hAnsi="Arial"/>
          <w:sz w:val="17"/>
          <w:szCs w:val="17"/>
          <w:color w:val="auto"/>
        </w:rPr>
      </w:pPr>
    </w:p>
    <w:p>
      <w:pPr>
        <w:ind w:left="-440" w:right="320" w:firstLine="886"/>
        <w:spacing w:after="0" w:line="268" w:lineRule="auto"/>
        <w:tabs>
          <w:tab w:leader="none" w:pos="703"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Other Changes in Capitalization</w:t>
      </w:r>
      <w:r>
        <w:rPr>
          <w:rFonts w:ascii="Arial" w:cs="Arial" w:eastAsia="Arial" w:hAnsi="Arial"/>
          <w:sz w:val="17"/>
          <w:szCs w:val="17"/>
          <w:color w:val="auto"/>
        </w:rPr>
        <w:t>. In the event of any non-cash distribution, Unit split, combination or exchange of Units, merger, consolidation or distribution (other than normal cash distributions) of Partnership assets to unitholders, or any other change affecting the Units of the Partnership, other than an “equity restructuring,” the Committee may make equitable adjustments, if any, to reflect such change with respect to (A) the aggregate number and kind of Units that may be issued under the Plan; (B) the number and kind of Units (or other securities or property) subject to outstanding Awards; (C) the terms and conditions of any outstanding Awards (including, without limitation, any applicable performance targets or criteria with respect thereto); and (D) the grant or exercise price per Unit for any outstanding Awards under the Plan.</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Any Employee, Consultant or Director shall be eligible to be designated a Participant and receive an Award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90" w:lineRule="exact"/>
        <w:rPr>
          <w:sz w:val="20"/>
          <w:szCs w:val="20"/>
          <w:color w:val="auto"/>
        </w:rPr>
      </w:pPr>
    </w:p>
    <w:p>
      <w:pPr>
        <w:ind w:left="-440" w:firstLine="440"/>
        <w:spacing w:after="0" w:line="291" w:lineRule="auto"/>
        <w:tabs>
          <w:tab w:leader="none" w:pos="237"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Options and UARs</w:t>
      </w:r>
      <w:r>
        <w:rPr>
          <w:rFonts w:ascii="Arial" w:cs="Arial" w:eastAsia="Arial" w:hAnsi="Arial"/>
          <w:sz w:val="16"/>
          <w:szCs w:val="16"/>
          <w:color w:val="auto"/>
        </w:rPr>
        <w:t>. The Committee shall have the authority to determine the Employees, Consultants and Directors to whom Options and/or UARs shall be granted, the number of Units to be covered by each Option or UAR, the exercise price therefor, the Restricted Period and other conditions and limitations applicable to the exercise of the Option or UAR, including the following terms and conditions and such additional terms and conditions, as the Committee shall determine, that are not inconsistent with the provisions of the Plan. Options which are intended to comply with Treasury Regulation Section 1.409A-1(b)(5)(i)(A) and UARs which are intended to comply with Treasury Regulation Section 1.409A-1(b)(5)(i)(B) or, in each case, any successor regulation, may be granted only if the requirements of Treasury Regulation Section 1.409A-1(b)(5)(iii), or any successor regulation, are satisfied. Options and UARs that are otherwise exempt from or compliant with Section 409A may be granted to any eligible Employee, Consultant or Director.</w:t>
      </w:r>
    </w:p>
    <w:p>
      <w:pPr>
        <w:spacing w:after="0" w:line="32" w:lineRule="exact"/>
        <w:rPr>
          <w:rFonts w:ascii="Arial" w:cs="Arial" w:eastAsia="Arial" w:hAnsi="Arial"/>
          <w:sz w:val="16"/>
          <w:szCs w:val="16"/>
          <w:color w:val="auto"/>
        </w:rPr>
      </w:pPr>
    </w:p>
    <w:p>
      <w:pPr>
        <w:ind w:left="-440" w:right="20" w:firstLine="886"/>
        <w:spacing w:after="0" w:line="264" w:lineRule="auto"/>
        <w:tabs>
          <w:tab w:leader="none" w:pos="653"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Unit purchasable under an Option or subject to a UAR shall be determined by the Committee at the time the Option or UAR is granted but, except with respect to a Substitute Award, may not be less than the Fair Market Value of a Unit as of the date of grant of the Option or UAR.</w:t>
      </w:r>
    </w:p>
    <w:p>
      <w:pPr>
        <w:spacing w:after="0" w:line="46" w:lineRule="exact"/>
        <w:rPr>
          <w:rFonts w:ascii="Arial" w:cs="Arial" w:eastAsia="Arial" w:hAnsi="Arial"/>
          <w:sz w:val="18"/>
          <w:szCs w:val="18"/>
          <w:color w:val="auto"/>
        </w:rPr>
      </w:pPr>
    </w:p>
    <w:p>
      <w:pPr>
        <w:ind w:left="-440" w:right="100" w:firstLine="886"/>
        <w:spacing w:after="0" w:line="255" w:lineRule="auto"/>
        <w:tabs>
          <w:tab w:leader="none" w:pos="703"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Time and Method of Exercise</w:t>
      </w:r>
      <w:r>
        <w:rPr>
          <w:rFonts w:ascii="Arial" w:cs="Arial" w:eastAsia="Arial" w:hAnsi="Arial"/>
          <w:sz w:val="18"/>
          <w:szCs w:val="18"/>
          <w:color w:val="auto"/>
        </w:rPr>
        <w:t>. The Committee shall determine the exercise terms and any applicable Restricted Period with respect to an Option or UAR, which may include, without limitation, provisions for accelerated vesting upon the achievement of specified performance goals and/or other events, and the method or methods by which payment of the exercise price with respect to an Option or UAR may be made or deemed to have been made, which may include, without limitation, cash, check acceptable to the Company, withholding Units having a Fair Market Value on the exercise date equal to the relevant exercise price from the Award, a “cashless” exercise through procedures approved by the Company, or any combination of the foregoing methods.</w:t>
      </w:r>
    </w:p>
    <w:p>
      <w:pPr>
        <w:spacing w:after="0" w:line="58" w:lineRule="exact"/>
        <w:rPr>
          <w:rFonts w:ascii="Arial" w:cs="Arial" w:eastAsia="Arial" w:hAnsi="Arial"/>
          <w:sz w:val="18"/>
          <w:szCs w:val="18"/>
          <w:color w:val="auto"/>
        </w:rPr>
      </w:pPr>
    </w:p>
    <w:p>
      <w:pPr>
        <w:ind w:left="-440" w:right="120" w:firstLine="886"/>
        <w:spacing w:after="0" w:line="268" w:lineRule="auto"/>
        <w:tabs>
          <w:tab w:leader="none" w:pos="753"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t>Exercise of Options and UARs on Termination of Service</w:t>
      </w:r>
      <w:r>
        <w:rPr>
          <w:rFonts w:ascii="Arial" w:cs="Arial" w:eastAsia="Arial" w:hAnsi="Arial"/>
          <w:sz w:val="17"/>
          <w:szCs w:val="17"/>
          <w:color w:val="auto"/>
        </w:rPr>
        <w:t>. Each Option and UAR Award Agreement shall set forth the extent to which the Participant shall have the right to exercise the Option or UAR following a termination of the Participant’s Service. Unless otherwise determined by the Committee, if the Participant’s Service is terminated for cause (as such term may be defined in an Award Agreement or, otherwise, as may be determined by the Committee), the Participant’s right to exercise the Option or UAR shall terminate as of the start of business on the effective date of the Participant’s termination. Unless otherwise determined by the Committee, to the extent the Option or UAR is not vested and exercisable as of the termination of Service, the Option or UAR shall terminate when the Participant’s Service terminates.</w:t>
      </w:r>
    </w:p>
    <w:p>
      <w:pPr>
        <w:spacing w:after="0" w:line="1" w:lineRule="exact"/>
        <w:rPr>
          <w:rFonts w:ascii="Arial" w:cs="Arial" w:eastAsia="Arial" w:hAnsi="Arial"/>
          <w:sz w:val="17"/>
          <w:szCs w:val="17"/>
          <w:color w:val="auto"/>
        </w:rPr>
      </w:pPr>
    </w:p>
    <w:p>
      <w:pPr>
        <w:ind w:left="-440" w:right="200" w:firstLine="886"/>
        <w:spacing w:after="0" w:line="261" w:lineRule="auto"/>
        <w:tabs>
          <w:tab w:leader="none" w:pos="743"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Term of Options and UARs</w:t>
      </w:r>
      <w:r>
        <w:rPr>
          <w:rFonts w:ascii="Arial" w:cs="Arial" w:eastAsia="Arial" w:hAnsi="Arial"/>
          <w:sz w:val="18"/>
          <w:szCs w:val="18"/>
          <w:color w:val="auto"/>
        </w:rPr>
        <w:t xml:space="preserve">. The term of each Option and UAR shall be stated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that the term shall be no more than ten (10) years from the date of grant thereof.</w:t>
      </w:r>
    </w:p>
    <w:p>
      <w:pPr>
        <w:sectPr>
          <w:pgSz w:w="11900" w:h="16838" w:orient="portrait"/>
          <w:cols w:equalWidth="0" w:num="1">
            <w:col w:w="10960"/>
          </w:cols>
          <w:pgMar w:left="680" w:top="665" w:right="259" w:bottom="1440" w:gutter="0" w:footer="0" w:header="0"/>
        </w:sectPr>
      </w:pPr>
    </w:p>
    <w:bookmarkStart w:id="242" w:name="page243"/>
    <w:bookmarkEnd w:id="242"/>
    <w:p>
      <w:pPr>
        <w:ind w:right="380" w:firstLine="440"/>
        <w:spacing w:after="0" w:line="302" w:lineRule="auto"/>
        <w:tabs>
          <w:tab w:leader="none" w:pos="687"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Restricted Units and Phantom Units</w:t>
      </w:r>
      <w:r>
        <w:rPr>
          <w:rFonts w:ascii="Arial" w:cs="Arial" w:eastAsia="Arial" w:hAnsi="Arial"/>
          <w:sz w:val="16"/>
          <w:szCs w:val="16"/>
          <w:color w:val="auto"/>
        </w:rPr>
        <w:t>. The Committee shall have the authority to determine the Employees, Consultants and Directors to whom Restricted Units and/or Phantom Units shall be granted, the number of Restricted Units or Phantom Units to be granted to each such Participant, the applicable Restricted Period, the conditions under which the Restricted Units or Phantom Units may become vested or forfeited and such other terms and conditions, including, without limitation, restrictions on transferability, as the Committee may establish with respect to such Awards.</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Payment of Phantom Units</w:t>
      </w:r>
      <w:r>
        <w:rPr>
          <w:rFonts w:ascii="Arial" w:cs="Arial" w:eastAsia="Arial" w:hAnsi="Arial"/>
          <w:sz w:val="18"/>
          <w:szCs w:val="18"/>
          <w:color w:val="auto"/>
        </w:rPr>
        <w:t>. The Committee shall specify, or permit the Participant to elect in accordance with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409A, the conditions and dates or events upon which the cash or Units underlying an award of Phantom Units shall be issued, which dates or events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not be earlier than the date on which the Phantom Units vest and become nonforfeitable and which conditions and dates or events shall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Section 409A (unless the Phantom Units are exempt therefrom).</w:t>
      </w:r>
    </w:p>
    <w:p>
      <w:pPr>
        <w:spacing w:after="0" w:line="76" w:lineRule="exact"/>
        <w:rPr>
          <w:sz w:val="20"/>
          <w:szCs w:val="20"/>
          <w:color w:val="auto"/>
        </w:rPr>
      </w:pPr>
    </w:p>
    <w:p>
      <w:pPr>
        <w:ind w:right="120" w:firstLine="886"/>
        <w:spacing w:after="0" w:line="264" w:lineRule="auto"/>
        <w:tabs>
          <w:tab w:leader="none" w:pos="1143"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Vesting of Restricted Units</w:t>
      </w:r>
      <w:r>
        <w:rPr>
          <w:rFonts w:ascii="Arial" w:cs="Arial" w:eastAsia="Arial" w:hAnsi="Arial"/>
          <w:sz w:val="18"/>
          <w:szCs w:val="18"/>
          <w:color w:val="auto"/>
        </w:rPr>
        <w:t>. Upon or as soon as reasonably practicable following the vesting of each Restricted Unit, subject to satisfying the tax withholding obligations of Section 8(b), the Participant shall be entitled to have the restrictions removed from his or her Unit certificate (or book-entry account, as applicable) so that the Participant then holds an unrestricted Unit.</w:t>
      </w:r>
    </w:p>
    <w:p>
      <w:pPr>
        <w:spacing w:after="0" w:line="46" w:lineRule="exact"/>
        <w:rPr>
          <w:rFonts w:ascii="Arial" w:cs="Arial" w:eastAsia="Arial" w:hAnsi="Arial"/>
          <w:sz w:val="18"/>
          <w:szCs w:val="18"/>
          <w:color w:val="auto"/>
        </w:rPr>
      </w:pPr>
    </w:p>
    <w:p>
      <w:pPr>
        <w:ind w:right="40" w:firstLine="440"/>
        <w:spacing w:after="0" w:line="283" w:lineRule="auto"/>
        <w:tabs>
          <w:tab w:leader="none" w:pos="677"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DERs</w:t>
      </w:r>
      <w:r>
        <w:rPr>
          <w:rFonts w:ascii="Arial" w:cs="Arial" w:eastAsia="Arial" w:hAnsi="Arial"/>
          <w:sz w:val="16"/>
          <w:szCs w:val="16"/>
          <w:color w:val="auto"/>
        </w:rPr>
        <w:t>. The Committee shall have the authority to determine the Employees, Consultants and/or Directors to whom DERs are granted, whether such DERs are tandem or separate Awards, whether the DERs shall be paid directly to the Participant, be credited to a bookkeeping account (with or without interest in the discretion of the Committee), any vesting restrictions and payment provisions applicable to the DERs, and such other provisions or restrictions as determined by the Committee in its discretion, all of which shall be specified in the applicable Award Agreements. Distributions in respect of DERs shall be credited as of the distribution dates during the period between the date an Award is granted to a Participant and the date such Award vests, is exercised, is distributed or expires, as determined by the Committee. Such DERs shall be converted to cash, Units, Restricted Units and/or Phantom Units by such formula and at such time and subject to such limitations as may be determined by the Committee. Tandem DERs may be subject to the same or different vesting restrictions as the tandem Award, or be subject to such other provisions or restrictions as determined by the Committee in its discretion. Notwithstanding the foregoing, DERs shall only be paid in a manner that is either exempt from or in compliance with Section 409A.</w:t>
      </w:r>
    </w:p>
    <w:p>
      <w:pPr>
        <w:spacing w:after="0" w:line="6" w:lineRule="exact"/>
        <w:rPr>
          <w:rFonts w:ascii="Arial" w:cs="Arial" w:eastAsia="Arial" w:hAnsi="Arial"/>
          <w:sz w:val="16"/>
          <w:szCs w:val="16"/>
          <w:color w:val="auto"/>
        </w:rPr>
      </w:pPr>
    </w:p>
    <w:p>
      <w:pPr>
        <w:ind w:right="60" w:firstLine="440"/>
        <w:spacing w:after="0" w:line="255" w:lineRule="auto"/>
        <w:tabs>
          <w:tab w:leader="none" w:pos="687"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Unit Awards</w:t>
      </w:r>
      <w:r>
        <w:rPr>
          <w:rFonts w:ascii="Arial" w:cs="Arial" w:eastAsia="Arial" w:hAnsi="Arial"/>
          <w:sz w:val="18"/>
          <w:szCs w:val="18"/>
          <w:color w:val="auto"/>
        </w:rPr>
        <w:t>. Awards of Units may be granted under the Plan (i) to such Employees, Consultants and/or Directors and in such amounts as the Committee, in its discretion, may select, and (ii) subject to such other terms and conditions, including, without limitation, restrictions on transferability, as the Committee may establish with respect to such Awards.</w:t>
      </w:r>
    </w:p>
    <w:p>
      <w:pPr>
        <w:spacing w:after="0" w:line="55" w:lineRule="exact"/>
        <w:rPr>
          <w:rFonts w:ascii="Arial" w:cs="Arial" w:eastAsia="Arial" w:hAnsi="Arial"/>
          <w:sz w:val="18"/>
          <w:szCs w:val="18"/>
          <w:color w:val="auto"/>
        </w:rPr>
      </w:pPr>
    </w:p>
    <w:p>
      <w:pPr>
        <w:jc w:val="both"/>
        <w:ind w:right="60" w:firstLine="440"/>
        <w:spacing w:after="0" w:line="276" w:lineRule="auto"/>
        <w:tabs>
          <w:tab w:leader="none" w:pos="677"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Profits Interest Units</w:t>
      </w:r>
      <w:r>
        <w:rPr>
          <w:rFonts w:ascii="Arial" w:cs="Arial" w:eastAsia="Arial" w:hAnsi="Arial"/>
          <w:sz w:val="17"/>
          <w:szCs w:val="17"/>
          <w:color w:val="auto"/>
        </w:rPr>
        <w:t>. Any Award consisting of Profits Interest Units may be granted to an Employee, Consultant or Director for the performance of services to or for the benefit of the Partnership (i) in the Participant’s capacity as a partner of the Partnership, (ii) in anticipation of the Participant becoming a partner of the Partnership, or (iii) as otherwise determined by the Committee. At the time of grant, the Committee shall specify the date or dates on which the Profits Interest Units shall vest and become nonforfeitable, and may specify such conditions to vesting as it deems appropriate. Profits Interest Units shall be subject to such restrictions on transferability and other restrictions as the Committee may impose.</w:t>
      </w:r>
    </w:p>
    <w:p>
      <w:pPr>
        <w:spacing w:after="0" w:line="37" w:lineRule="exact"/>
        <w:rPr>
          <w:rFonts w:ascii="Arial" w:cs="Arial" w:eastAsia="Arial" w:hAnsi="Arial"/>
          <w:sz w:val="17"/>
          <w:szCs w:val="17"/>
          <w:color w:val="auto"/>
        </w:rPr>
      </w:pPr>
    </w:p>
    <w:p>
      <w:pPr>
        <w:ind w:left="660" w:hanging="220"/>
        <w:spacing w:after="0"/>
        <w:tabs>
          <w:tab w:leader="none" w:pos="660"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Other Unit-Based Awards</w:t>
      </w:r>
      <w:r>
        <w:rPr>
          <w:rFonts w:ascii="Arial" w:cs="Arial" w:eastAsia="Arial" w:hAnsi="Arial"/>
          <w:sz w:val="17"/>
          <w:szCs w:val="17"/>
          <w:color w:val="auto"/>
        </w:rPr>
        <w:t>. Other Unit-Based Awards may be granted under the Plan to such Employees, Consultants and/or Directors as the</w:t>
      </w:r>
    </w:p>
    <w:p>
      <w:pPr>
        <w:spacing w:after="0" w:line="34" w:lineRule="exact"/>
        <w:rPr>
          <w:rFonts w:ascii="Arial" w:cs="Arial" w:eastAsia="Arial" w:hAnsi="Arial"/>
          <w:sz w:val="17"/>
          <w:szCs w:val="17"/>
          <w:color w:val="auto"/>
        </w:rPr>
      </w:pPr>
    </w:p>
    <w:p>
      <w:pPr>
        <w:ind w:right="40"/>
        <w:spacing w:after="0" w:line="277" w:lineRule="auto"/>
        <w:rPr>
          <w:rFonts w:ascii="Arial" w:cs="Arial" w:eastAsia="Arial" w:hAnsi="Arial"/>
          <w:sz w:val="17"/>
          <w:szCs w:val="17"/>
          <w:color w:val="auto"/>
        </w:rPr>
      </w:pPr>
      <w:r>
        <w:rPr>
          <w:rFonts w:ascii="Arial" w:cs="Arial" w:eastAsia="Arial" w:hAnsi="Arial"/>
          <w:sz w:val="17"/>
          <w:szCs w:val="17"/>
          <w:color w:val="auto"/>
        </w:rPr>
        <w:t>Committee, in its discretion, may select. An Other Unit-Based Award shall be an award denominated or payable in, valued in or otherwise based on or related to Units, in whole or in part. The Committee shall determine the terms and conditions of any Other Unit-Based Award. Upon vesting, an Other Unit-Based Award may be paid in cash, Units (including Restricted Units) or any combination thereof as provided in the Award Agreement.</w:t>
      </w:r>
    </w:p>
    <w:p>
      <w:pPr>
        <w:spacing w:after="0" w:line="38" w:lineRule="exact"/>
        <w:rPr>
          <w:rFonts w:ascii="Arial" w:cs="Arial" w:eastAsia="Arial" w:hAnsi="Arial"/>
          <w:sz w:val="17"/>
          <w:szCs w:val="17"/>
          <w:color w:val="auto"/>
        </w:rPr>
      </w:pPr>
    </w:p>
    <w:p>
      <w:pPr>
        <w:ind w:firstLine="440"/>
        <w:spacing w:after="0" w:line="259" w:lineRule="auto"/>
        <w:tabs>
          <w:tab w:leader="none" w:pos="687"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be granted under the Plan in substitution of similar awards held by individuals who become Employees, Consultants or Directors as a result of a merger, consolidation or acquisition by the Partnership or an Affiliate of another entity or the assets of another entity. Such Substitute Awards that are Options or UARs may have exercise prices less than the Fair Market Value of a Unit on the date of the substitution if such substitution complies with Section 409A and other applicable laws and securities exchange rules.</w:t>
      </w:r>
    </w:p>
    <w:p>
      <w:pPr>
        <w:spacing w:after="0" w:line="51" w:lineRule="exact"/>
        <w:rPr>
          <w:rFonts w:ascii="Arial" w:cs="Arial" w:eastAsia="Arial" w:hAnsi="Arial"/>
          <w:sz w:val="18"/>
          <w:szCs w:val="18"/>
          <w:color w:val="auto"/>
        </w:rPr>
      </w:pPr>
    </w:p>
    <w:p>
      <w:pPr>
        <w:ind w:left="700" w:hanging="260"/>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200" w:firstLine="886"/>
        <w:spacing w:after="0" w:line="286" w:lineRule="auto"/>
        <w:tabs>
          <w:tab w:leader="none" w:pos="1093"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Forfeitures</w:t>
      </w:r>
      <w:r>
        <w:rPr>
          <w:rFonts w:ascii="Arial" w:cs="Arial" w:eastAsia="Arial" w:hAnsi="Arial"/>
          <w:sz w:val="16"/>
          <w:szCs w:val="16"/>
          <w:color w:val="auto"/>
        </w:rPr>
        <w:t xml:space="preserve">. Except as otherwise provided in the terms of an Award Agreement, upon termination of a Participant’s Service for any reason during an applicable Restricted Period, all outstanding, unvested Awards held by such Participant shall be automatically forfeited by the Participant. The Committee may, in its discretion, waive in whole or in part such forfeiture with respect to any such Award; </w:t>
      </w:r>
      <w:r>
        <w:rPr>
          <w:rFonts w:ascii="Arial" w:cs="Arial" w:eastAsia="Arial" w:hAnsi="Arial"/>
          <w:sz w:val="16"/>
          <w:szCs w:val="16"/>
          <w:i w:val="1"/>
          <w:iCs w:val="1"/>
          <w:color w:val="auto"/>
        </w:rPr>
        <w:t>provided</w:t>
      </w:r>
      <w:r>
        <w:rPr>
          <w:rFonts w:ascii="Arial" w:cs="Arial" w:eastAsia="Arial" w:hAnsi="Arial"/>
          <w:sz w:val="16"/>
          <w:szCs w:val="16"/>
          <w:color w:val="auto"/>
        </w:rPr>
        <w:t>, that any such waiver shall be effective only to the extent that such waiver will not cause any Award intended to satisfy the requirements of Section 409A to fail to satisfy such requirements.</w:t>
      </w:r>
    </w:p>
    <w:p>
      <w:pPr>
        <w:spacing w:after="0" w:line="1" w:lineRule="exact"/>
        <w:rPr>
          <w:rFonts w:ascii="Arial" w:cs="Arial" w:eastAsia="Arial" w:hAnsi="Arial"/>
          <w:sz w:val="16"/>
          <w:szCs w:val="16"/>
          <w:color w:val="auto"/>
        </w:rPr>
      </w:pPr>
    </w:p>
    <w:p>
      <w:pPr>
        <w:ind w:right="100" w:firstLine="886"/>
        <w:spacing w:after="0" w:line="255" w:lineRule="auto"/>
        <w:tabs>
          <w:tab w:leader="none" w:pos="1143"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Awards May Be Granted Separately or Together</w:t>
      </w:r>
      <w:r>
        <w:rPr>
          <w:rFonts w:ascii="Arial" w:cs="Arial" w:eastAsia="Arial" w:hAnsi="Arial"/>
          <w:sz w:val="18"/>
          <w:szCs w:val="18"/>
          <w:color w:val="auto"/>
        </w:rPr>
        <w:t>. Awards may, in the discretion of the Committee, be granted either alone or in addition to, in tandem with, or in substitution for any other Award granted under the Plan or any award granted under any other plan of the Company or any Affiliate. Awards granted in addition to or in tandem with other Awards or</w:t>
      </w:r>
    </w:p>
    <w:p>
      <w:pPr>
        <w:sectPr>
          <w:pgSz w:w="11900" w:h="16838" w:orient="portrait"/>
          <w:cols w:equalWidth="0" w:num="1">
            <w:col w:w="11420"/>
          </w:cols>
          <w:pgMar w:left="240" w:top="666" w:right="239" w:bottom="1440" w:gutter="0" w:footer="0" w:header="0"/>
        </w:sectPr>
      </w:pPr>
    </w:p>
    <w:bookmarkStart w:id="243" w:name="page244"/>
    <w:bookmarkEnd w:id="243"/>
    <w:p>
      <w:pPr>
        <w:ind w:right="240"/>
        <w:spacing w:after="0" w:line="277" w:lineRule="auto"/>
        <w:rPr>
          <w:sz w:val="20"/>
          <w:szCs w:val="20"/>
          <w:color w:val="auto"/>
        </w:rPr>
      </w:pPr>
      <w:r>
        <w:rPr>
          <w:rFonts w:ascii="Arial" w:cs="Arial" w:eastAsia="Arial" w:hAnsi="Arial"/>
          <w:sz w:val="18"/>
          <w:szCs w:val="18"/>
          <w:color w:val="auto"/>
        </w:rPr>
        <w:t>awards granted under any other plan of the Company or any Affiliate may be granted either at the same time as or at a different time from the grant of such other Awards or awards.</w:t>
      </w:r>
    </w:p>
    <w:p>
      <w:pPr>
        <w:spacing w:after="0" w:line="35" w:lineRule="exact"/>
        <w:rPr>
          <w:sz w:val="20"/>
          <w:szCs w:val="20"/>
          <w:color w:val="auto"/>
        </w:rPr>
      </w:pPr>
    </w:p>
    <w:p>
      <w:pPr>
        <w:ind w:left="1200" w:hanging="314"/>
        <w:spacing w:after="0"/>
        <w:tabs>
          <w:tab w:leader="none" w:pos="12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Limits on Transfer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1318"/>
        <w:spacing w:after="0" w:line="277" w:lineRule="auto"/>
        <w:tabs>
          <w:tab w:leader="none" w:pos="160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Except as provided in paragraph (C) below, each Option and UAR shall be exercisable only by the Participant during the Participant’s lifetime, or by the person to whom the Participant’s rights shall pass by will or the laws of descent and distribution.</w:t>
      </w:r>
    </w:p>
    <w:p>
      <w:pPr>
        <w:spacing w:after="0" w:line="35" w:lineRule="exact"/>
        <w:rPr>
          <w:rFonts w:ascii="Arial" w:cs="Arial" w:eastAsia="Arial" w:hAnsi="Arial"/>
          <w:sz w:val="18"/>
          <w:szCs w:val="18"/>
          <w:color w:val="auto"/>
        </w:rPr>
      </w:pPr>
    </w:p>
    <w:p>
      <w:pPr>
        <w:ind w:firstLine="1318"/>
        <w:spacing w:after="0" w:line="312" w:lineRule="auto"/>
        <w:tabs>
          <w:tab w:leader="none" w:pos="159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Except as provided in paragraph (C) below, no Award and no right under any such Award may be assigned, alienated, pledged, attached, sold or otherwise transferred or encumbered by a Participant other than by will or the laws of descent and distribution and any such purported assignment, alienation, pledge, attachment, sale, transfer or encumbrance shall be void and unenforceable against the Company, the Partnership or any Affiliate.</w:t>
      </w:r>
    </w:p>
    <w:p>
      <w:pPr>
        <w:spacing w:after="0" w:line="11" w:lineRule="exact"/>
        <w:rPr>
          <w:rFonts w:ascii="Arial" w:cs="Arial" w:eastAsia="Arial" w:hAnsi="Arial"/>
          <w:sz w:val="16"/>
          <w:szCs w:val="16"/>
          <w:color w:val="auto"/>
        </w:rPr>
      </w:pPr>
    </w:p>
    <w:p>
      <w:pPr>
        <w:ind w:right="80" w:firstLine="1318"/>
        <w:spacing w:after="0" w:line="297" w:lineRule="auto"/>
        <w:tabs>
          <w:tab w:leader="none" w:pos="159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Committee may provide in an Award Agreement that an Award may, on such terms and conditions as the Committee may from time to time establish, be transferred by a Participant without consideration to any “family member” of the Participant, as defined in the instructions to use of the Form S-8 Registration Statement under the Securities Act, as applicable, or any other transferee specifically approved by the Committee after taking into account any state, federal, local or foreign tax and securities laws applicable to transferable Awards. In addition, vested Units may be transferred to the extent permitted by the Partnership Agreement and not otherwise prohibited by the Award Agreement or any other agreement restricting the transfer of such Units.</w:t>
      </w:r>
    </w:p>
    <w:p>
      <w:pPr>
        <w:spacing w:after="0" w:line="23" w:lineRule="exact"/>
        <w:rPr>
          <w:rFonts w:ascii="Arial" w:cs="Arial" w:eastAsia="Arial" w:hAnsi="Arial"/>
          <w:sz w:val="16"/>
          <w:szCs w:val="16"/>
          <w:color w:val="auto"/>
        </w:rPr>
      </w:pPr>
    </w:p>
    <w:p>
      <w:pPr>
        <w:ind w:left="1200" w:hanging="314"/>
        <w:spacing w:after="0"/>
        <w:tabs>
          <w:tab w:leader="none" w:pos="1200"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Term of Awards</w:t>
      </w:r>
      <w:r>
        <w:rPr>
          <w:rFonts w:ascii="Arial" w:cs="Arial" w:eastAsia="Arial" w:hAnsi="Arial"/>
          <w:sz w:val="17"/>
          <w:szCs w:val="17"/>
          <w:color w:val="auto"/>
        </w:rPr>
        <w:t>. Subject to Section 6(a)(iv) above, the term of each Award, if any, shall be for such period as may be determined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Committee.</w:t>
      </w:r>
    </w:p>
    <w:p>
      <w:pPr>
        <w:spacing w:after="0" w:line="75" w:lineRule="exact"/>
        <w:rPr>
          <w:rFonts w:ascii="Arial" w:cs="Arial" w:eastAsia="Arial" w:hAnsi="Arial"/>
          <w:sz w:val="17"/>
          <w:szCs w:val="17"/>
          <w:color w:val="auto"/>
        </w:rPr>
      </w:pPr>
    </w:p>
    <w:p>
      <w:pPr>
        <w:ind w:right="40" w:firstLine="886"/>
        <w:spacing w:after="0" w:line="269" w:lineRule="auto"/>
        <w:tabs>
          <w:tab w:leader="none" w:pos="113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Unit Certificates</w:t>
      </w:r>
      <w:r>
        <w:rPr>
          <w:rFonts w:ascii="Arial" w:cs="Arial" w:eastAsia="Arial" w:hAnsi="Arial"/>
          <w:sz w:val="17"/>
          <w:szCs w:val="17"/>
          <w:color w:val="auto"/>
        </w:rPr>
        <w:t>. Unless otherwise determined by the Committee or required by any applicable law, rule or regulation, neither the Company nor the Partnership shall deliver to any Participant certificates evidencing Units issued in connection with any Award and instead such Units shall be recorded in the books of the Partnership (or, as applicable, its transfer agent or equity plan administrator). All certificates for Units or other securities of the Partnership delivered under the Plan and all Units issued pursuant to book entry procedures pursuant to any Award or the exercise</w:t>
      </w:r>
    </w:p>
    <w:p>
      <w:pPr>
        <w:spacing w:after="0" w:line="2" w:lineRule="exact"/>
        <w:rPr>
          <w:rFonts w:ascii="Arial" w:cs="Arial" w:eastAsia="Arial" w:hAnsi="Arial"/>
          <w:sz w:val="17"/>
          <w:szCs w:val="17"/>
          <w:color w:val="auto"/>
        </w:rPr>
      </w:pPr>
    </w:p>
    <w:p>
      <w:pPr>
        <w:ind w:right="40" w:firstLine="432"/>
        <w:spacing w:after="0" w:line="254" w:lineRule="auto"/>
        <w:rPr>
          <w:rFonts w:ascii="Arial" w:cs="Arial" w:eastAsia="Arial" w:hAnsi="Arial"/>
          <w:sz w:val="17"/>
          <w:szCs w:val="17"/>
          <w:color w:val="auto"/>
        </w:rPr>
      </w:pPr>
      <w:r>
        <w:rPr>
          <w:rFonts w:ascii="Arial" w:cs="Arial" w:eastAsia="Arial" w:hAnsi="Arial"/>
          <w:sz w:val="18"/>
          <w:szCs w:val="18"/>
          <w:color w:val="auto"/>
        </w:rPr>
        <w:t>thereof shall be subject to such stop-transfer orders and other restrictions as the Committee may deem advisable under the Plan or the rules, regulations, and/or other requirements of the SEC, any securities exchange upon which such Units or other securities are then listed, and any applicable federal or state laws, and the Committee may cause a legend or legends to be inscribed on any such certificates or book entry to make appropriate reference to such restrictions.</w:t>
      </w:r>
    </w:p>
    <w:p>
      <w:pPr>
        <w:spacing w:after="0" w:line="54" w:lineRule="exact"/>
        <w:rPr>
          <w:rFonts w:ascii="Arial" w:cs="Arial" w:eastAsia="Arial" w:hAnsi="Arial"/>
          <w:sz w:val="17"/>
          <w:szCs w:val="17"/>
          <w:color w:val="auto"/>
        </w:rPr>
      </w:pPr>
    </w:p>
    <w:p>
      <w:pPr>
        <w:ind w:right="40" w:firstLine="886"/>
        <w:spacing w:after="0" w:line="277" w:lineRule="auto"/>
        <w:tabs>
          <w:tab w:leader="none" w:pos="118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Consideration for Grants</w:t>
      </w:r>
      <w:r>
        <w:rPr>
          <w:rFonts w:ascii="Arial" w:cs="Arial" w:eastAsia="Arial" w:hAnsi="Arial"/>
          <w:sz w:val="18"/>
          <w:szCs w:val="18"/>
          <w:color w:val="auto"/>
        </w:rPr>
        <w:t>. To the extent permitted by applicable law, Awards may be granted for such consideration, including services, as the Committee shall determine.</w:t>
      </w:r>
    </w:p>
    <w:p>
      <w:pPr>
        <w:spacing w:after="0" w:line="35" w:lineRule="exact"/>
        <w:rPr>
          <w:rFonts w:ascii="Arial" w:cs="Arial" w:eastAsia="Arial" w:hAnsi="Arial"/>
          <w:sz w:val="18"/>
          <w:szCs w:val="18"/>
          <w:color w:val="auto"/>
        </w:rPr>
      </w:pPr>
    </w:p>
    <w:p>
      <w:pPr>
        <w:ind w:right="100" w:firstLine="886"/>
        <w:spacing w:after="0" w:line="287" w:lineRule="auto"/>
        <w:tabs>
          <w:tab w:leader="none" w:pos="1233"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Delivery of Units or other Securities and Payment by Participant of Consideration</w:t>
      </w:r>
      <w:r>
        <w:rPr>
          <w:rFonts w:ascii="Arial" w:cs="Arial" w:eastAsia="Arial" w:hAnsi="Arial"/>
          <w:sz w:val="16"/>
          <w:szCs w:val="16"/>
          <w:color w:val="auto"/>
        </w:rPr>
        <w:t>. Notwithstanding anything in the Plan or any Award Agreement to the contrary, subject to compliance with Section 409A, the Company shall not be required to issue or deliver any certificates or make any book entries evidencing Units pursuant to the exercise or vesting of any Award, unless and until the Board or the Committee has determined, with advice of counsel, that the issuance of such Units is in compliance with all applicable laws, regulations of governmental authorities and, if applicable, the requirements of any securities exchange on which the Units are listed or traded, and the Units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 Without limiting the generality of the foregoing, the delivery of Units pursuant to the exercise or vesting of an Award may be deferred for any period during which, in the good faith determination of the Committee, the Company is not reasonably able to obtain or deliver Units pursuant to such Award without violating applicable law or the applicable rules or regulations of any governmental agency or authority or securities exchange. No Units or other securities shall be delivered pursuant to any Award until payment in full of any amount required to be paid pursuant to the Plan or the applicable Award Agreement (including, without limitation, any exercise price or tax withholding) is received by the Company.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Amendment and Termination; Certain Transactions</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to the extent prohibited by applicable law:</w:t>
      </w:r>
    </w:p>
    <w:p>
      <w:pPr>
        <w:spacing w:after="0" w:line="90" w:lineRule="exact"/>
        <w:rPr>
          <w:sz w:val="20"/>
          <w:szCs w:val="20"/>
          <w:color w:val="auto"/>
        </w:rPr>
      </w:pPr>
    </w:p>
    <w:p>
      <w:pPr>
        <w:ind w:right="60" w:firstLine="440"/>
        <w:spacing w:after="0" w:line="279" w:lineRule="auto"/>
        <w:tabs>
          <w:tab w:leader="none" w:pos="677"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Amendments to the Plan</w:t>
      </w:r>
      <w:r>
        <w:rPr>
          <w:rFonts w:ascii="Arial" w:cs="Arial" w:eastAsia="Arial" w:hAnsi="Arial"/>
          <w:sz w:val="17"/>
          <w:szCs w:val="17"/>
          <w:color w:val="auto"/>
        </w:rPr>
        <w:t>. Except as required by applicable law or the rules of the principal securities exchange, if any, on which the Units are traded and subject to Section 7(b) below, the Board or the Committee may amend, alter, suspend, discontinue, or terminate the Plan in any manner without the consent of any partner, Participant, other holder or beneficiary of an Award, or any other Person. The Board shall obtain securityholder approval of any Plan amendment to the extent necessary to comply with applicable law or securities exchange listing standards or rules.</w:t>
      </w:r>
    </w:p>
    <w:p>
      <w:pPr>
        <w:sectPr>
          <w:pgSz w:w="11900" w:h="16838" w:orient="portrait"/>
          <w:cols w:equalWidth="0" w:num="1">
            <w:col w:w="11420"/>
          </w:cols>
          <w:pgMar w:left="240" w:top="585" w:right="239" w:bottom="1440" w:gutter="0" w:footer="0" w:header="0"/>
        </w:sectPr>
      </w:pPr>
    </w:p>
    <w:bookmarkStart w:id="244" w:name="page245"/>
    <w:bookmarkEnd w:id="244"/>
    <w:p>
      <w:pPr>
        <w:ind w:right="40" w:firstLine="440"/>
        <w:spacing w:after="0" w:line="264" w:lineRule="auto"/>
        <w:tabs>
          <w:tab w:leader="none" w:pos="687"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Amendments to Awards</w:t>
      </w:r>
      <w:r>
        <w:rPr>
          <w:rFonts w:ascii="Arial" w:cs="Arial" w:eastAsia="Arial" w:hAnsi="Arial"/>
          <w:sz w:val="18"/>
          <w:szCs w:val="18"/>
          <w:color w:val="auto"/>
        </w:rPr>
        <w:t>. Subject to Section 7(a) above, the Committee may waive any conditions or rights under, amend any terms of, or alter any Award theretofore granted, provided that no change, other than pursuant to Section 7(c) below, in any Award shall materially reduce the rights or benefits of a Participant with respect to an Award without the consent of such Participant.</w:t>
      </w:r>
    </w:p>
    <w:p>
      <w:pPr>
        <w:spacing w:after="0" w:line="46" w:lineRule="exact"/>
        <w:rPr>
          <w:rFonts w:ascii="Arial" w:cs="Arial" w:eastAsia="Arial" w:hAnsi="Arial"/>
          <w:sz w:val="18"/>
          <w:szCs w:val="18"/>
          <w:color w:val="auto"/>
        </w:rPr>
      </w:pPr>
    </w:p>
    <w:p>
      <w:pPr>
        <w:jc w:val="both"/>
        <w:ind w:right="20" w:firstLine="440"/>
        <w:spacing w:after="0" w:line="279" w:lineRule="auto"/>
        <w:tabs>
          <w:tab w:leader="none" w:pos="677"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Actions Upon the Occurrence of Certain Events</w:t>
      </w:r>
      <w:r>
        <w:rPr>
          <w:rFonts w:ascii="Arial" w:cs="Arial" w:eastAsia="Arial" w:hAnsi="Arial"/>
          <w:sz w:val="17"/>
          <w:szCs w:val="17"/>
          <w:color w:val="auto"/>
        </w:rPr>
        <w:t>. Upon the occurrence of a Change in Control, any transaction or event described in Section 4(c) above, any change in applicable laws or regulations affecting the Plan or Awards hereunder, or any change in accounting principles affecting the financial statements of the Company or the Partnership, the Committee, in its sole discretion, without the consent of any Participant or holder of an Award, and on such terms and conditions as it deems appropriate, may take any one or more of the following actions:</w:t>
      </w:r>
    </w:p>
    <w:p>
      <w:pPr>
        <w:spacing w:after="0" w:line="36" w:lineRule="exact"/>
        <w:rPr>
          <w:rFonts w:ascii="Arial" w:cs="Arial" w:eastAsia="Arial" w:hAnsi="Arial"/>
          <w:sz w:val="17"/>
          <w:szCs w:val="17"/>
          <w:color w:val="auto"/>
        </w:rPr>
      </w:pPr>
    </w:p>
    <w:p>
      <w:pPr>
        <w:ind w:firstLine="886"/>
        <w:spacing w:after="0" w:line="293" w:lineRule="auto"/>
        <w:tabs>
          <w:tab w:leader="none" w:pos="1093" w:val="left"/>
        </w:tabs>
        <w:numPr>
          <w:ilvl w:val="1"/>
          <w:numId w:val="216"/>
        </w:numPr>
        <w:rPr>
          <w:rFonts w:ascii="Arial" w:cs="Arial" w:eastAsia="Arial" w:hAnsi="Arial"/>
          <w:sz w:val="16"/>
          <w:szCs w:val="16"/>
          <w:color w:val="auto"/>
        </w:rPr>
      </w:pPr>
      <w:r>
        <w:rPr>
          <w:rFonts w:ascii="Arial" w:cs="Arial" w:eastAsia="Arial" w:hAnsi="Arial"/>
          <w:sz w:val="16"/>
          <w:szCs w:val="16"/>
          <w:color w:val="auto"/>
        </w:rPr>
        <w:t>provide for either (A) the termination of any Award in exchange for a payment in an amount, if any, equal to the amount that would have been attained upon the exercise of such Award or realization of the Participant’s rights under such Award (and, for the avoidance of doubt, if as of the date of the occurrence of such transaction or event, the Committee determines in good faith that no amount would have been payable upon the exercise of such Award or realization of the Participant’s rights, then such Award may be terminated by the Company without payment) or (B) the replacement of such Award with other rights or property selected by the Committee in its sole discretion having an aggregate value not exceeding the amount that could have been attained upon the exercise of such Award or realization of the Participant’s rights had such Award been currently exercisable or payable or fully vested;</w:t>
      </w:r>
    </w:p>
    <w:p>
      <w:pPr>
        <w:spacing w:after="0" w:line="29" w:lineRule="exact"/>
        <w:rPr>
          <w:rFonts w:ascii="Arial" w:cs="Arial" w:eastAsia="Arial" w:hAnsi="Arial"/>
          <w:sz w:val="16"/>
          <w:szCs w:val="16"/>
          <w:color w:val="auto"/>
        </w:rPr>
      </w:pPr>
    </w:p>
    <w:p>
      <w:pPr>
        <w:ind w:right="20" w:firstLine="886"/>
        <w:spacing w:after="0" w:line="264" w:lineRule="auto"/>
        <w:tabs>
          <w:tab w:leader="none" w:pos="1143" w:val="left"/>
        </w:tabs>
        <w:numPr>
          <w:ilvl w:val="1"/>
          <w:numId w:val="216"/>
        </w:numPr>
        <w:rPr>
          <w:rFonts w:ascii="Arial" w:cs="Arial" w:eastAsia="Arial" w:hAnsi="Arial"/>
          <w:sz w:val="18"/>
          <w:szCs w:val="18"/>
          <w:color w:val="auto"/>
        </w:rPr>
      </w:pPr>
      <w:r>
        <w:rPr>
          <w:rFonts w:ascii="Arial" w:cs="Arial" w:eastAsia="Arial" w:hAnsi="Arial"/>
          <w:sz w:val="18"/>
          <w:szCs w:val="18"/>
          <w:color w:val="auto"/>
        </w:rPr>
        <w:t>provide that such Award be assumed by the successor or survivor entity, or a parent or subsidiary thereof, or be exchanged for similar options, rights or awards covering the equity of the successor or survivor, or a parent or subsidiary thereof, with appropriate adjustments as to the number and kind of equity interests and prices;</w:t>
      </w:r>
    </w:p>
    <w:p>
      <w:pPr>
        <w:spacing w:after="0" w:line="46" w:lineRule="exact"/>
        <w:rPr>
          <w:rFonts w:ascii="Arial" w:cs="Arial" w:eastAsia="Arial" w:hAnsi="Arial"/>
          <w:sz w:val="18"/>
          <w:szCs w:val="18"/>
          <w:color w:val="auto"/>
        </w:rPr>
      </w:pPr>
    </w:p>
    <w:p>
      <w:pPr>
        <w:ind w:right="160" w:firstLine="886"/>
        <w:spacing w:after="0" w:line="334" w:lineRule="auto"/>
        <w:tabs>
          <w:tab w:leader="none" w:pos="1193" w:val="left"/>
        </w:tabs>
        <w:numPr>
          <w:ilvl w:val="1"/>
          <w:numId w:val="216"/>
        </w:numPr>
        <w:rPr>
          <w:rFonts w:ascii="Arial" w:cs="Arial" w:eastAsia="Arial" w:hAnsi="Arial"/>
          <w:sz w:val="16"/>
          <w:szCs w:val="16"/>
          <w:color w:val="auto"/>
        </w:rPr>
      </w:pPr>
      <w:r>
        <w:rPr>
          <w:rFonts w:ascii="Arial" w:cs="Arial" w:eastAsia="Arial" w:hAnsi="Arial"/>
          <w:sz w:val="16"/>
          <w:szCs w:val="16"/>
          <w:color w:val="auto"/>
        </w:rPr>
        <w:t>make adjustments in the number and type of Units (or other securities or property) subject to outstanding Awards, the number and kind of outstanding Awards, the terms and conditions of (including the exercise price), and/or the vesting and performance criteria included in, outstanding Awards;</w:t>
      </w:r>
    </w:p>
    <w:p>
      <w:pPr>
        <w:spacing w:after="0" w:line="1" w:lineRule="exact"/>
        <w:rPr>
          <w:rFonts w:ascii="Arial" w:cs="Arial" w:eastAsia="Arial" w:hAnsi="Arial"/>
          <w:sz w:val="16"/>
          <w:szCs w:val="16"/>
          <w:color w:val="auto"/>
        </w:rPr>
      </w:pPr>
    </w:p>
    <w:p>
      <w:pPr>
        <w:ind w:right="200" w:firstLine="886"/>
        <w:spacing w:after="0" w:line="258" w:lineRule="auto"/>
        <w:tabs>
          <w:tab w:leader="none" w:pos="1183" w:val="left"/>
        </w:tabs>
        <w:numPr>
          <w:ilvl w:val="1"/>
          <w:numId w:val="216"/>
        </w:numPr>
        <w:rPr>
          <w:rFonts w:ascii="Arial" w:cs="Arial" w:eastAsia="Arial" w:hAnsi="Arial"/>
          <w:sz w:val="18"/>
          <w:szCs w:val="18"/>
          <w:color w:val="auto"/>
        </w:rPr>
      </w:pPr>
      <w:r>
        <w:rPr>
          <w:rFonts w:ascii="Arial" w:cs="Arial" w:eastAsia="Arial" w:hAnsi="Arial"/>
          <w:sz w:val="18"/>
          <w:szCs w:val="18"/>
          <w:color w:val="auto"/>
        </w:rPr>
        <w:t>provide that such Award shall vest or become exercisable or payable, notwithstanding anything to the contrary in the Plan or the applicable Award Agreement; and</w:t>
      </w:r>
    </w:p>
    <w:p>
      <w:pPr>
        <w:spacing w:after="0" w:line="1" w:lineRule="exact"/>
        <w:rPr>
          <w:rFonts w:ascii="Arial" w:cs="Arial" w:eastAsia="Arial" w:hAnsi="Arial"/>
          <w:sz w:val="18"/>
          <w:szCs w:val="18"/>
          <w:color w:val="auto"/>
        </w:rPr>
      </w:pPr>
    </w:p>
    <w:p>
      <w:pPr>
        <w:ind w:left="1140" w:hanging="254"/>
        <w:spacing w:after="0"/>
        <w:tabs>
          <w:tab w:leader="none" w:pos="11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provide that the Award cannot be exercised or become payable after such event and shall terminate upon such event.</w:t>
      </w:r>
    </w:p>
    <w:p>
      <w:pPr>
        <w:spacing w:after="0" w:line="1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Notwithstanding the foregoing, (i) with respect to an above event that constitutes an “equity restructuring” that would be subject to a compensation expense pursuant ASC Topic 718, the provisions in Section 4(c) above shall control to the extent they are in conflict with the discretionary provisions of this Section 7,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 Section 7(c) or Section 4(c) above shall be construed as providing any Participant or any beneficiary of an Award any rights with respect to the “time value,” “economic opportunity” or “intrinsic value” of an Award or limiting in any manner the Committee’s actions that may be taken with respect to an Award as set forth in this Section 7 or in Section 4(c) above; and (ii) no action shall be taken under this Section 7 which shall cause an Award to result in taxation under Section 409A, to the extent applicable to such Award.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jc w:val="both"/>
        <w:ind w:right="80" w:firstLine="440"/>
        <w:spacing w:after="0" w:line="334" w:lineRule="auto"/>
        <w:tabs>
          <w:tab w:leader="none" w:pos="677"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No Rights to Award</w:t>
      </w:r>
      <w:r>
        <w:rPr>
          <w:rFonts w:ascii="Arial" w:cs="Arial" w:eastAsia="Arial" w:hAnsi="Arial"/>
          <w:sz w:val="16"/>
          <w:szCs w:val="16"/>
          <w:color w:val="auto"/>
        </w:rPr>
        <w:t>. No Person shall have any claim to be granted any Award under the Plan, and there is no obligation for uniformity of treatment of Participants, including the treatment upon termination of Service. The terms and conditions of Awards need not be the same with respect to each recipient.</w:t>
      </w:r>
    </w:p>
    <w:p>
      <w:pPr>
        <w:spacing w:after="0" w:line="1" w:lineRule="exact"/>
        <w:rPr>
          <w:rFonts w:ascii="Arial" w:cs="Arial" w:eastAsia="Arial" w:hAnsi="Arial"/>
          <w:sz w:val="16"/>
          <w:szCs w:val="16"/>
          <w:color w:val="auto"/>
        </w:rPr>
      </w:pPr>
    </w:p>
    <w:p>
      <w:pPr>
        <w:ind w:right="20" w:firstLine="440"/>
        <w:spacing w:after="0" w:line="270" w:lineRule="auto"/>
        <w:tabs>
          <w:tab w:leader="none" w:pos="687"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Unless other arrangements have been made that are acceptable to the Company, the Company or any Affiliate thereof is authorized to deduct or withhold, or cause to be deducted or withheld, from any Award, from any payment due or transfer made under any Award, or from any compensation or other amount owing to a Participant the amount (in cash or Units, including Units that would otherwise be issued pursuant to such Award or other property) of any applicable taxes payable in respect of an Award, including its grant, its exercise, the lapse of restrictions thereon, or any payment or transfer thereunder or under the Plan, and to take such other action as may be necessary in the opinion of the Company to satisfy its withholding obligations for the payment of such taxes. In the event that Units that would otherwise be issued pursuant to an Award are used to satisfy such withholding obligations, the number of Units which may be so withheld or surrendered shall be limited to the number of Units which have a Fair Market Value on the date of withholding equal to the aggregate amount of such liabilities based on the minimum statutory withholding rates for federal, state, local and foreign income tax and payroll tax purposes that are applicable to such supplemental taxable income.</w:t>
      </w:r>
    </w:p>
    <w:p>
      <w:pPr>
        <w:spacing w:after="0" w:line="46" w:lineRule="exact"/>
        <w:rPr>
          <w:rFonts w:ascii="Arial" w:cs="Arial" w:eastAsia="Arial" w:hAnsi="Arial"/>
          <w:sz w:val="17"/>
          <w:szCs w:val="17"/>
          <w:color w:val="auto"/>
        </w:rPr>
      </w:pPr>
    </w:p>
    <w:p>
      <w:pPr>
        <w:ind w:right="80" w:firstLine="440"/>
        <w:spacing w:after="0" w:line="264" w:lineRule="auto"/>
        <w:tabs>
          <w:tab w:leader="none" w:pos="677"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The grant of an Award shall not be construed as giving a Participant the right to be retained in the employ of the Company, the Partnership or any of their Affiliates, continue consulting services or to remain on the Board, as applicable. Furthermore, the Company, the Partnership and/or an Affiliate thereof may at any time dismiss a</w:t>
      </w:r>
    </w:p>
    <w:p>
      <w:pPr>
        <w:sectPr>
          <w:pgSz w:w="11900" w:h="16838" w:orient="portrait"/>
          <w:cols w:equalWidth="0" w:num="1">
            <w:col w:w="11400"/>
          </w:cols>
          <w:pgMar w:left="240" w:top="585" w:right="259" w:bottom="1440" w:gutter="0" w:footer="0" w:header="0"/>
        </w:sectPr>
      </w:pPr>
    </w:p>
    <w:bookmarkStart w:id="245" w:name="page246"/>
    <w:bookmarkEnd w:id="245"/>
    <w:p>
      <w:pPr>
        <w:ind w:right="260"/>
        <w:spacing w:after="0" w:line="258" w:lineRule="auto"/>
        <w:rPr>
          <w:sz w:val="20"/>
          <w:szCs w:val="20"/>
          <w:color w:val="auto"/>
        </w:rPr>
      </w:pPr>
      <w:r>
        <w:rPr>
          <w:rFonts w:ascii="Arial" w:cs="Arial" w:eastAsia="Arial" w:hAnsi="Arial"/>
          <w:sz w:val="18"/>
          <w:szCs w:val="18"/>
          <w:color w:val="auto"/>
        </w:rPr>
        <w:t>Participant from employment or consulting free from any liability or any claim under the Plan, unless otherwise expressly provided in the Plan, any Award Agreement or other written agreement between any such entity and the Participant.</w:t>
      </w:r>
    </w:p>
    <w:p>
      <w:pPr>
        <w:spacing w:after="0" w:line="1" w:lineRule="exact"/>
        <w:rPr>
          <w:sz w:val="20"/>
          <w:szCs w:val="20"/>
          <w:color w:val="auto"/>
        </w:rPr>
      </w:pPr>
    </w:p>
    <w:p>
      <w:pPr>
        <w:ind w:right="540" w:firstLine="440"/>
        <w:spacing w:after="0" w:line="261" w:lineRule="auto"/>
        <w:tabs>
          <w:tab w:leader="none" w:pos="687"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No Rights as Unitholder</w:t>
      </w:r>
      <w:r>
        <w:rPr>
          <w:rFonts w:ascii="Arial" w:cs="Arial" w:eastAsia="Arial" w:hAnsi="Arial"/>
          <w:sz w:val="18"/>
          <w:szCs w:val="18"/>
          <w:color w:val="auto"/>
        </w:rPr>
        <w:t>. Except as otherwise provided herein, a Participant shall have none of the rights of a unitholder with respect to Units covered by any Award unless and until the Participant becomes the record owner of such Units.</w:t>
      </w:r>
    </w:p>
    <w:p>
      <w:pPr>
        <w:spacing w:after="0" w:line="48" w:lineRule="exact"/>
        <w:rPr>
          <w:rFonts w:ascii="Arial" w:cs="Arial" w:eastAsia="Arial" w:hAnsi="Arial"/>
          <w:sz w:val="18"/>
          <w:szCs w:val="18"/>
          <w:color w:val="auto"/>
        </w:rPr>
      </w:pPr>
    </w:p>
    <w:p>
      <w:pPr>
        <w:ind w:right="40" w:firstLine="440"/>
        <w:spacing w:after="0" w:line="287" w:lineRule="auto"/>
        <w:tabs>
          <w:tab w:leader="none" w:pos="677"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To the extent that the Committee determines that any Award granted under the Plan is subject to Section 409A, the Award Agreement evidencing such Award shall include the terms and conditions required by Section 409A. To the extent applicable, the Plan and Award Agreements shall be interpreted in accordance with Section 409A. Notwithstanding any provision of the Plan to the contrary, in the event that following the Effective Date (as defined in Section 9 below), the Committee determines that any Award may be subject to Section 409A, the Committee may adopt such amendments to the Plan and the applicable Award Agreement, adopt other policies and procedures (including amendments, policies and procedures with retroactive effect), and/or take any other actions that the Committee determines are necessary or appropriate to preserve the intended tax treatment of the Award, including without limitation, actions intended to (i) exempt the Award from Section 409A, or (ii) comply with the requirements of Section 409A;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herein shall create any obligation on the part of the Committee, the Partnership, the Company or any of their Affiliates to adopt any such amendment, policy or procedure or take any such other action, nor shall the Committee, the Partnership, the Company or any of their Affiliates have any liability for failing to do so. Notwithstanding any provision in the Plan to the contrary, the time of payment with respect to any Award that is subject to Section 409A shall not be accelerated, except as permitted under Treasury Regulation Section 1.409A-3(j)(4).</w:t>
      </w:r>
    </w:p>
    <w:p>
      <w:pPr>
        <w:spacing w:after="0" w:line="37" w:lineRule="exact"/>
        <w:rPr>
          <w:rFonts w:ascii="Arial" w:cs="Arial" w:eastAsia="Arial" w:hAnsi="Arial"/>
          <w:sz w:val="16"/>
          <w:szCs w:val="16"/>
          <w:color w:val="auto"/>
        </w:rPr>
      </w:pPr>
    </w:p>
    <w:p>
      <w:pPr>
        <w:ind w:right="160" w:firstLine="440"/>
        <w:spacing w:after="0" w:line="284" w:lineRule="auto"/>
        <w:tabs>
          <w:tab w:leader="none" w:pos="657"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Each Participant shall agree, if so requested by the Company or the Partnership and any underwriter in connection with any public offering of securities of the Partnership or any Affiliate, not to directly or indirectly offer, sell, contract to sell, sell any option or contract to purchase, purchase any option or contract to sell, grant any option, right or warrant for the sale of or otherwise dispose of or transfer any Units held by it for such period, not to exceed one hundred eighty (180) days following the effective date of the relevant registration statement filed under the Securities Act in connection with such public offering, as such underwriter shall specify reasonably and in good faith. The Company or the Partnership may impose stop-transfer instructions with respect to securities subject to the foregoing restrictions until the end of such 180-day period. Notwithstanding the foregoing, the</w:t>
      </w:r>
    </w:p>
    <w:p>
      <w:pPr>
        <w:spacing w:after="0" w:line="4"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color w:val="auto"/>
        </w:rPr>
        <w:t>180-day period may be extended in the discretion of the Company for up to such number of additional days as is deemed necessary by such underwriter or the Company or Partnership to continue coverage by research analysts in accordance with FINRA Rule 2711 or any successor or other applicable rule.</w:t>
      </w:r>
    </w:p>
    <w:p>
      <w:pPr>
        <w:spacing w:after="0" w:line="1" w:lineRule="exact"/>
        <w:rPr>
          <w:rFonts w:ascii="Arial" w:cs="Arial" w:eastAsia="Arial" w:hAnsi="Arial"/>
          <w:sz w:val="16"/>
          <w:szCs w:val="16"/>
          <w:color w:val="auto"/>
        </w:rPr>
      </w:pPr>
    </w:p>
    <w:p>
      <w:pPr>
        <w:ind w:right="60" w:firstLine="440"/>
        <w:spacing w:after="0" w:line="285" w:lineRule="auto"/>
        <w:tabs>
          <w:tab w:leader="none" w:pos="687"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Units and the payment of money under the Plan or under Awards granted or awarded hereunder are subject to compliance with all applicable federal, state, local and foreign laws, rules and regulations (including but not limited to state, federal and foreign securities law and margin requirements), the rules of any securities exchange or automated quotation system on which the Units are listed, quoted or traded, and to such approvals by any listing, regulatory or governmental authority as may, in the opinion of counsel for the Company or the Partnership, be necessary or advisable in connection therewith. Any securities delivered under the Plan shall be subject to such restrictions, and the Person acquiring such securities shall, if requested by the Company or the Partnership, provide such assurances and representations to the Company or the Partnership as the Company or the Partnership may deem necessary or desirable to assure compliance with all applicable legal requirements. To the extent permitted by applicable law, the Plan and Awards granted or awarded hereunder shall be deemed amended to the extent necessary to conform to such laws, rules and regulations. In the event an Award is granted to or held by a Participant who is employed or providing services outside the United States, the Committee may, in its sole discretion, modify the provisions of the Plan or of such Award as they pertain to such Participant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or the Partnership’s obligations with respect to tax equalization for Participants employed outside their home country.</w:t>
      </w:r>
    </w:p>
    <w:p>
      <w:pPr>
        <w:spacing w:after="0" w:line="35" w:lineRule="exact"/>
        <w:rPr>
          <w:rFonts w:ascii="Arial" w:cs="Arial" w:eastAsia="Arial" w:hAnsi="Arial"/>
          <w:sz w:val="16"/>
          <w:szCs w:val="16"/>
          <w:color w:val="auto"/>
        </w:rPr>
      </w:pPr>
    </w:p>
    <w:p>
      <w:pPr>
        <w:ind w:right="820" w:firstLine="440"/>
        <w:spacing w:after="0" w:line="277" w:lineRule="auto"/>
        <w:tabs>
          <w:tab w:leader="none" w:pos="687"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 with the laws of the State of Delaware without regard to its conflicts of laws principles.</w:t>
      </w:r>
    </w:p>
    <w:p>
      <w:pPr>
        <w:spacing w:after="0" w:line="35" w:lineRule="exact"/>
        <w:rPr>
          <w:rFonts w:ascii="Arial" w:cs="Arial" w:eastAsia="Arial" w:hAnsi="Arial"/>
          <w:sz w:val="18"/>
          <w:szCs w:val="18"/>
          <w:color w:val="auto"/>
        </w:rPr>
      </w:pPr>
    </w:p>
    <w:p>
      <w:pPr>
        <w:ind w:firstLine="440"/>
        <w:spacing w:after="0" w:line="257" w:lineRule="auto"/>
        <w:tabs>
          <w:tab w:leader="none" w:pos="647"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53" w:lineRule="exact"/>
        <w:rPr>
          <w:rFonts w:ascii="Arial" w:cs="Arial" w:eastAsia="Arial" w:hAnsi="Arial"/>
          <w:sz w:val="18"/>
          <w:szCs w:val="18"/>
          <w:color w:val="auto"/>
        </w:rPr>
      </w:pPr>
    </w:p>
    <w:p>
      <w:pPr>
        <w:ind w:right="180" w:firstLine="440"/>
        <w:spacing w:after="0" w:line="259" w:lineRule="auto"/>
        <w:tabs>
          <w:tab w:leader="none" w:pos="647"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The Committee may refuse to issue or transfer any Units or other consideration under an Award if, in its sole discretion, it determines that the issuance or transfer of such Units or such other consideration might violate any applicable law or regulation, the rules of the principal securities exchange on which the Units are then traded, or entitle the Partnership or an Affiliate to recover the same under Section 16(b) of the Exchange Act, and any payment tendered to the Company by a</w:t>
      </w:r>
    </w:p>
    <w:p>
      <w:pPr>
        <w:sectPr>
          <w:pgSz w:w="11900" w:h="16838" w:orient="portrait"/>
          <w:cols w:equalWidth="0" w:num="1">
            <w:col w:w="11420"/>
          </w:cols>
          <w:pgMar w:left="240" w:top="665" w:right="239" w:bottom="1440" w:gutter="0" w:footer="0" w:header="0"/>
        </w:sectPr>
      </w:pPr>
    </w:p>
    <w:bookmarkStart w:id="246" w:name="page247"/>
    <w:bookmarkEnd w:id="246"/>
    <w:p>
      <w:pPr>
        <w:ind w:right="600"/>
        <w:spacing w:after="0" w:line="258" w:lineRule="auto"/>
        <w:rPr>
          <w:sz w:val="20"/>
          <w:szCs w:val="20"/>
          <w:color w:val="auto"/>
        </w:rPr>
      </w:pPr>
      <w:r>
        <w:rPr>
          <w:rFonts w:ascii="Arial" w:cs="Arial" w:eastAsia="Arial" w:hAnsi="Arial"/>
          <w:sz w:val="18"/>
          <w:szCs w:val="18"/>
          <w:color w:val="auto"/>
        </w:rPr>
        <w:t>Participant, other holder or beneficiary in connection with the exercise of such Award shall be promptly refunded to the relevant Participant, holder or beneficiary.</w:t>
      </w:r>
    </w:p>
    <w:p>
      <w:pPr>
        <w:spacing w:after="0" w:line="1" w:lineRule="exact"/>
        <w:rPr>
          <w:sz w:val="20"/>
          <w:szCs w:val="20"/>
          <w:color w:val="auto"/>
        </w:rPr>
      </w:pPr>
    </w:p>
    <w:p>
      <w:pPr>
        <w:ind w:right="60" w:firstLine="440"/>
        <w:spacing w:after="0" w:line="254" w:lineRule="auto"/>
        <w:tabs>
          <w:tab w:leader="none" w:pos="68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the Partnership or any of their Affiliates, on the one hand, and a Participant or any other Person, on the other hand. To the extent that any Person acquires a right to receive payments pursuant to an Award, such right shall be no greater than the right of any general unsecured creditor of the Partnership or any participating Affiliate of the Partnership.</w:t>
      </w:r>
    </w:p>
    <w:p>
      <w:pPr>
        <w:spacing w:after="0" w:line="54" w:lineRule="exact"/>
        <w:rPr>
          <w:rFonts w:ascii="Arial" w:cs="Arial" w:eastAsia="Arial" w:hAnsi="Arial"/>
          <w:sz w:val="18"/>
          <w:szCs w:val="18"/>
          <w:color w:val="auto"/>
        </w:rPr>
      </w:pPr>
    </w:p>
    <w:p>
      <w:pPr>
        <w:ind w:right="100" w:firstLine="440"/>
        <w:spacing w:after="0" w:line="264" w:lineRule="auto"/>
        <w:tabs>
          <w:tab w:leader="none" w:pos="64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 Fractional Units</w:t>
      </w:r>
      <w:r>
        <w:rPr>
          <w:rFonts w:ascii="Arial" w:cs="Arial" w:eastAsia="Arial" w:hAnsi="Arial"/>
          <w:sz w:val="18"/>
          <w:szCs w:val="18"/>
          <w:color w:val="auto"/>
        </w:rPr>
        <w:t>. No fractional Units shall be issued or delivered pursuant to the Plan or any Award, and the Committee shall determine whether cash, other securities, or other property shall be paid or transferred in lieu of any fractional Units or whether such fractional Units or any rights thereto shall be canceled, terminated, or otherwise eliminated.</w:t>
      </w:r>
    </w:p>
    <w:p>
      <w:pPr>
        <w:spacing w:after="0" w:line="46" w:lineRule="exact"/>
        <w:rPr>
          <w:rFonts w:ascii="Arial" w:cs="Arial" w:eastAsia="Arial" w:hAnsi="Arial"/>
          <w:sz w:val="18"/>
          <w:szCs w:val="18"/>
          <w:color w:val="auto"/>
        </w:rPr>
      </w:pPr>
    </w:p>
    <w:p>
      <w:pPr>
        <w:ind w:right="60" w:firstLine="440"/>
        <w:spacing w:after="0" w:line="277" w:lineRule="auto"/>
        <w:tabs>
          <w:tab w:leader="none" w:pos="73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given to the Sections and subsections of the Plan solely as a convenience to facilitate reference. Such headings shall not be deemed in any way material or relevant to the construction or interpretation of the Plan or any provision hereof.</w:t>
      </w:r>
    </w:p>
    <w:p>
      <w:pPr>
        <w:spacing w:after="0" w:line="35" w:lineRule="exact"/>
        <w:rPr>
          <w:rFonts w:ascii="Arial" w:cs="Arial" w:eastAsia="Arial" w:hAnsi="Arial"/>
          <w:sz w:val="18"/>
          <w:szCs w:val="18"/>
          <w:color w:val="auto"/>
        </w:rPr>
      </w:pPr>
    </w:p>
    <w:p>
      <w:pPr>
        <w:ind w:right="60" w:firstLine="440"/>
        <w:spacing w:after="0" w:line="264" w:lineRule="auto"/>
        <w:tabs>
          <w:tab w:leader="none" w:pos="68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 Guarantee of Tax Consequences</w:t>
      </w:r>
      <w:r>
        <w:rPr>
          <w:rFonts w:ascii="Arial" w:cs="Arial" w:eastAsia="Arial" w:hAnsi="Arial"/>
          <w:sz w:val="18"/>
          <w:szCs w:val="18"/>
          <w:color w:val="auto"/>
        </w:rPr>
        <w:t>. None of the Board, the Committee, the Company or the Partnership provides or has provided any tax advice to any Participant or any other Person or makes or has made any assurance, commitment or guarantee that any federal, state or local tax treatment will (or will not) apply or be available to any Participant or other Person.</w:t>
      </w:r>
    </w:p>
    <w:p>
      <w:pPr>
        <w:spacing w:after="0" w:line="46" w:lineRule="exact"/>
        <w:rPr>
          <w:rFonts w:ascii="Arial" w:cs="Arial" w:eastAsia="Arial" w:hAnsi="Arial"/>
          <w:sz w:val="18"/>
          <w:szCs w:val="18"/>
          <w:color w:val="auto"/>
        </w:rPr>
      </w:pPr>
    </w:p>
    <w:p>
      <w:pPr>
        <w:ind w:firstLine="440"/>
        <w:spacing w:after="0" w:line="255" w:lineRule="auto"/>
        <w:tabs>
          <w:tab w:leader="none" w:pos="68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To the extent required by applicable law or any applicable securities exchange listing standards, or as otherwise determined by the Committee, Awards and amounts paid or payable pursuant to or with respect to Awards shall be subject to the provisions of any clawback policy implemented by the Company, which clawback policy may provide for forfeiture, repurchase and/or recoupment of Awards and amounts paid or payable pursuant to or with respect to Awards. Notwithstanding any provision of this Plan or any Award Agreement to the contrary, the Company reserves the right, without the consent of any Participant, to adopt any such clawback policies and procedures, including such policies and procedures applicable to this Plan or any Award Agreement with retroactive effect.</w:t>
      </w:r>
    </w:p>
    <w:p>
      <w:pPr>
        <w:spacing w:after="0" w:line="58" w:lineRule="exact"/>
        <w:rPr>
          <w:rFonts w:ascii="Arial" w:cs="Arial" w:eastAsia="Arial" w:hAnsi="Arial"/>
          <w:sz w:val="18"/>
          <w:szCs w:val="18"/>
          <w:color w:val="auto"/>
        </w:rPr>
      </w:pPr>
    </w:p>
    <w:p>
      <w:pPr>
        <w:ind w:right="260" w:firstLine="440"/>
        <w:spacing w:after="0" w:line="254" w:lineRule="auto"/>
        <w:tabs>
          <w:tab w:leader="none" w:pos="68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Facility Payment</w:t>
      </w:r>
      <w:r>
        <w:rPr>
          <w:rFonts w:ascii="Arial" w:cs="Arial" w:eastAsia="Arial" w:hAnsi="Arial"/>
          <w:sz w:val="18"/>
          <w:szCs w:val="18"/>
          <w:color w:val="auto"/>
        </w:rPr>
        <w:t>. Any amounts payable hereunder to any Person under legal disability or who, in the judgment of the Committee, is unable to manage properly his or her financial affairs, may be paid to the legal representative of such Person, or may be applied for the benefit of such Person in any manner that the Committee may select, and the Partnership, the Company and all of their Affiliates shall be relieved of any further liability for payment of such amounts.</w:t>
      </w:r>
    </w:p>
    <w:p>
      <w:pPr>
        <w:spacing w:after="0" w:line="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 of the Plan</w:t>
      </w:r>
      <w:r>
        <w:rPr>
          <w:rFonts w:ascii="Arial" w:cs="Arial" w:eastAsia="Arial" w:hAnsi="Arial"/>
          <w:sz w:val="18"/>
          <w:szCs w:val="18"/>
          <w:color w:val="auto"/>
        </w:rPr>
        <w:t>.</w:t>
      </w:r>
    </w:p>
    <w:p>
      <w:pPr>
        <w:spacing w:after="0" w:line="15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Plan shall be effective on the date on which the Plan is adopted by the Board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continue until the date terminated by the Board. However, any Award granted prior to such termination, and the authority of the Board or the Committee to amend, alter, adjust, suspend, discontinue, or terminate any such Award or to waive any conditions or rights under such Award, shall extend beyond such termination date. The Plan shall, within twelve (12) months after the date of the Board’s initial adoption of the Plan, be submitted for approval by a majority of the outstanding Units of the Partnership entitled to vote.</w:t>
      </w:r>
    </w:p>
    <w:p>
      <w:pPr>
        <w:sectPr>
          <w:pgSz w:w="11900" w:h="16838" w:orient="portrait"/>
          <w:cols w:equalWidth="0" w:num="1">
            <w:col w:w="11400"/>
          </w:cols>
          <w:pgMar w:left="240" w:top="665" w:right="259" w:bottom="1440" w:gutter="0" w:footer="0" w:header="0"/>
        </w:sectPr>
      </w:pPr>
    </w:p>
    <w:bookmarkStart w:id="247" w:name="page248"/>
    <w:bookmarkEnd w:id="247"/>
    <w:p>
      <w:pPr>
        <w:ind w:left="10480"/>
        <w:spacing w:after="0"/>
        <w:rPr>
          <w:sz w:val="20"/>
          <w:szCs w:val="20"/>
          <w:color w:val="auto"/>
        </w:rPr>
      </w:pPr>
      <w:r>
        <w:rPr>
          <w:rFonts w:ascii="Arial" w:cs="Arial" w:eastAsia="Arial" w:hAnsi="Arial"/>
          <w:sz w:val="16"/>
          <w:szCs w:val="16"/>
          <w:b w:val="1"/>
          <w:bCs w:val="1"/>
          <w:color w:val="auto"/>
        </w:rPr>
        <w:t>Exhibit 10.6</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QEP MIDSTREAM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LONG-TERM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PHANTOM UNIT AGREEMENT</w:t>
      </w:r>
    </w:p>
    <w:p>
      <w:pPr>
        <w:spacing w:after="0" w:line="153" w:lineRule="exact"/>
        <w:rPr>
          <w:sz w:val="20"/>
          <w:szCs w:val="20"/>
          <w:color w:val="auto"/>
        </w:rPr>
      </w:pPr>
    </w:p>
    <w:p>
      <w:pPr>
        <w:ind w:left="440"/>
        <w:spacing w:after="0"/>
        <w:tabs>
          <w:tab w:leader="none" w:pos="4940" w:val="left"/>
        </w:tabs>
        <w:rPr>
          <w:sz w:val="20"/>
          <w:szCs w:val="20"/>
          <w:color w:val="auto"/>
        </w:rPr>
      </w:pPr>
      <w:r>
        <w:rPr>
          <w:rFonts w:ascii="Arial" w:cs="Arial" w:eastAsia="Arial" w:hAnsi="Arial"/>
          <w:sz w:val="18"/>
          <w:szCs w:val="18"/>
          <w:color w:val="auto"/>
        </w:rPr>
        <w:t>Pursuant to this Phantom Unit Agreement, dated as of [</w:t>
      </w:r>
      <w:r>
        <w:rPr>
          <w:sz w:val="20"/>
          <w:szCs w:val="20"/>
          <w:color w:val="auto"/>
        </w:rPr>
        <w:tab/>
      </w:r>
      <w:r>
        <w:rPr>
          <w:rFonts w:ascii="Arial" w:cs="Arial" w:eastAsia="Arial" w:hAnsi="Arial"/>
          <w:sz w:val="16"/>
          <w:szCs w:val="16"/>
          <w:color w:val="auto"/>
        </w:rPr>
        <w:t>], 2013 (this “</w:t>
      </w:r>
      <w:r>
        <w:rPr>
          <w:rFonts w:ascii="Arial" w:cs="Arial" w:eastAsia="Arial" w:hAnsi="Arial"/>
          <w:sz w:val="16"/>
          <w:szCs w:val="16"/>
          <w:b w:val="1"/>
          <w:bCs w:val="1"/>
          <w:color w:val="auto"/>
        </w:rPr>
        <w:t>Agreement</w:t>
      </w:r>
      <w:r>
        <w:rPr>
          <w:rFonts w:ascii="Arial" w:cs="Arial" w:eastAsia="Arial" w:hAnsi="Arial"/>
          <w:sz w:val="16"/>
          <w:szCs w:val="16"/>
          <w:color w:val="auto"/>
        </w:rPr>
        <w:t>”), QEP Midstream Partners GP, LLC (the “</w:t>
      </w:r>
      <w:r>
        <w:rPr>
          <w:rFonts w:ascii="Arial" w:cs="Arial" w:eastAsia="Arial" w:hAnsi="Arial"/>
          <w:sz w:val="16"/>
          <w:szCs w:val="16"/>
          <w:b w:val="1"/>
          <w:bCs w:val="1"/>
          <w:color w:val="auto"/>
        </w:rPr>
        <w:t>Company</w:t>
      </w:r>
      <w:r>
        <w:rPr>
          <w:rFonts w:ascii="Arial" w:cs="Arial" w:eastAsia="Arial" w:hAnsi="Arial"/>
          <w:sz w:val="16"/>
          <w:szCs w:val="16"/>
          <w:color w:val="auto"/>
        </w:rPr>
        <w:t>”), as the</w:t>
      </w:r>
    </w:p>
    <w:p>
      <w:pPr>
        <w:spacing w:after="0" w:line="27"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general partner of QEP Midstream Partners, LP (the “</w:t>
      </w:r>
      <w:r>
        <w:rPr>
          <w:rFonts w:ascii="Arial" w:cs="Arial" w:eastAsia="Arial" w:hAnsi="Arial"/>
          <w:sz w:val="18"/>
          <w:szCs w:val="18"/>
          <w:b w:val="1"/>
          <w:bCs w:val="1"/>
          <w:color w:val="auto"/>
        </w:rPr>
        <w:t>Partnership</w:t>
      </w:r>
      <w:r>
        <w:rPr>
          <w:rFonts w:ascii="Arial" w:cs="Arial" w:eastAsia="Arial" w:hAnsi="Arial"/>
          <w:sz w:val="18"/>
          <w:szCs w:val="18"/>
          <w:color w:val="auto"/>
        </w:rPr>
        <w:t>”), hereby grants to [</w:t>
      </w:r>
      <w:r>
        <w:rPr>
          <w:sz w:val="20"/>
          <w:szCs w:val="20"/>
          <w:color w:val="auto"/>
        </w:rPr>
        <w:tab/>
      </w:r>
      <w:r>
        <w:rPr>
          <w:rFonts w:ascii="Arial" w:cs="Arial" w:eastAsia="Arial" w:hAnsi="Arial"/>
          <w:sz w:val="16"/>
          <w:szCs w:val="16"/>
          <w:color w:val="auto"/>
        </w:rPr>
        <w:t>] (the “</w:t>
      </w:r>
      <w:r>
        <w:rPr>
          <w:rFonts w:ascii="Arial" w:cs="Arial" w:eastAsia="Arial" w:hAnsi="Arial"/>
          <w:sz w:val="16"/>
          <w:szCs w:val="16"/>
          <w:b w:val="1"/>
          <w:bCs w:val="1"/>
          <w:color w:val="auto"/>
        </w:rPr>
        <w:t>Participant</w:t>
      </w:r>
      <w:r>
        <w:rPr>
          <w:rFonts w:ascii="Arial" w:cs="Arial" w:eastAsia="Arial" w:hAnsi="Arial"/>
          <w:sz w:val="16"/>
          <w:szCs w:val="16"/>
          <w:color w:val="auto"/>
        </w:rPr>
        <w:t>”) the following award of Phantom Units</w:t>
      </w:r>
    </w:p>
    <w:p>
      <w:pPr>
        <w:spacing w:after="0" w:line="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Phantom Units</w:t>
      </w:r>
      <w:r>
        <w:rPr>
          <w:rFonts w:ascii="Arial" w:cs="Arial" w:eastAsia="Arial" w:hAnsi="Arial"/>
          <w:sz w:val="16"/>
          <w:szCs w:val="16"/>
          <w:color w:val="auto"/>
        </w:rPr>
        <w:t>”), pursuant and subject to the terms and conditions of this Agreement and the QEP Midstream Partners, LP 2013 Long-Term Incentive Plan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the terms and conditions of which are hereby incorporated into this Agreement by reference. Each Phantom Unit shall constitute a Phantom Unit under the terms of the Plan and is hereby granted in tandem with a corresponding DER, as further detailed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Except as otherwise expressly provided herein, all capitalized terms used in this Agreement, but not defined, shall have the meanings provided in the Plan.</w:t>
      </w:r>
    </w:p>
    <w:p>
      <w:pPr>
        <w:spacing w:after="0" w:line="26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GRANT NOTICE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terms and conditions of this Agreement, the principal features of this Award are as follows:</w:t>
      </w:r>
    </w:p>
    <w:p>
      <w:pPr>
        <w:sectPr>
          <w:pgSz w:w="11900" w:h="16838" w:orient="portrait"/>
          <w:cols w:equalWidth="0" w:num="1">
            <w:col w:w="11420"/>
          </w:cols>
          <w:pgMar w:left="240" w:top="581" w:right="239" w:bottom="1440" w:gutter="0" w:footer="0" w:header="0"/>
        </w:sectPr>
      </w:pPr>
    </w:p>
    <w:p>
      <w:pPr>
        <w:spacing w:after="0" w:line="8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Number of Phantom Units</w:t>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Phantom Units</w:t>
      </w:r>
    </w:p>
    <w:p>
      <w:pPr>
        <w:spacing w:after="0" w:line="109" w:lineRule="exact"/>
        <w:rPr>
          <w:sz w:val="20"/>
          <w:szCs w:val="20"/>
          <w:color w:val="auto"/>
        </w:rPr>
      </w:pPr>
    </w:p>
    <w:p>
      <w:pPr>
        <w:sectPr>
          <w:pgSz w:w="11900" w:h="16838" w:orient="portrait"/>
          <w:cols w:equalWidth="0" w:num="2">
            <w:col w:w="2640" w:space="540"/>
            <w:col w:w="8240"/>
          </w:cols>
          <w:pgMar w:left="240" w:top="581" w:right="23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Grant Date</w:t>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2013</w:t>
      </w:r>
    </w:p>
    <w:p>
      <w:pPr>
        <w:spacing w:after="0" w:line="109" w:lineRule="exact"/>
        <w:rPr>
          <w:sz w:val="20"/>
          <w:szCs w:val="20"/>
          <w:color w:val="auto"/>
        </w:rPr>
      </w:pPr>
    </w:p>
    <w:p>
      <w:pPr>
        <w:sectPr>
          <w:pgSz w:w="11900" w:h="16838" w:orient="portrait"/>
          <w:cols w:equalWidth="0" w:num="2">
            <w:col w:w="1460" w:space="540"/>
            <w:col w:w="9420"/>
          </w:cols>
          <w:pgMar w:left="240" w:top="581" w:right="239" w:bottom="1440" w:gutter="0" w:footer="0" w:header="0"/>
          <w:type w:val="continuous"/>
        </w:sectPr>
      </w:pPr>
    </w:p>
    <w:p>
      <w:pPr>
        <w:ind w:left="440"/>
        <w:spacing w:after="0"/>
        <w:rPr>
          <w:sz w:val="20"/>
          <w:szCs w:val="20"/>
          <w:color w:val="auto"/>
        </w:rPr>
      </w:pPr>
      <w:r>
        <w:rPr>
          <w:rFonts w:ascii="Arial" w:cs="Arial" w:eastAsia="Arial" w:hAnsi="Arial"/>
          <w:sz w:val="18"/>
          <w:szCs w:val="18"/>
          <w:b w:val="1"/>
          <w:bCs w:val="1"/>
          <w:color w:val="auto"/>
        </w:rPr>
        <w:t>Vesting of Phantom Units</w:t>
      </w:r>
      <w:r>
        <w:rPr>
          <w:rFonts w:ascii="Arial" w:cs="Arial" w:eastAsia="Arial" w:hAnsi="Arial"/>
          <w:sz w:val="18"/>
          <w:szCs w:val="18"/>
          <w:color w:val="auto"/>
        </w:rPr>
        <w:t>: [Insert time-based vesting schedule].</w:t>
      </w:r>
    </w:p>
    <w:p>
      <w:pPr>
        <w:spacing w:after="0" w:line="90" w:lineRule="exact"/>
        <w:rPr>
          <w:sz w:val="20"/>
          <w:szCs w:val="20"/>
          <w:color w:val="auto"/>
        </w:rPr>
      </w:pPr>
    </w:p>
    <w:p>
      <w:pPr>
        <w:ind w:right="120" w:firstLine="432"/>
        <w:spacing w:after="0" w:line="266" w:lineRule="auto"/>
        <w:rPr>
          <w:sz w:val="20"/>
          <w:szCs w:val="20"/>
          <w:color w:val="auto"/>
        </w:rPr>
      </w:pPr>
      <w:r>
        <w:rPr>
          <w:rFonts w:ascii="Arial" w:cs="Arial" w:eastAsia="Arial" w:hAnsi="Arial"/>
          <w:sz w:val="18"/>
          <w:szCs w:val="18"/>
          <w:b w:val="1"/>
          <w:bCs w:val="1"/>
          <w:color w:val="auto"/>
        </w:rPr>
        <w:t>Forfeiture of Phantom Units</w:t>
      </w:r>
      <w:r>
        <w:rPr>
          <w:rFonts w:ascii="Arial" w:cs="Arial" w:eastAsia="Arial" w:hAnsi="Arial"/>
          <w:sz w:val="18"/>
          <w:szCs w:val="18"/>
          <w:color w:val="auto"/>
        </w:rPr>
        <w:t>: In the event of a cessation of the Participant’s Service for any reason, all Phantom Units that have not vested prior to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connection with such cessation of Service shall, subject to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below, thereupon automatically be forfeited by the Participant without further action and for no consideration.</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Payment of Phantom Units</w:t>
      </w:r>
      <w:r>
        <w:rPr>
          <w:rFonts w:ascii="Arial" w:cs="Arial" w:eastAsia="Arial" w:hAnsi="Arial"/>
          <w:sz w:val="18"/>
          <w:szCs w:val="18"/>
          <w:color w:val="auto"/>
        </w:rPr>
        <w:t>: Vested Phantom Units shall be paid to the Participant in the form of Units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b w:val="1"/>
          <w:bCs w:val="1"/>
          <w:color w:val="auto"/>
        </w:rPr>
        <w:t>DERs</w:t>
      </w:r>
      <w:r>
        <w:rPr>
          <w:rFonts w:ascii="Arial" w:cs="Arial" w:eastAsia="Arial" w:hAnsi="Arial"/>
          <w:sz w:val="17"/>
          <w:szCs w:val="17"/>
          <w:color w:val="auto"/>
        </w:rPr>
        <w:t>: Each Phantom Unit granted under this Agreement shall be issued in tandem with a corresponding dividend equivalent right, or DER, which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entitle the Participant to receive payments in an amount equal to Partnership distributions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PHANTOM UNITS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ind w:left="440"/>
              <w:spacing w:after="0"/>
              <w:rPr>
                <w:sz w:val="20"/>
                <w:szCs w:val="20"/>
                <w:color w:val="auto"/>
              </w:rPr>
            </w:pPr>
            <w:r>
              <w:rPr>
                <w:rFonts w:ascii="Arial" w:cs="Arial" w:eastAsia="Arial" w:hAnsi="Arial"/>
                <w:sz w:val="18"/>
                <w:szCs w:val="18"/>
                <w:color w:val="auto"/>
                <w:w w:val="93"/>
              </w:rPr>
              <w:t>1. Grant. The Company hereby grants to the Participant, as of the Grant Date, an award of [</w:t>
            </w:r>
          </w:p>
        </w:tc>
        <w:tc>
          <w:tcPr>
            <w:tcW w:w="3660" w:type="dxa"/>
            <w:vAlign w:val="bottom"/>
          </w:tcPr>
          <w:p>
            <w:pPr>
              <w:ind w:left="260"/>
              <w:spacing w:after="0"/>
              <w:rPr>
                <w:sz w:val="20"/>
                <w:szCs w:val="20"/>
                <w:color w:val="auto"/>
              </w:rPr>
            </w:pPr>
            <w:r>
              <w:rPr>
                <w:rFonts w:ascii="Arial" w:cs="Arial" w:eastAsia="Arial" w:hAnsi="Arial"/>
                <w:sz w:val="18"/>
                <w:szCs w:val="18"/>
                <w:color w:val="auto"/>
                <w:w w:val="90"/>
              </w:rPr>
              <w:t>] Phantom Units, subject to all of the terms and</w:t>
            </w:r>
          </w:p>
        </w:tc>
      </w:tr>
      <w:tr>
        <w:trPr>
          <w:trHeight w:val="20"/>
        </w:trPr>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37"/>
        </w:trPr>
        <w:tc>
          <w:tcPr>
            <w:tcW w:w="7300" w:type="dxa"/>
            <w:vAlign w:val="bottom"/>
            <w:gridSpan w:val="3"/>
          </w:tcPr>
          <w:p>
            <w:pPr>
              <w:spacing w:after="0"/>
              <w:rPr>
                <w:sz w:val="20"/>
                <w:szCs w:val="20"/>
                <w:color w:val="auto"/>
              </w:rPr>
            </w:pPr>
            <w:r>
              <w:rPr>
                <w:rFonts w:ascii="Arial" w:cs="Arial" w:eastAsia="Arial" w:hAnsi="Arial"/>
                <w:sz w:val="18"/>
                <w:szCs w:val="18"/>
                <w:color w:val="auto"/>
              </w:rPr>
              <w:t>conditions contained in this Agreement and the Plan.</w:t>
            </w:r>
          </w:p>
        </w:tc>
        <w:tc>
          <w:tcPr>
            <w:tcW w:w="3660" w:type="dxa"/>
            <w:vAlign w:val="bottom"/>
          </w:tcPr>
          <w:p>
            <w:pPr>
              <w:spacing w:after="0"/>
              <w:rPr>
                <w:sz w:val="20"/>
                <w:szCs w:val="20"/>
                <w:color w:val="auto"/>
              </w:rPr>
            </w:pPr>
          </w:p>
        </w:tc>
      </w:tr>
    </w:tbl>
    <w:p>
      <w:pPr>
        <w:spacing w:after="0" w:line="148" w:lineRule="exact"/>
        <w:rPr>
          <w:sz w:val="20"/>
          <w:szCs w:val="20"/>
          <w:color w:val="auto"/>
        </w:rPr>
      </w:pPr>
    </w:p>
    <w:p>
      <w:pPr>
        <w:ind w:right="20" w:firstLine="440"/>
        <w:spacing w:after="0" w:line="259" w:lineRule="auto"/>
        <w:tabs>
          <w:tab w:leader="none" w:pos="61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Phantom Units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each Phantom Unit that vests shall represent the right to receive payment,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in the form of one (1) Unit. Unless and until a Phantom Unit vests, the Participant will have no right to payment in respect of such Phantom Unit. Prior to actual payment in respect of any vested Phantom Unit, such Phantom Unit will represent an unsecured obligation of the Partnership, payable (if at all) only from the general assets of the Partnership.</w:t>
      </w:r>
    </w:p>
    <w:p>
      <w:pPr>
        <w:spacing w:after="0" w:line="132" w:lineRule="exact"/>
        <w:rPr>
          <w:rFonts w:ascii="Arial" w:cs="Arial" w:eastAsia="Arial" w:hAnsi="Arial"/>
          <w:sz w:val="18"/>
          <w:szCs w:val="18"/>
          <w:color w:val="auto"/>
        </w:rPr>
      </w:pPr>
    </w:p>
    <w:p>
      <w:pPr>
        <w:ind w:firstLine="440"/>
        <w:spacing w:after="0" w:line="279" w:lineRule="auto"/>
        <w:tabs>
          <w:tab w:leader="none" w:pos="612"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Grant of Tandem DER</w:t>
      </w:r>
      <w:r>
        <w:rPr>
          <w:rFonts w:ascii="Arial" w:cs="Arial" w:eastAsia="Arial" w:hAnsi="Arial"/>
          <w:sz w:val="17"/>
          <w:szCs w:val="17"/>
          <w:color w:val="auto"/>
        </w:rPr>
        <w:t>. Each Phantom Unit granted hereunder is hereby granted in tandem with a corresponding DER, which shall remain outstanding from the Grant Date until the earlier of the payment or forfeiture of the related Phantom Unit. Each DER shall entitle the Participant to receive payments, subject to and in accordance with this Agreement, in an amount equal to any distributions made by the Partnership in respect of the Unit underlying the Phantom Unit to which such DER relates, regardless of whether or not such Phantom Unit is vested.</w:t>
      </w:r>
    </w:p>
    <w:p>
      <w:pPr>
        <w:spacing w:after="0" w:line="117" w:lineRule="exact"/>
        <w:rPr>
          <w:rFonts w:ascii="Arial" w:cs="Arial" w:eastAsia="Arial" w:hAnsi="Arial"/>
          <w:sz w:val="17"/>
          <w:szCs w:val="17"/>
          <w:color w:val="auto"/>
        </w:rPr>
      </w:pPr>
    </w:p>
    <w:p>
      <w:pPr>
        <w:ind w:left="620" w:hanging="180"/>
        <w:spacing w:after="0"/>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54"/>
        <w:spacing w:after="0"/>
        <w:tabs>
          <w:tab w:leader="none" w:pos="1140" w:val="left"/>
        </w:tabs>
        <w:numPr>
          <w:ilvl w:val="1"/>
          <w:numId w:val="220"/>
        </w:numPr>
        <w:rPr>
          <w:rFonts w:ascii="Arial" w:cs="Arial" w:eastAsia="Arial" w:hAnsi="Arial"/>
          <w:sz w:val="16"/>
          <w:szCs w:val="16"/>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4(c)</w:t>
      </w:r>
      <w:r>
        <w:rPr>
          <w:rFonts w:ascii="Arial" w:cs="Arial" w:eastAsia="Arial" w:hAnsi="Arial"/>
          <w:sz w:val="16"/>
          <w:szCs w:val="16"/>
          <w:i w:val="1"/>
          <w:iCs w:val="1"/>
          <w:color w:val="auto"/>
        </w:rPr>
        <w:t xml:space="preserve"> </w:t>
      </w:r>
      <w:r>
        <w:rPr>
          <w:rFonts w:ascii="Arial" w:cs="Arial" w:eastAsia="Arial" w:hAnsi="Arial"/>
          <w:sz w:val="16"/>
          <w:szCs w:val="16"/>
          <w:color w:val="auto"/>
        </w:rPr>
        <w:t>below, the Phantom Units shall vest in such amounts and at such times as are set forth in the Grant Notice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156" w:lineRule="exact"/>
        <w:rPr>
          <w:rFonts w:ascii="Arial" w:cs="Arial" w:eastAsia="Arial" w:hAnsi="Arial"/>
          <w:sz w:val="16"/>
          <w:szCs w:val="16"/>
          <w:color w:val="auto"/>
        </w:rPr>
      </w:pPr>
    </w:p>
    <w:p>
      <w:pPr>
        <w:ind w:right="260" w:firstLine="886"/>
        <w:spacing w:after="0" w:line="277" w:lineRule="auto"/>
        <w:tabs>
          <w:tab w:leader="none" w:pos="1133"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Accelerated Vesting</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4(c)</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Phantom Units shall vest in full upon the occurrence of any of the following events:</w:t>
      </w:r>
      <w:r>
        <w:rPr>
          <w:rFonts w:ascii="Arial" w:cs="Arial" w:eastAsia="Arial" w:hAnsi="Arial"/>
          <w:sz w:val="18"/>
          <w:szCs w:val="18"/>
          <w:i w:val="1"/>
          <w:iCs w:val="1"/>
          <w:color w:val="auto"/>
        </w:rPr>
        <w:t xml:space="preserve"> </w:t>
      </w:r>
      <w:r>
        <w:rPr>
          <w:rFonts w:ascii="Arial" w:cs="Arial" w:eastAsia="Arial" w:hAnsi="Arial"/>
          <w:sz w:val="18"/>
          <w:szCs w:val="18"/>
          <w:color w:val="auto"/>
        </w:rPr>
        <w:t>[Insert circumstances resulting in accelerated vesting, if any].</w:t>
      </w:r>
    </w:p>
    <w:p>
      <w:pPr>
        <w:spacing w:after="0" w:line="116" w:lineRule="exact"/>
        <w:rPr>
          <w:rFonts w:ascii="Arial" w:cs="Arial" w:eastAsia="Arial" w:hAnsi="Arial"/>
          <w:sz w:val="18"/>
          <w:szCs w:val="18"/>
          <w:color w:val="auto"/>
        </w:rPr>
      </w:pPr>
    </w:p>
    <w:p>
      <w:pPr>
        <w:ind w:right="140" w:firstLine="886"/>
        <w:spacing w:after="0" w:line="264" w:lineRule="auto"/>
        <w:tabs>
          <w:tab w:leader="none" w:pos="1122"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Forfeiture</w:t>
      </w:r>
      <w:r>
        <w:rPr>
          <w:rFonts w:ascii="Arial" w:cs="Arial" w:eastAsia="Arial" w:hAnsi="Arial"/>
          <w:sz w:val="18"/>
          <w:szCs w:val="18"/>
          <w:color w:val="auto"/>
        </w:rPr>
        <w:t>. Notwithstanding the foregoing, in the event of a cessation of the Participant’s Service for any reason, all Phantom Units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 vested prior to or in connection with such cessation of Service shall thereupon automatically be forfeited by the Participant without further action and without payment of consideration therefor. No portion</w:t>
      </w:r>
    </w:p>
    <w:p>
      <w:pPr>
        <w:sectPr>
          <w:pgSz w:w="11900" w:h="16838" w:orient="portrait"/>
          <w:cols w:equalWidth="0" w:num="1">
            <w:col w:w="11420"/>
          </w:cols>
          <w:pgMar w:left="240" w:top="581" w:right="239" w:bottom="1440" w:gutter="0" w:footer="0" w:header="0"/>
          <w:type w:val="continuous"/>
        </w:sectPr>
      </w:pPr>
    </w:p>
    <w:bookmarkStart w:id="248" w:name="page249"/>
    <w:bookmarkEnd w:id="248"/>
    <w:p>
      <w:pPr>
        <w:spacing w:after="0"/>
        <w:rPr>
          <w:sz w:val="20"/>
          <w:szCs w:val="20"/>
          <w:color w:val="auto"/>
        </w:rPr>
      </w:pPr>
      <w:r>
        <w:rPr>
          <w:rFonts w:ascii="Arial" w:cs="Arial" w:eastAsia="Arial" w:hAnsi="Arial"/>
          <w:sz w:val="18"/>
          <w:szCs w:val="18"/>
          <w:color w:val="auto"/>
        </w:rPr>
        <w:t>of the Phantom Units which has not become vested at the date of the Participant’s cessation of Service shall thereafter become vested.</w:t>
      </w:r>
    </w:p>
    <w:p>
      <w:pPr>
        <w:spacing w:after="0" w:line="171" w:lineRule="exact"/>
        <w:rPr>
          <w:sz w:val="20"/>
          <w:szCs w:val="20"/>
          <w:color w:val="auto"/>
        </w:rPr>
      </w:pPr>
    </w:p>
    <w:p>
      <w:pPr>
        <w:ind w:left="1140" w:hanging="254"/>
        <w:spacing w:after="0"/>
        <w:tabs>
          <w:tab w:leader="none" w:pos="1140"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Vested Phantom Units shall be subject to the payment provisions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71" w:lineRule="exact"/>
        <w:rPr>
          <w:rFonts w:ascii="Arial" w:cs="Arial" w:eastAsia="Arial" w:hAnsi="Arial"/>
          <w:sz w:val="18"/>
          <w:szCs w:val="18"/>
          <w:color w:val="auto"/>
        </w:rPr>
      </w:pPr>
    </w:p>
    <w:p>
      <w:pPr>
        <w:ind w:left="620" w:hanging="180"/>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Payment of Phantom Units and 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886"/>
        <w:spacing w:after="0" w:line="253" w:lineRule="auto"/>
        <w:tabs>
          <w:tab w:leader="none" w:pos="1122" w:val="left"/>
        </w:tabs>
        <w:numPr>
          <w:ilvl w:val="1"/>
          <w:numId w:val="222"/>
        </w:numPr>
        <w:rPr>
          <w:rFonts w:ascii="Arial" w:cs="Arial" w:eastAsia="Arial" w:hAnsi="Arial"/>
          <w:sz w:val="18"/>
          <w:szCs w:val="18"/>
          <w:color w:val="auto"/>
        </w:rPr>
      </w:pPr>
      <w:r>
        <w:rPr>
          <w:rFonts w:ascii="Arial" w:cs="Arial" w:eastAsia="Arial" w:hAnsi="Arial"/>
          <w:sz w:val="18"/>
          <w:szCs w:val="18"/>
          <w:i w:val="1"/>
          <w:iCs w:val="1"/>
          <w:color w:val="auto"/>
        </w:rPr>
        <w:t>Phantom Units</w:t>
      </w:r>
      <w:r>
        <w:rPr>
          <w:rFonts w:ascii="Arial" w:cs="Arial" w:eastAsia="Arial" w:hAnsi="Arial"/>
          <w:sz w:val="18"/>
          <w:szCs w:val="18"/>
          <w:color w:val="auto"/>
        </w:rPr>
        <w:t>. Unpaid, vested Phantom Units shall be paid to the Participant in the form of Units in a lump-sum as soon as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practical, but not later than sixty (60) days, following the date on which such Phantom Units vest. Payments of any Phantom Units that vest in accordance herewith shall be made to the Participant (or in the event of the Participant’s death, to the Participant’s estate) in whole Units in accordance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In lieu of the foregoing, the Committee may elect at its discretion to pay the Phantom Units in cash equal to the Fair Market Value of the Units that would otherwise be distributed as of the date of vesting.</w:t>
      </w:r>
    </w:p>
    <w:p>
      <w:pPr>
        <w:spacing w:after="0" w:line="3" w:lineRule="exact"/>
        <w:rPr>
          <w:rFonts w:ascii="Arial" w:cs="Arial" w:eastAsia="Arial" w:hAnsi="Arial"/>
          <w:sz w:val="18"/>
          <w:szCs w:val="18"/>
          <w:color w:val="auto"/>
        </w:rPr>
      </w:pPr>
    </w:p>
    <w:p>
      <w:pPr>
        <w:ind w:right="420" w:firstLine="886"/>
        <w:spacing w:after="0" w:line="261" w:lineRule="auto"/>
        <w:tabs>
          <w:tab w:leader="none" w:pos="1133" w:val="left"/>
        </w:tabs>
        <w:numPr>
          <w:ilvl w:val="1"/>
          <w:numId w:val="222"/>
        </w:numPr>
        <w:rPr>
          <w:rFonts w:ascii="Arial" w:cs="Arial" w:eastAsia="Arial" w:hAnsi="Arial"/>
          <w:sz w:val="18"/>
          <w:szCs w:val="18"/>
          <w:color w:val="auto"/>
        </w:rPr>
      </w:pPr>
      <w:r>
        <w:rPr>
          <w:rFonts w:ascii="Arial" w:cs="Arial" w:eastAsia="Arial" w:hAnsi="Arial"/>
          <w:sz w:val="18"/>
          <w:szCs w:val="18"/>
          <w:i w:val="1"/>
          <w:iCs w:val="1"/>
          <w:color w:val="auto"/>
        </w:rPr>
        <w:t>DERs</w:t>
      </w:r>
      <w:r>
        <w:rPr>
          <w:rFonts w:ascii="Arial" w:cs="Arial" w:eastAsia="Arial" w:hAnsi="Arial"/>
          <w:sz w:val="18"/>
          <w:szCs w:val="18"/>
          <w:color w:val="auto"/>
        </w:rPr>
        <w:t>. Payments in respect of DERs shall be made to the Participant promptly upon the making of the corresponding distributions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to its common unitholders.</w:t>
      </w:r>
    </w:p>
    <w:p>
      <w:pPr>
        <w:spacing w:after="0" w:line="129" w:lineRule="exact"/>
        <w:rPr>
          <w:rFonts w:ascii="Arial" w:cs="Arial" w:eastAsia="Arial" w:hAnsi="Arial"/>
          <w:sz w:val="18"/>
          <w:szCs w:val="18"/>
          <w:color w:val="auto"/>
        </w:rPr>
      </w:pPr>
    </w:p>
    <w:p>
      <w:pPr>
        <w:ind w:right="140" w:firstLine="886"/>
        <w:spacing w:after="0" w:line="288" w:lineRule="auto"/>
        <w:tabs>
          <w:tab w:leader="none" w:pos="1122"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t>Potential Delay</w:t>
      </w:r>
      <w:r>
        <w:rPr>
          <w:rFonts w:ascii="Arial" w:cs="Arial" w:eastAsia="Arial" w:hAnsi="Arial"/>
          <w:sz w:val="16"/>
          <w:szCs w:val="16"/>
          <w:color w:val="auto"/>
        </w:rPr>
        <w:t>. Notwithstanding anything to the contrary in this Agreement, no amounts payable under this Agreement shall be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prior to the expiration of the six (6)-month period following his “separation from service” (within the meaning of Treasury Regulation Section 1.409A-1(h)) (a “</w:t>
      </w:r>
      <w:r>
        <w:rPr>
          <w:rFonts w:ascii="Arial" w:cs="Arial" w:eastAsia="Arial" w:hAnsi="Arial"/>
          <w:sz w:val="16"/>
          <w:szCs w:val="16"/>
          <w:b w:val="1"/>
          <w:bCs w:val="1"/>
          <w:color w:val="auto"/>
        </w:rPr>
        <w:t>Separation from Service</w:t>
      </w:r>
      <w:r>
        <w:rPr>
          <w:rFonts w:ascii="Arial" w:cs="Arial" w:eastAsia="Arial" w:hAnsi="Arial"/>
          <w:sz w:val="16"/>
          <w:szCs w:val="16"/>
          <w:color w:val="auto"/>
        </w:rPr>
        <w:t>”) to the extent that the Company determines that paying such amounts prior to the expiration of such six</w:t>
      </w:r>
    </w:p>
    <w:p>
      <w:pPr>
        <w:ind w:right="200"/>
        <w:spacing w:after="0" w:line="254" w:lineRule="auto"/>
        <w:rPr>
          <w:rFonts w:ascii="Arial" w:cs="Arial" w:eastAsia="Arial" w:hAnsi="Arial"/>
          <w:sz w:val="16"/>
          <w:szCs w:val="16"/>
          <w:color w:val="auto"/>
        </w:rPr>
      </w:pPr>
      <w:r>
        <w:rPr>
          <w:rFonts w:ascii="Arial" w:cs="Arial" w:eastAsia="Arial" w:hAnsi="Arial"/>
          <w:sz w:val="18"/>
          <w:szCs w:val="18"/>
          <w:color w:val="auto"/>
        </w:rPr>
        <w:t>(6)-month period would result in a prohibited distribution under Section 409A(a)(2)(B)(i) of the Code. If the payment of any such amounts is delayed as a result of the previous sentence, then on the first business day following the end of the applicable six (6)-month period (or such earlier date upon which such amounts can be paid under Section 409A of the Code without resulting in a prohibited distribution, including as a result of the Participant’s death), such amounts shall be paid to the Participant.</w:t>
      </w:r>
    </w:p>
    <w:p>
      <w:pPr>
        <w:spacing w:after="0" w:line="135" w:lineRule="exact"/>
        <w:rPr>
          <w:rFonts w:ascii="Arial" w:cs="Arial" w:eastAsia="Arial" w:hAnsi="Arial"/>
          <w:sz w:val="16"/>
          <w:szCs w:val="16"/>
          <w:color w:val="auto"/>
        </w:rPr>
      </w:pPr>
    </w:p>
    <w:p>
      <w:pPr>
        <w:ind w:firstLine="440"/>
        <w:spacing w:after="0" w:line="289" w:lineRule="auto"/>
        <w:tabs>
          <w:tab w:leader="none" w:pos="612"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and/or its Affiliates shall have the authority and the right to deduct or withhold, or to require the Participant to remit to the Company and/or its Affiliates, an amount sufficient to satisfy all applicable federal, state and local taxes (including the Participant’s employment tax obligations) required by law to be withheld with respect to any taxable event arising in connection with the Phantom Units and the DERs. In satisfaction of the foregoing requirement, unless otherwise determined by the Committee, the Company and/or its Affiliates shall withhold Units otherwise issuable in respect of such Phantom Units having a Fair Market Value equal to the sums required to be withheld. In the event that Units that would otherwise be issued in payment of the Phantom Units are used to satisfy such withholding obligations, the number of Units which shall be so withheld shall be limited to the number of Units which have a Fair Market Value (which, in the case of a broker-assisted transaction, shall be determined by the Committee, consistent with applicable provisions of the Code) on the date of withholding equal to the aggregate amount of such liabilities based on the minimum statutory withholding rates for federal, state, local and foreign income tax and payroll tax purposes that are applicable to such supplemental taxable income.</w:t>
      </w:r>
    </w:p>
    <w:p>
      <w:pPr>
        <w:spacing w:after="0" w:line="112" w:lineRule="exact"/>
        <w:rPr>
          <w:rFonts w:ascii="Arial" w:cs="Arial" w:eastAsia="Arial" w:hAnsi="Arial"/>
          <w:sz w:val="16"/>
          <w:szCs w:val="16"/>
          <w:color w:val="auto"/>
        </w:rPr>
      </w:pPr>
    </w:p>
    <w:p>
      <w:pPr>
        <w:jc w:val="both"/>
        <w:ind w:right="120" w:firstLine="440"/>
        <w:spacing w:after="0" w:line="259" w:lineRule="auto"/>
        <w:tabs>
          <w:tab w:leader="none" w:pos="612"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Rights as Unit Holder</w:t>
      </w:r>
      <w:r>
        <w:rPr>
          <w:rFonts w:ascii="Arial" w:cs="Arial" w:eastAsia="Arial" w:hAnsi="Arial"/>
          <w:sz w:val="18"/>
          <w:szCs w:val="18"/>
          <w:color w:val="auto"/>
        </w:rPr>
        <w:t>. Neither the Participant nor any person claiming under or through the Participant shall have any of the rights or privileges of a holder of Units in respect of any Units that may become deliverable hereunder unless and until certificates representing such Units shall have been issued or recorded in book entry form on the records of the Partnership or its transfer agents or registrars, and delivered in certificate or book entry form to the Participant or any person claiming under or through the Participant.</w:t>
      </w:r>
    </w:p>
    <w:p>
      <w:pPr>
        <w:spacing w:after="0" w:line="132" w:lineRule="exact"/>
        <w:rPr>
          <w:rFonts w:ascii="Arial" w:cs="Arial" w:eastAsia="Arial" w:hAnsi="Arial"/>
          <w:sz w:val="18"/>
          <w:szCs w:val="18"/>
          <w:color w:val="auto"/>
        </w:rPr>
      </w:pPr>
    </w:p>
    <w:p>
      <w:pPr>
        <w:ind w:firstLine="440"/>
        <w:spacing w:after="0" w:line="259" w:lineRule="auto"/>
        <w:tabs>
          <w:tab w:leader="none" w:pos="612"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Neither the Phantom Units nor any right of the Participant under the Phantom Units may be assigned, alienated, pledged, attached, sold or otherwise transferred or encumbered by the Participant (or any permitted transferee) other than by will or the laws of descent and distribution and any such purported assignment, alienation, pledge, attachment, sale, transfer or encumbrance shall be void and unenforceable against the Company, the Partnership and any of their Affiliates.</w:t>
      </w:r>
    </w:p>
    <w:p>
      <w:pPr>
        <w:spacing w:after="0" w:line="132" w:lineRule="exact"/>
        <w:rPr>
          <w:rFonts w:ascii="Arial" w:cs="Arial" w:eastAsia="Arial" w:hAnsi="Arial"/>
          <w:sz w:val="18"/>
          <w:szCs w:val="18"/>
          <w:color w:val="auto"/>
        </w:rPr>
      </w:pPr>
    </w:p>
    <w:p>
      <w:pPr>
        <w:ind w:left="620" w:hanging="180"/>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Distribution of Units</w:t>
      </w:r>
      <w:r>
        <w:rPr>
          <w:rFonts w:ascii="Arial" w:cs="Arial" w:eastAsia="Arial" w:hAnsi="Arial"/>
          <w:sz w:val="18"/>
          <w:szCs w:val="18"/>
          <w:color w:val="auto"/>
        </w:rPr>
        <w:t>. Unless otherwise determined by the Committee or</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required by any applicable law, rule or regulation, neither the Company nor the Partnership shall deliver to the Participant certificates evidencing Units issued pursuant to this Agreement and instead such Units shall be recorded in the books of the Partnership (or, as applicable, its transfer agent or equity plan administrator). All certificates for Units issued pursuant to this Agreement and all Units issued pursuant to book entry procedures hereunder shall be subject to such stop transfer orders and other restrictions as the Company may deem advisable under the Plan or the rules, regulations, and other requirements of the Securities Exchange Commission, any stock exchange upon which such Units are then listed, and any applicable federal or state laws, and the Company may cause a legend or legends to be inscribed on any such certificates or book entry to make appropriate reference to such restrictions. In addition to the terms and conditions provided herein, the Company may require that the Participant make such covenants, agreements, and representations as the Company, in its sole discretion, deems advisable in order to comply with any such laws, regulations, or requirements. No fractional Units shall be issued or delivered pursuant to the Phantom Units and the Committee shall determine whether cash, other securities, or other property shall be paid</w:t>
      </w:r>
    </w:p>
    <w:p>
      <w:pPr>
        <w:sectPr>
          <w:pgSz w:w="11900" w:h="16838" w:orient="portrait"/>
          <w:cols w:equalWidth="0" w:num="1">
            <w:col w:w="11420"/>
          </w:cols>
          <w:pgMar w:left="240" w:top="747" w:right="239" w:bottom="1440" w:gutter="0" w:footer="0" w:header="0"/>
        </w:sectPr>
      </w:pPr>
    </w:p>
    <w:bookmarkStart w:id="249" w:name="page250"/>
    <w:bookmarkEnd w:id="249"/>
    <w:p>
      <w:pPr>
        <w:spacing w:after="0"/>
        <w:rPr>
          <w:sz w:val="20"/>
          <w:szCs w:val="20"/>
          <w:color w:val="auto"/>
        </w:rPr>
      </w:pPr>
      <w:r>
        <w:rPr>
          <w:rFonts w:ascii="Arial" w:cs="Arial" w:eastAsia="Arial" w:hAnsi="Arial"/>
          <w:sz w:val="17"/>
          <w:szCs w:val="17"/>
          <w:color w:val="auto"/>
        </w:rPr>
        <w:t>or transferred in lieu of fractional Units or whether such fractional Units or any rights thereto shall be canceled, terminated, or otherwise eliminated.</w:t>
      </w:r>
    </w:p>
    <w:p>
      <w:pPr>
        <w:spacing w:after="0" w:line="183" w:lineRule="exact"/>
        <w:rPr>
          <w:sz w:val="20"/>
          <w:szCs w:val="20"/>
          <w:color w:val="auto"/>
        </w:rPr>
      </w:pPr>
    </w:p>
    <w:p>
      <w:pPr>
        <w:ind w:right="40" w:firstLine="440"/>
        <w:spacing w:after="0" w:line="259" w:lineRule="auto"/>
        <w:tabs>
          <w:tab w:leader="none" w:pos="70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Partnership Agreement</w:t>
      </w:r>
      <w:r>
        <w:rPr>
          <w:rFonts w:ascii="Arial" w:cs="Arial" w:eastAsia="Arial" w:hAnsi="Arial"/>
          <w:sz w:val="18"/>
          <w:szCs w:val="18"/>
          <w:color w:val="auto"/>
        </w:rPr>
        <w:t>. Units issued upon payment of the Phantom Units shall be subject to the terms of the Plan and the Partnership Agreement. Upon the issuance of Units to the Participant, the Participant shall, automatically and without further action on his or her part, (i) be admitted to the Partnership as a Limited Partner (as defined in the Partnership Agreement) with respect to the Units, and (ii) become bound, and be deemed to have agreed to be bound, by the terms of the Partnership Agreement.</w:t>
      </w:r>
    </w:p>
    <w:p>
      <w:pPr>
        <w:spacing w:after="0" w:line="132" w:lineRule="exact"/>
        <w:rPr>
          <w:rFonts w:ascii="Arial" w:cs="Arial" w:eastAsia="Arial" w:hAnsi="Arial"/>
          <w:sz w:val="18"/>
          <w:szCs w:val="18"/>
          <w:color w:val="auto"/>
        </w:rPr>
      </w:pPr>
    </w:p>
    <w:p>
      <w:pPr>
        <w:ind w:right="20" w:firstLine="440"/>
        <w:spacing w:after="0" w:line="259" w:lineRule="auto"/>
        <w:tabs>
          <w:tab w:leader="none" w:pos="69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No Effect on Service</w:t>
      </w:r>
      <w:r>
        <w:rPr>
          <w:rFonts w:ascii="Arial" w:cs="Arial" w:eastAsia="Arial" w:hAnsi="Arial"/>
          <w:sz w:val="18"/>
          <w:szCs w:val="18"/>
          <w:color w:val="auto"/>
        </w:rPr>
        <w:t>. Nothing in this Agreement or in the Plan shall be construed as giving the Participant the right to be retained in the employ or service of the Company or any Affiliate thereof. Furthermore, the Company and its Affiliates may at any time dismiss the Participant from employment or consulting free from any liability or any claim under the Plan or this Agreement, unless otherwise expressly provided in the Plan, this Agreement or any other written agreement between the Participant and the Company or an Affiliate thereof.</w:t>
      </w:r>
    </w:p>
    <w:p>
      <w:pPr>
        <w:spacing w:after="0" w:line="132" w:lineRule="exact"/>
        <w:rPr>
          <w:rFonts w:ascii="Arial" w:cs="Arial" w:eastAsia="Arial" w:hAnsi="Arial"/>
          <w:sz w:val="18"/>
          <w:szCs w:val="18"/>
          <w:color w:val="auto"/>
        </w:rPr>
      </w:pPr>
    </w:p>
    <w:p>
      <w:pPr>
        <w:ind w:right="40" w:firstLine="440"/>
        <w:spacing w:after="0" w:line="259" w:lineRule="auto"/>
        <w:tabs>
          <w:tab w:leader="none" w:pos="70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Severablility</w:t>
      </w:r>
      <w:r>
        <w:rPr>
          <w:rFonts w:ascii="Arial" w:cs="Arial" w:eastAsia="Arial" w:hAnsi="Arial"/>
          <w:sz w:val="18"/>
          <w:szCs w:val="18"/>
          <w:color w:val="auto"/>
        </w:rPr>
        <w:t>. If any provision of this Agreement is or becomes or is deemed to be invalid, illegal, or unenforceable in any jurisdiction, such provision shall be construed or deemed amended to conform to the applicable law or, if it cannot be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32" w:lineRule="exact"/>
        <w:rPr>
          <w:rFonts w:ascii="Arial" w:cs="Arial" w:eastAsia="Arial" w:hAnsi="Arial"/>
          <w:sz w:val="18"/>
          <w:szCs w:val="18"/>
          <w:color w:val="auto"/>
        </w:rPr>
      </w:pPr>
    </w:p>
    <w:p>
      <w:pPr>
        <w:ind w:right="60" w:firstLine="440"/>
        <w:spacing w:after="0" w:line="253" w:lineRule="auto"/>
        <w:tabs>
          <w:tab w:leader="none" w:pos="70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None of the Board, the Committee, the Company nor the Partnership has made any warranty or representation to Participant with respect to the income tax consequences of the issuance of the Phantom Units, the DERs, the Units or the transactions contemplated by this Agreement, and the Participant represents that he or she is in no manner relying on such entities or their representatives for tax advice or an assessment of such tax consequences. The Participant understands that the Participant may suffer adverse tax consequences in connection with the Phantom Units and DERs granted pursuant to this Agreement. The Participant represents that the Participant has consulted with any tax consultants that the Participant deems advisable in connection with the Phantom Units and DERs.</w:t>
      </w:r>
    </w:p>
    <w:p>
      <w:pPr>
        <w:spacing w:after="0" w:line="1" w:lineRule="exact"/>
        <w:rPr>
          <w:rFonts w:ascii="Arial" w:cs="Arial" w:eastAsia="Arial" w:hAnsi="Arial"/>
          <w:sz w:val="18"/>
          <w:szCs w:val="18"/>
          <w:color w:val="auto"/>
        </w:rPr>
      </w:pPr>
    </w:p>
    <w:p>
      <w:pPr>
        <w:ind w:right="200" w:firstLine="440"/>
        <w:spacing w:after="0" w:line="302" w:lineRule="auto"/>
        <w:tabs>
          <w:tab w:leader="none" w:pos="702"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Amendments, Suspension and Termination</w:t>
      </w:r>
      <w:r>
        <w:rPr>
          <w:rFonts w:ascii="Arial" w:cs="Arial" w:eastAsia="Arial" w:hAnsi="Arial"/>
          <w:sz w:val="16"/>
          <w:szCs w:val="16"/>
          <w:color w:val="auto"/>
        </w:rPr>
        <w:t>. To the extent permitted by the Plan, this Agreement may be wholly or partially amended or otherwise modified, suspended or terminated at any time or from time to time by the Board or the Committee. Except as provided in the preceding sentence, this Agreement cannot be modified, altered or amended, except by an agreement, in writing, signed by both the Partnership and the Participant.</w:t>
      </w:r>
    </w:p>
    <w:p>
      <w:pPr>
        <w:spacing w:after="0" w:line="101" w:lineRule="exact"/>
        <w:rPr>
          <w:rFonts w:ascii="Arial" w:cs="Arial" w:eastAsia="Arial" w:hAnsi="Arial"/>
          <w:sz w:val="16"/>
          <w:szCs w:val="16"/>
          <w:color w:val="auto"/>
        </w:rPr>
      </w:pPr>
    </w:p>
    <w:p>
      <w:pPr>
        <w:ind w:firstLine="440"/>
        <w:spacing w:after="0" w:line="290" w:lineRule="auto"/>
        <w:tabs>
          <w:tab w:leader="none" w:pos="702"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The Participant shall agree, if so requested by the Company or the Partnership and any underwriter in connection with any public offering of securities of the Partnership or any Affiliate thereof, not to directly or indirectly offer, sell, contract to sell, sell any option or contract to purchase, purchase any option or contract to sell, grant any option, right or warrant for the sale of or otherwise dispose of or transfer any Units held by him or her for such period, not to exceed one hundred eighty (180) days following the effective date of the relevant registration statement filed under the Securities Act in connection with such public offering, as such underwriter shall specify reasonably and in good faith. The Company or the Partnership may impose stop-transfer instructions with respect to securities subject to the foregoing restrictions until the end of such 180-day period. Notwithstanding the foregoing, the 180-day period may be extended in the discretion of the Company for up to such number of additional days as is deemed necessary by such underwriter or the Company or Partnership to continue coverage by research analysts in accordance with FINRA Rule 2711 or any successor or other applicable rule.</w:t>
      </w:r>
    </w:p>
    <w:p>
      <w:pPr>
        <w:spacing w:after="0" w:line="112" w:lineRule="exact"/>
        <w:rPr>
          <w:rFonts w:ascii="Arial" w:cs="Arial" w:eastAsia="Arial" w:hAnsi="Arial"/>
          <w:sz w:val="16"/>
          <w:szCs w:val="16"/>
          <w:color w:val="auto"/>
        </w:rPr>
      </w:pPr>
    </w:p>
    <w:p>
      <w:pPr>
        <w:ind w:firstLine="440"/>
        <w:spacing w:after="0" w:line="297" w:lineRule="auto"/>
        <w:tabs>
          <w:tab w:leader="none" w:pos="702"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The Participant acknowledges that the Plan and this Agreement are intended to conform to the extent necessary with all provisions of the Securities Act and the Exchange Act, any and all regulations and rules promulgated by the Securities and Exchange Commission thereunder, and all applicable state securities laws and regulations. Notwithstanding anything herein to the contrary, the Plan shall be administered, and the Phantom Units and DERs are granted, only in such a manner as to conform to such laws, rules and regulations. To the extent permitted by applicable law, the Plan and this Agreement shall be deemed amended to the extent necessary to conform to such laws, rules and regulations.</w:t>
      </w:r>
    </w:p>
    <w:p>
      <w:pPr>
        <w:spacing w:after="0" w:line="104" w:lineRule="exact"/>
        <w:rPr>
          <w:rFonts w:ascii="Arial" w:cs="Arial" w:eastAsia="Arial" w:hAnsi="Arial"/>
          <w:sz w:val="16"/>
          <w:szCs w:val="16"/>
          <w:color w:val="auto"/>
        </w:rPr>
      </w:pPr>
    </w:p>
    <w:p>
      <w:pPr>
        <w:ind w:right="20" w:firstLine="440"/>
        <w:spacing w:after="0" w:line="272" w:lineRule="auto"/>
        <w:tabs>
          <w:tab w:leader="none" w:pos="702"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None of the Phantom Units, the DERs or any amounts paid pursuant to this Agreement are intended to constitute or provide for a deferral of compensation that is subject to Section 409A of the Code. Nevertheless, to the extent that the Committee determines that the Phantom Units or DERs may not be exempt from (or compliant with) Section 409A of the Code, the Committee may (but shall not be required to) amend this Agreement in a manner intended to comply with the requirements of Section 409A of the Code or an exemption therefrom (including amendments with retroactive effect), or take any other actions as it deems necessary or appropriate to (a) exempt the Phantom Units or DERs from Section 409A of the Code and/or preserve the intended tax treatment of the benefits provided with respect to the Phantom Units or DERs, or (b) comply with the requirements of Section 409A of the Code. To the extent applicable, this Agreement shall be</w:t>
      </w:r>
    </w:p>
    <w:p>
      <w:pPr>
        <w:sectPr>
          <w:pgSz w:w="11900" w:h="16838" w:orient="portrait"/>
          <w:cols w:equalWidth="0" w:num="1">
            <w:col w:w="11400"/>
          </w:cols>
          <w:pgMar w:left="240" w:top="585" w:right="259" w:bottom="1440" w:gutter="0" w:footer="0" w:header="0"/>
        </w:sectPr>
      </w:pPr>
    </w:p>
    <w:bookmarkStart w:id="250" w:name="page251"/>
    <w:bookmarkEnd w:id="250"/>
    <w:p>
      <w:pPr>
        <w:ind w:right="60"/>
        <w:spacing w:after="0" w:line="253" w:lineRule="auto"/>
        <w:rPr>
          <w:sz w:val="20"/>
          <w:szCs w:val="20"/>
          <w:color w:val="auto"/>
        </w:rPr>
      </w:pPr>
      <w:r>
        <w:rPr>
          <w:rFonts w:ascii="Arial" w:cs="Arial" w:eastAsia="Arial" w:hAnsi="Arial"/>
          <w:sz w:val="18"/>
          <w:szCs w:val="18"/>
          <w:color w:val="auto"/>
        </w:rPr>
        <w:t>interpreted in accordance with the provisions of Section 409A of the Code. Notwithstanding anything in this Agreement to the contrary, to the extent that any payment or benefit hereunder constitutes non-exempt “nonqualified deferred compensation” for purposes of Section 409A of the Code, and such payment or benefit would otherwise be payable or distributable hereunder by reason of the Participant’s cessation of Service, all references to the Participant’s cessation of Service shall be construed to mean a Separation from Service, and the Participant shall not be considered to have a cessation of Service unless such cessation constitutes a Separation from Service with respect to the Participant.</w:t>
      </w:r>
    </w:p>
    <w:p>
      <w:pPr>
        <w:spacing w:after="0" w:line="4" w:lineRule="exact"/>
        <w:rPr>
          <w:sz w:val="20"/>
          <w:szCs w:val="20"/>
          <w:color w:val="auto"/>
        </w:rPr>
      </w:pPr>
    </w:p>
    <w:p>
      <w:pPr>
        <w:ind w:right="380" w:firstLine="440"/>
        <w:spacing w:after="0" w:line="277" w:lineRule="auto"/>
        <w:tabs>
          <w:tab w:leader="none" w:pos="702"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Adjustments; Clawback</w:t>
      </w:r>
      <w:r>
        <w:rPr>
          <w:rFonts w:ascii="Arial" w:cs="Arial" w:eastAsia="Arial" w:hAnsi="Arial"/>
          <w:sz w:val="17"/>
          <w:szCs w:val="17"/>
          <w:color w:val="auto"/>
        </w:rPr>
        <w:t>. The Participant acknowledges that the Phantom Units are subject to modification and forfeiture in certain events as provided in this Agreement and Section 7 of the Plan. The Participant further acknowledges that the Phantom Units, DERs and Units issuable hereunder, whether vested or unvested and whether or not previously issued, are subject to clawback as provided in Section 8(o) of the Plan.</w:t>
      </w:r>
    </w:p>
    <w:p>
      <w:pPr>
        <w:spacing w:after="0" w:line="119" w:lineRule="exact"/>
        <w:rPr>
          <w:rFonts w:ascii="Arial" w:cs="Arial" w:eastAsia="Arial" w:hAnsi="Arial"/>
          <w:sz w:val="17"/>
          <w:szCs w:val="17"/>
          <w:color w:val="auto"/>
        </w:rPr>
      </w:pPr>
    </w:p>
    <w:p>
      <w:pPr>
        <w:jc w:val="both"/>
        <w:ind w:firstLine="440"/>
        <w:spacing w:after="0" w:line="286" w:lineRule="auto"/>
        <w:tabs>
          <w:tab w:leader="none" w:pos="702"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or the Partnership may assign any of its rights under this Agreement to single or multiple assignees, and this Agreement shall inure to the benefit of the successors and assigns of the Company and the Partnership. Subject to the restrictions on transfer contained herein, this Agreement shall be binding upon the Participant and his or her heirs, executors, administrators, successors and assigns.</w:t>
      </w:r>
    </w:p>
    <w:p>
      <w:pPr>
        <w:spacing w:after="0" w:line="111" w:lineRule="exact"/>
        <w:rPr>
          <w:rFonts w:ascii="Arial" w:cs="Arial" w:eastAsia="Arial" w:hAnsi="Arial"/>
          <w:sz w:val="17"/>
          <w:szCs w:val="17"/>
          <w:color w:val="auto"/>
        </w:rPr>
      </w:pPr>
    </w:p>
    <w:p>
      <w:pPr>
        <w:ind w:right="800" w:firstLine="440"/>
        <w:spacing w:after="0" w:line="277" w:lineRule="auto"/>
        <w:tabs>
          <w:tab w:leader="none" w:pos="702"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any rules and regulations relating to this Agreement shall be determined in accordance with the laws of the State of Delaware without regard to its conflicts of laws principles.</w:t>
      </w:r>
    </w:p>
    <w:p>
      <w:pPr>
        <w:spacing w:after="0" w:line="116" w:lineRule="exact"/>
        <w:rPr>
          <w:rFonts w:ascii="Arial" w:cs="Arial" w:eastAsia="Arial" w:hAnsi="Arial"/>
          <w:sz w:val="18"/>
          <w:szCs w:val="18"/>
          <w:color w:val="auto"/>
        </w:rPr>
      </w:pPr>
    </w:p>
    <w:p>
      <w:pPr>
        <w:ind w:right="100" w:firstLine="440"/>
        <w:spacing w:after="0" w:line="308" w:lineRule="auto"/>
        <w:tabs>
          <w:tab w:leader="none" w:pos="702"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Participant’s signature below indicates the Participant’s agreement with and understanding that this award is subject to all of the terms and conditions contained in the Plan and in this Agreement, and that, in the event that there are any inconsistencies between the terms of the Plan and the terms of this Agreement, the terms of the Plan shall control. The Participant further acknowledges that the Participant has read and understands the Plan and this Agreement, which contains the specific terms and conditions of this grant of Phantom Units. The Participant hereby agrees to accept as binding, conclusive and final all decisions or interpretations of the Committee upon any questions arising under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QEP Midstream Partners GP, LLC</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a Delaware limited liability company</w:t>
      </w:r>
    </w:p>
    <w:p>
      <w:pPr>
        <w:spacing w:after="0" w:line="39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24441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QEP Midstream Partners, LP</w:t>
      </w:r>
    </w:p>
    <w:p>
      <w:pPr>
        <w:spacing w:after="0" w:line="46"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a Delaware limited partnership</w:t>
      </w:r>
    </w:p>
    <w:p>
      <w:pPr>
        <w:sectPr>
          <w:pgSz w:w="11900" w:h="16838" w:orient="portrait"/>
          <w:cols w:equalWidth="0" w:num="1">
            <w:col w:w="11400"/>
          </w:cols>
          <w:pgMar w:left="240" w:top="746" w:right="259" w:bottom="1440" w:gutter="0" w:footer="0" w:header="0"/>
        </w:sectPr>
      </w:pPr>
    </w:p>
    <w:p>
      <w:pPr>
        <w:spacing w:after="0" w:line="39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QEP Midstream Partners GP, LLC</w:t>
      </w:r>
    </w:p>
    <w:p>
      <w:pPr>
        <w:spacing w:after="0" w:line="86" w:lineRule="exact"/>
        <w:rPr>
          <w:sz w:val="20"/>
          <w:szCs w:val="20"/>
          <w:color w:val="auto"/>
        </w:rPr>
      </w:pPr>
    </w:p>
    <w:p>
      <w:pPr>
        <w:sectPr>
          <w:pgSz w:w="11900" w:h="16838" w:orient="portrait"/>
          <w:cols w:equalWidth="0" w:num="2">
            <w:col w:w="7200" w:space="720"/>
            <w:col w:w="3480"/>
          </w:cols>
          <w:pgMar w:left="240" w:top="746" w:right="259" w:bottom="1440" w:gutter="0" w:footer="0" w:header="0"/>
          <w:type w:val="continuous"/>
        </w:sectPr>
      </w:pPr>
    </w:p>
    <w:p>
      <w:pPr>
        <w:ind w:left="67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Partner</w:t>
      </w:r>
    </w:p>
    <w:p>
      <w:pPr>
        <w:spacing w:after="0" w:line="211" w:lineRule="exact"/>
        <w:rPr>
          <w:sz w:val="20"/>
          <w:szCs w:val="20"/>
          <w:color w:val="auto"/>
        </w:rPr>
      </w:pPr>
    </w:p>
    <w:p>
      <w:pPr>
        <w:sectPr>
          <w:pgSz w:w="11900" w:h="16838" w:orient="portrait"/>
          <w:cols w:equalWidth="0" w:num="2">
            <w:col w:w="7200" w:space="720"/>
            <w:col w:w="3480"/>
          </w:cols>
          <w:pgMar w:left="240" w:top="746" w:right="25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24441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746" w:right="259" w:bottom="1440" w:gutter="0" w:footer="0" w:header="0"/>
          <w:type w:val="continuous"/>
        </w:sectPr>
      </w:pPr>
    </w:p>
    <w:bookmarkStart w:id="251" w:name="page252"/>
    <w:bookmarkEnd w:id="251"/>
    <w:p>
      <w:pPr>
        <w:ind w:left="554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283210</wp:posOffset>
            </wp:positionV>
            <wp:extent cx="2984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9019"/>
          </w:cols>
          <w:pgMar w:left="1440" w:top="1067" w:right="1440"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AGREEMENT</w:t>
      </w:r>
    </w:p>
    <w:p>
      <w:pPr>
        <w:spacing w:after="0" w:line="171" w:lineRule="exact"/>
        <w:rPr>
          <w:sz w:val="20"/>
          <w:szCs w:val="20"/>
          <w:color w:val="auto"/>
        </w:rPr>
      </w:pPr>
    </w:p>
    <w:p>
      <w:pPr>
        <w:ind w:right="120" w:firstLine="432"/>
        <w:spacing w:after="0" w:line="298" w:lineRule="auto"/>
        <w:rPr>
          <w:sz w:val="20"/>
          <w:szCs w:val="20"/>
          <w:color w:val="auto"/>
        </w:rPr>
      </w:pPr>
      <w:r>
        <w:rPr>
          <w:rFonts w:ascii="Arial" w:cs="Arial" w:eastAsia="Arial" w:hAnsi="Arial"/>
          <w:sz w:val="16"/>
          <w:szCs w:val="16"/>
          <w:color w:val="auto"/>
        </w:rPr>
        <w:t>This Omnibus Agreement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on, and effective as of, August 14, 2013 (the “</w:t>
      </w:r>
      <w:r>
        <w:rPr>
          <w:rFonts w:ascii="Arial" w:cs="Arial" w:eastAsia="Arial" w:hAnsi="Arial"/>
          <w:sz w:val="16"/>
          <w:szCs w:val="16"/>
          <w:b w:val="1"/>
          <w:bCs w:val="1"/>
          <w:color w:val="auto"/>
        </w:rPr>
        <w:t>Closing Date</w:t>
      </w:r>
      <w:r>
        <w:rPr>
          <w:rFonts w:ascii="Arial" w:cs="Arial" w:eastAsia="Arial" w:hAnsi="Arial"/>
          <w:sz w:val="16"/>
          <w:szCs w:val="16"/>
          <w:color w:val="auto"/>
        </w:rPr>
        <w:t>”) among QEP Resources, Inc., a Delaware corporation (“</w:t>
      </w:r>
      <w:r>
        <w:rPr>
          <w:rFonts w:ascii="Arial" w:cs="Arial" w:eastAsia="Arial" w:hAnsi="Arial"/>
          <w:sz w:val="16"/>
          <w:szCs w:val="16"/>
          <w:b w:val="1"/>
          <w:bCs w:val="1"/>
          <w:color w:val="auto"/>
        </w:rPr>
        <w:t>QEP</w:t>
      </w:r>
      <w:r>
        <w:rPr>
          <w:rFonts w:ascii="Arial" w:cs="Arial" w:eastAsia="Arial" w:hAnsi="Arial"/>
          <w:sz w:val="16"/>
          <w:szCs w:val="16"/>
          <w:color w:val="auto"/>
        </w:rPr>
        <w:t>”), QEP Field Services Company, a Delaware corporation (“</w:t>
      </w:r>
      <w:r>
        <w:rPr>
          <w:rFonts w:ascii="Arial" w:cs="Arial" w:eastAsia="Arial" w:hAnsi="Arial"/>
          <w:sz w:val="16"/>
          <w:szCs w:val="16"/>
          <w:b w:val="1"/>
          <w:bCs w:val="1"/>
          <w:color w:val="auto"/>
        </w:rPr>
        <w:t>Field Services</w:t>
      </w:r>
      <w:r>
        <w:rPr>
          <w:rFonts w:ascii="Arial" w:cs="Arial" w:eastAsia="Arial" w:hAnsi="Arial"/>
          <w:sz w:val="16"/>
          <w:szCs w:val="16"/>
          <w:color w:val="auto"/>
        </w:rPr>
        <w:t>”), QEP Midstream Partners,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QEP Midstream Partners GP, LLC, a Delaware limited liability company and the general partner of the Partnership (the “</w:t>
      </w:r>
      <w:r>
        <w:rPr>
          <w:rFonts w:ascii="Arial" w:cs="Arial" w:eastAsia="Arial" w:hAnsi="Arial"/>
          <w:sz w:val="16"/>
          <w:szCs w:val="16"/>
          <w:b w:val="1"/>
          <w:bCs w:val="1"/>
          <w:color w:val="auto"/>
        </w:rPr>
        <w:t>General Partner</w:t>
      </w:r>
      <w:r>
        <w:rPr>
          <w:rFonts w:ascii="Arial" w:cs="Arial" w:eastAsia="Arial" w:hAnsi="Arial"/>
          <w:sz w:val="16"/>
          <w:szCs w:val="16"/>
          <w:color w:val="auto"/>
        </w:rPr>
        <w:t>”), and QEP Midstream Partners Operating, LLC, a Delaware limited liability company and wholly owned subsidiary of the Partnership (the “</w:t>
      </w:r>
      <w:r>
        <w:rPr>
          <w:rFonts w:ascii="Arial" w:cs="Arial" w:eastAsia="Arial" w:hAnsi="Arial"/>
          <w:sz w:val="16"/>
          <w:szCs w:val="16"/>
          <w:b w:val="1"/>
          <w:bCs w:val="1"/>
          <w:color w:val="auto"/>
        </w:rPr>
        <w:t>Operating Company</w:t>
      </w:r>
      <w:r>
        <w:rPr>
          <w:rFonts w:ascii="Arial" w:cs="Arial" w:eastAsia="Arial" w:hAnsi="Arial"/>
          <w:sz w:val="16"/>
          <w:szCs w:val="16"/>
          <w:color w:val="auto"/>
        </w:rPr>
        <w:t>” and, together with QEP, Field Services, the Partnership and the General Partner, the “</w:t>
      </w:r>
      <w:r>
        <w:rPr>
          <w:rFonts w:ascii="Arial" w:cs="Arial" w:eastAsia="Arial" w:hAnsi="Arial"/>
          <w:sz w:val="16"/>
          <w:szCs w:val="16"/>
          <w:b w:val="1"/>
          <w:bCs w:val="1"/>
          <w:color w:val="auto"/>
        </w:rPr>
        <w:t>Parties</w:t>
      </w:r>
      <w:r>
        <w:rPr>
          <w:rFonts w:ascii="Arial" w:cs="Arial" w:eastAsia="Arial" w:hAnsi="Arial"/>
          <w:sz w:val="16"/>
          <w:szCs w:val="16"/>
          <w:color w:val="auto"/>
        </w:rPr>
        <w:t>” and each a “</w:t>
      </w:r>
      <w:r>
        <w:rPr>
          <w:rFonts w:ascii="Arial" w:cs="Arial" w:eastAsia="Arial" w:hAnsi="Arial"/>
          <w:sz w:val="16"/>
          <w:szCs w:val="16"/>
          <w:b w:val="1"/>
          <w:bCs w:val="1"/>
          <w:color w:val="auto"/>
        </w:rPr>
        <w:t>Party</w:t>
      </w:r>
      <w:r>
        <w:rPr>
          <w:rFonts w:ascii="Arial" w:cs="Arial" w:eastAsia="Arial" w:hAnsi="Arial"/>
          <w:sz w:val="16"/>
          <w:szCs w:val="16"/>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5" w:lineRule="exact"/>
        <w:rPr>
          <w:sz w:val="20"/>
          <w:szCs w:val="20"/>
          <w:color w:val="auto"/>
        </w:rPr>
      </w:pPr>
    </w:p>
    <w:p>
      <w:pPr>
        <w:ind w:right="260" w:firstLine="440"/>
        <w:spacing w:after="0" w:line="277" w:lineRule="auto"/>
        <w:tabs>
          <w:tab w:leader="none" w:pos="6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Parties desire by their execution of this Agreement to evidence their understanding, as more fully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with respect to certain indemnification obligations of the Parties to each other.</w:t>
      </w:r>
    </w:p>
    <w:p>
      <w:pPr>
        <w:spacing w:after="0" w:line="116" w:lineRule="exact"/>
        <w:rPr>
          <w:rFonts w:ascii="Arial" w:cs="Arial" w:eastAsia="Arial" w:hAnsi="Arial"/>
          <w:sz w:val="18"/>
          <w:szCs w:val="18"/>
          <w:color w:val="auto"/>
        </w:rPr>
      </w:pPr>
    </w:p>
    <w:p>
      <w:pPr>
        <w:jc w:val="both"/>
        <w:ind w:right="400" w:firstLine="440"/>
        <w:spacing w:after="0" w:line="264" w:lineRule="auto"/>
        <w:tabs>
          <w:tab w:leader="none" w:pos="6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Parties desire by their execution of this Agreement to evidence their understanding, as more fully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with respect to the amount to be paid by the Partnership for the centralized corporate services to be performed by QEP and its Affiliates for and on behalf of the Partnership Group.</w:t>
      </w:r>
    </w:p>
    <w:p>
      <w:pPr>
        <w:spacing w:after="0" w:line="127" w:lineRule="exact"/>
        <w:rPr>
          <w:rFonts w:ascii="Arial" w:cs="Arial" w:eastAsia="Arial" w:hAnsi="Arial"/>
          <w:sz w:val="18"/>
          <w:szCs w:val="18"/>
          <w:color w:val="auto"/>
        </w:rPr>
      </w:pPr>
    </w:p>
    <w:p>
      <w:pPr>
        <w:ind w:right="460" w:firstLine="440"/>
        <w:spacing w:after="0" w:line="277" w:lineRule="auto"/>
        <w:tabs>
          <w:tab w:leader="none" w:pos="6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Parties desire by their execution of this Agreement to evidence their understanding, as more fully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with respect to the granting of certain licenses between the Parties.</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consideration of the premises and the covenants, conditions, and agreements contained herein, and for other good and valuable consideration, the receipt and sufficiency of which are hereby acknowledged, the Parties agree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Interpretation</w:t>
      </w:r>
    </w:p>
    <w:p>
      <w:pPr>
        <w:spacing w:after="0" w:line="7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in the introductory paragraph and the recitals of this Agreement, for purposes hereof, the capitalized terms used herein and not otherwise defined shall have the meanings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9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xml:space="preserve"> Unless expressly provided for elsewhere in this Agreement, this Agreement shall be interpreted in accordance with the following provisions:</w:t>
      </w:r>
    </w:p>
    <w:p>
      <w:pPr>
        <w:spacing w:after="0" w:line="35" w:lineRule="exact"/>
        <w:rPr>
          <w:sz w:val="20"/>
          <w:szCs w:val="20"/>
          <w:color w:val="auto"/>
        </w:rPr>
      </w:pPr>
    </w:p>
    <w:p>
      <w:pPr>
        <w:ind w:left="680" w:hanging="240"/>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90" w:lineRule="exact"/>
        <w:rPr>
          <w:rFonts w:ascii="Arial" w:cs="Arial" w:eastAsia="Arial" w:hAnsi="Arial"/>
          <w:sz w:val="18"/>
          <w:szCs w:val="18"/>
          <w:color w:val="auto"/>
        </w:rPr>
      </w:pPr>
    </w:p>
    <w:p>
      <w:pPr>
        <w:ind w:left="700" w:hanging="260"/>
        <w:spacing w:after="0"/>
        <w:tabs>
          <w:tab w:leader="none" w:pos="7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headings contained in this Agreement are for reference purposes only and shall not affect the meaning or interpretation of this Agreement.</w:t>
      </w:r>
    </w:p>
    <w:p>
      <w:pPr>
        <w:sectPr>
          <w:pgSz w:w="11900" w:h="16838" w:orient="portrait"/>
          <w:cols w:equalWidth="0" w:num="1">
            <w:col w:w="11420"/>
          </w:cols>
          <w:pgMar w:left="240" w:top="581" w:right="239" w:bottom="1440" w:gutter="0" w:footer="0" w:header="0"/>
        </w:sectPr>
      </w:pPr>
    </w:p>
    <w:bookmarkStart w:id="253" w:name="page254"/>
    <w:bookmarkEnd w:id="253"/>
    <w:p>
      <w:pPr>
        <w:ind w:left="680" w:hanging="240"/>
        <w:spacing w:after="0"/>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reference to any Party to this Agreement or another agreement or document includes the Party’s successors and assigns.</w:t>
      </w:r>
    </w:p>
    <w:p>
      <w:pPr>
        <w:spacing w:after="0" w:line="90" w:lineRule="exact"/>
        <w:rPr>
          <w:rFonts w:ascii="Arial" w:cs="Arial" w:eastAsia="Arial" w:hAnsi="Arial"/>
          <w:sz w:val="18"/>
          <w:szCs w:val="18"/>
          <w:color w:val="auto"/>
        </w:rPr>
      </w:pPr>
    </w:p>
    <w:p>
      <w:pPr>
        <w:ind w:right="160" w:firstLine="440"/>
        <w:spacing w:after="0" w:line="264" w:lineRule="auto"/>
        <w:tabs>
          <w:tab w:leader="none" w:pos="68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article, section, subsection and schedule references are to this Agreement unless otherwise specified.</w:t>
      </w:r>
    </w:p>
    <w:p>
      <w:pPr>
        <w:spacing w:after="0" w:line="46" w:lineRule="exact"/>
        <w:rPr>
          <w:rFonts w:ascii="Arial" w:cs="Arial" w:eastAsia="Arial" w:hAnsi="Arial"/>
          <w:sz w:val="18"/>
          <w:szCs w:val="18"/>
          <w:color w:val="auto"/>
        </w:rPr>
      </w:pPr>
    </w:p>
    <w:p>
      <w:pPr>
        <w:ind w:left="680" w:hanging="240"/>
        <w:spacing w:after="0"/>
        <w:tabs>
          <w:tab w:leader="none" w:pos="6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words “including,” “include,” “includes” and all variations thereof shall mean “including without limitation.”</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word “or” shall have the inclusive meaning represented by the phrase “and/or.”</w:t>
      </w:r>
    </w:p>
    <w:p>
      <w:pPr>
        <w:spacing w:after="0" w:line="90" w:lineRule="exact"/>
        <w:rPr>
          <w:rFonts w:ascii="Arial" w:cs="Arial" w:eastAsia="Arial" w:hAnsi="Arial"/>
          <w:sz w:val="18"/>
          <w:szCs w:val="18"/>
          <w:color w:val="auto"/>
        </w:rPr>
      </w:pPr>
    </w:p>
    <w:p>
      <w:pPr>
        <w:ind w:left="700" w:hanging="260"/>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words “shall” and “will” have equal force and effect.</w:t>
      </w:r>
    </w:p>
    <w:p>
      <w:pPr>
        <w:spacing w:after="0" w:line="90" w:lineRule="exact"/>
        <w:rPr>
          <w:rFonts w:ascii="Arial" w:cs="Arial" w:eastAsia="Arial" w:hAnsi="Arial"/>
          <w:sz w:val="18"/>
          <w:szCs w:val="18"/>
          <w:color w:val="auto"/>
        </w:rPr>
      </w:pPr>
    </w:p>
    <w:p>
      <w:pPr>
        <w:ind w:left="700" w:hanging="260"/>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schedules identified in this Agreement are incorporated herein by reference and made a part of this Agreement.</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References to “$” or to “dollars” shall mean the lawful currency of the United States of America.</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Environmental Indemnification</w:t>
      </w:r>
      <w:r>
        <w:rPr>
          <w:rFonts w:ascii="Arial" w:cs="Arial" w:eastAsia="Arial" w:hAnsi="Arial"/>
          <w:sz w:val="18"/>
          <w:szCs w:val="18"/>
          <w:color w:val="auto"/>
        </w:rPr>
        <w:t>.</w:t>
      </w:r>
    </w:p>
    <w:p>
      <w:pPr>
        <w:spacing w:after="0" w:line="90" w:lineRule="exact"/>
        <w:rPr>
          <w:sz w:val="20"/>
          <w:szCs w:val="20"/>
          <w:color w:val="auto"/>
        </w:rPr>
      </w:pPr>
    </w:p>
    <w:p>
      <w:pPr>
        <w:ind w:firstLine="440"/>
        <w:spacing w:after="0" w:line="277" w:lineRule="auto"/>
        <w:tabs>
          <w:tab w:leader="none" w:pos="67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of QEP and Field Services, jointly and severally, shall indemnify, defend and hold harmless each Group Member from and against any Losses suffered or incurred by such Group Member, directly or indirectly, by reason of or arising out of:</w:t>
      </w:r>
    </w:p>
    <w:p>
      <w:pPr>
        <w:spacing w:after="0" w:line="35" w:lineRule="exact"/>
        <w:rPr>
          <w:rFonts w:ascii="Arial" w:cs="Arial" w:eastAsia="Arial" w:hAnsi="Arial"/>
          <w:sz w:val="18"/>
          <w:szCs w:val="18"/>
          <w:color w:val="auto"/>
        </w:rPr>
      </w:pPr>
    </w:p>
    <w:p>
      <w:pPr>
        <w:ind w:left="1100" w:hanging="214"/>
        <w:spacing w:after="0"/>
        <w:tabs>
          <w:tab w:leader="none" w:pos="110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any violation of Environmental Laws as in effect prior to the Closing Date and such violation commenced, occurred or existed before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Closing Date;</w:t>
      </w:r>
    </w:p>
    <w:p>
      <w:pPr>
        <w:spacing w:after="0" w:line="75" w:lineRule="exact"/>
        <w:rPr>
          <w:rFonts w:ascii="Arial" w:cs="Arial" w:eastAsia="Arial" w:hAnsi="Arial"/>
          <w:sz w:val="17"/>
          <w:szCs w:val="17"/>
          <w:color w:val="auto"/>
        </w:rPr>
      </w:pPr>
    </w:p>
    <w:p>
      <w:pPr>
        <w:ind w:right="320" w:firstLine="886"/>
        <w:spacing w:after="0" w:line="293" w:lineRule="auto"/>
        <w:tabs>
          <w:tab w:leader="none" w:pos="1143"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any environmental event, condition or matter associated with or arising from the ownership or operation of the Assets that commenced, occurred or existed before the Closing Date (including the presence of Hazardous Substances on, under, about or migrating to or from the Assets or the disposal or the release of Hazardous Substances generated by operation of the Assets at non-Asset locations), including (A) the cost and expense of any investigation, assessment, evaluation, monitoring, containment, cleanup, repair, restoration, remediation, risk-based closure activities, or other corrective action required or necessary under Environmental Laws and (B) the cost and expense of the preparation and implementation of any closure, remedial, corrective action, or other plans required or necessary under Environmental Laws as in effect prior to the Closing Date; and</w:t>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882" w:right="339" w:bottom="1440" w:gutter="0" w:footer="0" w:header="0"/>
        </w:sectPr>
      </w:pPr>
    </w:p>
    <w:bookmarkStart w:id="254" w:name="page255"/>
    <w:bookmarkEnd w:id="254"/>
    <w:p>
      <w:pPr>
        <w:ind w:right="140" w:firstLine="886"/>
        <w:spacing w:after="0" w:line="264" w:lineRule="auto"/>
        <w:tabs>
          <w:tab w:leader="none" w:pos="119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environmental event, condition or matter associated with or arising from the Retained Assets, whether occurring before, on or after the Closing Date and whether occurring under Environmental Laws as in effect prior to, at or after the Closing Date (clauses (i), (ii) and (iii) being referred to collectively as “</w:t>
      </w:r>
      <w:r>
        <w:rPr>
          <w:rFonts w:ascii="Arial" w:cs="Arial" w:eastAsia="Arial" w:hAnsi="Arial"/>
          <w:sz w:val="18"/>
          <w:szCs w:val="18"/>
          <w:b w:val="1"/>
          <w:bCs w:val="1"/>
          <w:color w:val="auto"/>
        </w:rPr>
        <w:t>Covered Environmental Losses</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QEP and Field Services will be obligated to indemnify such Group Member for a Covered Environmental Loss described in</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u w:val="single" w:color="auto"/>
          <w:color w:val="auto"/>
        </w:rPr>
        <w:t>Section 2.1(a)(i)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2.1(a)(ii)</w:t>
      </w:r>
      <w:r>
        <w:rPr>
          <w:rFonts w:ascii="Arial" w:cs="Arial" w:eastAsia="Arial" w:hAnsi="Arial"/>
          <w:sz w:val="18"/>
          <w:szCs w:val="18"/>
          <w:color w:val="auto"/>
        </w:rPr>
        <w:t xml:space="preserve"> only to the extent that QEP is notified in writing of such violation, event, condition or environmental matter prior to the Identification Deadline.</w:t>
      </w:r>
    </w:p>
    <w:p>
      <w:pPr>
        <w:spacing w:after="0" w:line="130" w:lineRule="exact"/>
        <w:rPr>
          <w:sz w:val="20"/>
          <w:szCs w:val="20"/>
          <w:color w:val="auto"/>
        </w:rPr>
      </w:pPr>
    </w:p>
    <w:p>
      <w:pPr>
        <w:ind w:right="100" w:firstLine="440"/>
        <w:spacing w:after="0" w:line="277" w:lineRule="auto"/>
        <w:tabs>
          <w:tab w:leader="none" w:pos="6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Partnership shall indemnify, defend and hold harmless QEP and Field Services from and against any Losses suffered or incurred by any of the QEP Entities, directly or indirectly, by reason of or arising out of:</w:t>
      </w:r>
    </w:p>
    <w:p>
      <w:pPr>
        <w:spacing w:after="0" w:line="35" w:lineRule="exact"/>
        <w:rPr>
          <w:rFonts w:ascii="Arial" w:cs="Arial" w:eastAsia="Arial" w:hAnsi="Arial"/>
          <w:sz w:val="18"/>
          <w:szCs w:val="18"/>
          <w:color w:val="auto"/>
        </w:rPr>
      </w:pPr>
    </w:p>
    <w:p>
      <w:pPr>
        <w:ind w:right="680" w:firstLine="886"/>
        <w:spacing w:after="0" w:line="277" w:lineRule="auto"/>
        <w:tabs>
          <w:tab w:leader="none" w:pos="109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violation of Environmental Laws as in effect on or after the Closing Date and such violation is associated with or arises from the ownership or operation of the Assets on or after the Closing Date; and</w:t>
      </w:r>
    </w:p>
    <w:p>
      <w:pPr>
        <w:spacing w:after="0" w:line="35" w:lineRule="exact"/>
        <w:rPr>
          <w:rFonts w:ascii="Arial" w:cs="Arial" w:eastAsia="Arial" w:hAnsi="Arial"/>
          <w:sz w:val="18"/>
          <w:szCs w:val="18"/>
          <w:color w:val="auto"/>
        </w:rPr>
      </w:pPr>
    </w:p>
    <w:p>
      <w:pPr>
        <w:ind w:right="40" w:firstLine="886"/>
        <w:spacing w:after="0" w:line="273" w:lineRule="auto"/>
        <w:tabs>
          <w:tab w:leader="none" w:pos="1143"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any environmental event, condition or matter associated with or arising from the ownership or operation of the Assets on or after the Closing Date (including the presence of Hazardous Substances on, under, about or migrating to or from the Assets or the disposal or the release of Hazardous Substances generated by operation of the Assets at Asset locations) including (A) the cost and expense of any investigation, assessment, evaluation, monitoring, containment, cleanup, repair, restoration, remediation, risk-based closure activities, or other corrective action required or necessary under Environmental Laws in effect on or after the Closing Date, and (B) the cost or expense of the preparation and implementation of any closure, remedial, corrective action, or other plans required or necessary under Environmental Laws as in effect on or after the Closing Date;</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and regardless of whether such violation under </w:t>
      </w:r>
      <w:r>
        <w:rPr>
          <w:rFonts w:ascii="Arial" w:cs="Arial" w:eastAsia="Arial" w:hAnsi="Arial"/>
          <w:sz w:val="18"/>
          <w:szCs w:val="18"/>
          <w:u w:val="single" w:color="auto"/>
          <w:color w:val="auto"/>
        </w:rPr>
        <w:t>Section 2.1(b)(i)</w:t>
      </w:r>
      <w:r>
        <w:rPr>
          <w:rFonts w:ascii="Arial" w:cs="Arial" w:eastAsia="Arial" w:hAnsi="Arial"/>
          <w:sz w:val="18"/>
          <w:szCs w:val="18"/>
          <w:color w:val="auto"/>
        </w:rPr>
        <w:t xml:space="preserve"> or such environmental event, condition or matter included under </w:t>
      </w:r>
      <w:r>
        <w:rPr>
          <w:rFonts w:ascii="Arial" w:cs="Arial" w:eastAsia="Arial" w:hAnsi="Arial"/>
          <w:sz w:val="18"/>
          <w:szCs w:val="18"/>
          <w:u w:val="single" w:color="auto"/>
          <w:color w:val="auto"/>
        </w:rPr>
        <w:t>Section 2.1(b)(ii)</w:t>
      </w:r>
      <w:r>
        <w:rPr>
          <w:rFonts w:ascii="Arial" w:cs="Arial" w:eastAsia="Arial" w:hAnsi="Arial"/>
          <w:sz w:val="18"/>
          <w:szCs w:val="18"/>
          <w:color w:val="auto"/>
        </w:rPr>
        <w:t xml:space="preserve"> occurred before or after the Closing Date, in each case, to the extent that any of the foregoing are not Covered Environmental Losses (without giving effect to the Environmental Deductible).</w:t>
      </w:r>
    </w:p>
    <w:p>
      <w:pPr>
        <w:spacing w:after="0" w:line="127"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Right of Way Indemnification</w:t>
      </w:r>
      <w:r>
        <w:rPr>
          <w:rFonts w:ascii="Arial" w:cs="Arial" w:eastAsia="Arial" w:hAnsi="Arial"/>
          <w:sz w:val="16"/>
          <w:szCs w:val="16"/>
          <w:color w:val="auto"/>
        </w:rPr>
        <w:t>. Each of QEP and Field Services, jointly and severally, shall indemnify, defend and hold harmless each Group Member from and against any Losses suffered or incurred by such Group Member by reason of or arising out of (a) the failure of such Group Member to be the owner of such valid and indefeasible easement rights or fee ownership or leasehold interests in and to the lands on which any of the Assets conveyed or contributed to such Group Member on the Closing Date is located as of the Closing Date, and such failure renders such Group Member liable to a third party or unable to use or operate the Assets in substantially the same manner that the Assets were used and operated as of immediately prior to the Closing Date;</w:t>
      </w:r>
    </w:p>
    <w:p>
      <w:pPr>
        <w:spacing w:after="0" w:line="2" w:lineRule="exact"/>
        <w:rPr>
          <w:sz w:val="20"/>
          <w:szCs w:val="20"/>
          <w:color w:val="auto"/>
        </w:rPr>
      </w:pPr>
    </w:p>
    <w:p>
      <w:pPr>
        <w:jc w:val="both"/>
        <w:ind w:firstLine="8"/>
        <w:spacing w:after="0" w:line="254" w:lineRule="auto"/>
        <w:tabs>
          <w:tab w:leader="none" w:pos="2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failure of such Group Member to have the consents, licenses and permits necessary to allow (1) any pipeline included in the Assets to cross the roads, waterways, railroads and other areas upon which any such pipeline is located as of the Closing Date, or (2) the transfer of any of the Assets to the Partnership Group, in each case, where such failure renders the Partnership Group liable to a third party or unable to use or operate the Assets in substantially the same manner that the Assets were used and operated as of</w:t>
      </w:r>
    </w:p>
    <w:p>
      <w:pPr>
        <w:spacing w:after="0" w:line="13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882" w:right="319" w:bottom="1440" w:gutter="0" w:footer="0" w:header="0"/>
        </w:sectPr>
      </w:pPr>
    </w:p>
    <w:bookmarkStart w:id="255" w:name="page256"/>
    <w:bookmarkEnd w:id="255"/>
    <w:p>
      <w:pPr>
        <w:ind w:right="20"/>
        <w:spacing w:after="0" w:line="264" w:lineRule="auto"/>
        <w:rPr>
          <w:sz w:val="20"/>
          <w:szCs w:val="20"/>
          <w:color w:val="auto"/>
        </w:rPr>
      </w:pPr>
      <w:r>
        <w:rPr>
          <w:rFonts w:ascii="Arial" w:cs="Arial" w:eastAsia="Arial" w:hAnsi="Arial"/>
          <w:sz w:val="18"/>
          <w:szCs w:val="18"/>
          <w:color w:val="auto"/>
        </w:rPr>
        <w:t xml:space="preserve">immediately prior to the Closing Date; and (c) the cost of curing any condition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that does not allow any Asset to be operated in accordance with prudent industry practice, in each case to the extent that QEP and Field Services are notified in writing of any of the foregoing prior to the Identification Deadline.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Additional Indemnification</w:t>
      </w:r>
      <w:r>
        <w:rPr>
          <w:rFonts w:ascii="Arial" w:cs="Arial" w:eastAsia="Arial" w:hAnsi="Arial"/>
          <w:sz w:val="18"/>
          <w:szCs w:val="18"/>
          <w:color w:val="auto"/>
        </w:rPr>
        <w:t>.</w:t>
      </w:r>
    </w:p>
    <w:p>
      <w:pPr>
        <w:spacing w:after="0" w:line="90" w:lineRule="exact"/>
        <w:rPr>
          <w:sz w:val="20"/>
          <w:szCs w:val="20"/>
          <w:color w:val="auto"/>
        </w:rPr>
      </w:pPr>
    </w:p>
    <w:p>
      <w:pPr>
        <w:ind w:right="60" w:firstLine="440"/>
        <w:spacing w:after="0" w:line="277" w:lineRule="auto"/>
        <w:tabs>
          <w:tab w:leader="none" w:pos="6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of QEP and Field Services, jointly and severally, shall indemnify, defend, and hold harmless each Group Member from and against any Losses suffered or incurred by such Group Member by reason of or arising out of:</w:t>
      </w:r>
    </w:p>
    <w:p>
      <w:pPr>
        <w:spacing w:after="0" w:line="35" w:lineRule="exact"/>
        <w:rPr>
          <w:rFonts w:ascii="Arial" w:cs="Arial" w:eastAsia="Arial" w:hAnsi="Arial"/>
          <w:sz w:val="18"/>
          <w:szCs w:val="18"/>
          <w:color w:val="auto"/>
        </w:rPr>
      </w:pPr>
    </w:p>
    <w:p>
      <w:pPr>
        <w:jc w:val="both"/>
        <w:ind w:right="100" w:firstLine="886"/>
        <w:spacing w:after="0" w:line="264" w:lineRule="auto"/>
        <w:tabs>
          <w:tab w:leader="none" w:pos="109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the consummation of the transactions contemplated by the Contribution Agreement. For the avoidance of doubt, the Parties agree that, subject to the qualifications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each Group Member shall be entitled to indemnification by QEP and Field Services under this </w:t>
      </w:r>
      <w:r>
        <w:rPr>
          <w:rFonts w:ascii="Arial" w:cs="Arial" w:eastAsia="Arial" w:hAnsi="Arial"/>
          <w:sz w:val="18"/>
          <w:szCs w:val="18"/>
          <w:u w:val="single" w:color="auto"/>
          <w:color w:val="auto"/>
        </w:rPr>
        <w:t>Section 2.3(a)(i)</w:t>
      </w:r>
      <w:r>
        <w:rPr>
          <w:rFonts w:ascii="Arial" w:cs="Arial" w:eastAsia="Arial" w:hAnsi="Arial"/>
          <w:sz w:val="18"/>
          <w:szCs w:val="18"/>
          <w:color w:val="auto"/>
        </w:rPr>
        <w:t xml:space="preserve"> for those litigation matters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46" w:lineRule="exact"/>
        <w:rPr>
          <w:rFonts w:ascii="Arial" w:cs="Arial" w:eastAsia="Arial" w:hAnsi="Arial"/>
          <w:sz w:val="18"/>
          <w:szCs w:val="18"/>
          <w:color w:val="auto"/>
        </w:rPr>
      </w:pPr>
    </w:p>
    <w:p>
      <w:pPr>
        <w:ind w:left="1160" w:hanging="274"/>
        <w:spacing w:after="0"/>
        <w:tabs>
          <w:tab w:leader="none" w:pos="11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events and conditions associated with the Retained Assets, whether occurring before, on or after the Closing Date;</w:t>
      </w:r>
    </w:p>
    <w:p>
      <w:pPr>
        <w:spacing w:after="0" w:line="90" w:lineRule="exact"/>
        <w:rPr>
          <w:rFonts w:ascii="Arial" w:cs="Arial" w:eastAsia="Arial" w:hAnsi="Arial"/>
          <w:sz w:val="18"/>
          <w:szCs w:val="18"/>
          <w:color w:val="auto"/>
        </w:rPr>
      </w:pPr>
    </w:p>
    <w:p>
      <w:pPr>
        <w:ind w:right="80" w:firstLine="886"/>
        <w:spacing w:after="0" w:line="259" w:lineRule="auto"/>
        <w:tabs>
          <w:tab w:leader="none" w:pos="119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federal, state and local tax liabilities attributable to the ownership or operation of the Assets on or prior to the Closing Date, including under Treasury Regulation Section 1.1502-6, as it may be amended (or any similar provision of state or local law), and any such tax liabilities that may result from the consummation of the formation transactions for the Partnership Group and the General Partner occurring prior to the Closing Date or from the consummation of the transactions contemplated by the Contribution Agreement;</w:t>
      </w:r>
    </w:p>
    <w:p>
      <w:pPr>
        <w:spacing w:after="0" w:line="51" w:lineRule="exact"/>
        <w:rPr>
          <w:rFonts w:ascii="Arial" w:cs="Arial" w:eastAsia="Arial" w:hAnsi="Arial"/>
          <w:sz w:val="18"/>
          <w:szCs w:val="18"/>
          <w:color w:val="auto"/>
        </w:rPr>
      </w:pPr>
    </w:p>
    <w:p>
      <w:pPr>
        <w:ind w:right="300" w:firstLine="886"/>
        <w:spacing w:after="0" w:line="334" w:lineRule="auto"/>
        <w:tabs>
          <w:tab w:leader="none" w:pos="1183"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the failure of any Group Member to have on the Closing Date any consent, license, permit or approval necessary to allow such Group Member to own or operate the Assets in substantially the same manner that the Assets were owned or operated immediately prior to the Closing Date; and</w:t>
      </w:r>
    </w:p>
    <w:p>
      <w:pPr>
        <w:spacing w:after="0" w:line="1" w:lineRule="exact"/>
        <w:rPr>
          <w:rFonts w:ascii="Arial" w:cs="Arial" w:eastAsia="Arial" w:hAnsi="Arial"/>
          <w:sz w:val="16"/>
          <w:szCs w:val="16"/>
          <w:color w:val="auto"/>
        </w:rPr>
      </w:pPr>
    </w:p>
    <w:p>
      <w:pPr>
        <w:ind w:firstLine="886"/>
        <w:spacing w:after="0" w:line="290" w:lineRule="auto"/>
        <w:tabs>
          <w:tab w:leader="none" w:pos="1133"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events and conditions in the ordinary course of business that result in the release of a Hazardous Substance from, or failures in the integrity of, the Mesa Condensate Trunk Line, including any cost and expense incurred by a Group Member with respect to any investigation, assessment, evaluation, monitoring, containment, cleanup, repair, restoration, replacement, remediation, risk-based closure activities, or other corrective action required or necessary pursuant to (A) applicable laws, including Environmental Laws, or (B) the Partnership’s good faith determination as a reasonably prudent operator;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events or conditions that resulted in the release of a Hazardous Substance from, or caused a failure in the integrity of, the Mesa Condensate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Trunk Line commenced, occurred or existed prior to the Identification Deadline;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indemnification provided by QEP and Field Services in this </w:t>
      </w:r>
      <w:r>
        <w:rPr>
          <w:rFonts w:ascii="Arial" w:cs="Arial" w:eastAsia="Arial" w:hAnsi="Arial"/>
          <w:sz w:val="16"/>
          <w:szCs w:val="16"/>
          <w:u w:val="single" w:color="auto"/>
          <w:color w:val="auto"/>
        </w:rPr>
        <w:t>Section 2.3(a)(v)</w:t>
      </w:r>
      <w:r>
        <w:rPr>
          <w:rFonts w:ascii="Arial" w:cs="Arial" w:eastAsia="Arial" w:hAnsi="Arial"/>
          <w:sz w:val="16"/>
          <w:szCs w:val="16"/>
          <w:color w:val="auto"/>
        </w:rPr>
        <w:t xml:space="preserve"> shall terminate upon the earlier of (X) the Identification Deadline and (Y) in the event that QEP or Field Services elects, in their sole discretion, to replace the Mesa Condensate Trunk Line in its entirety, the date of such replacement.</w:t>
      </w:r>
    </w:p>
    <w:p>
      <w:pPr>
        <w:spacing w:after="0" w:line="3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62" w:right="239" w:bottom="1440" w:gutter="0" w:footer="0" w:header="0"/>
        </w:sectPr>
      </w:pPr>
    </w:p>
    <w:bookmarkStart w:id="256" w:name="page257"/>
    <w:bookmarkEnd w:id="256"/>
    <w:p>
      <w:pPr>
        <w:ind w:left="-440" w:firstLine="440"/>
        <w:spacing w:after="0" w:line="302" w:lineRule="auto"/>
        <w:tabs>
          <w:tab w:leader="none" w:pos="2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The Partnership shall indemnify, defend, and hold harmless QEP and Field Services from and against any Losses suffered or incurred by any of the QEP Entities by reason of or arising out of events and conditions to the extent associated with the ownership or operation of the Assets and occurring after the Closing Date (other than Covered Environmental Losses which are provided for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Losses for which the Partnership is indemnifying QEP under </w:t>
      </w:r>
      <w:r>
        <w:rPr>
          <w:rFonts w:ascii="Arial" w:cs="Arial" w:eastAsia="Arial" w:hAnsi="Arial"/>
          <w:sz w:val="16"/>
          <w:szCs w:val="16"/>
          <w:u w:val="single" w:color="auto"/>
          <w:color w:val="auto"/>
        </w:rPr>
        <w:t>Section 2.1(b)</w:t>
      </w:r>
      <w:r>
        <w:rPr>
          <w:rFonts w:ascii="Arial" w:cs="Arial" w:eastAsia="Arial" w:hAnsi="Arial"/>
          <w:sz w:val="16"/>
          <w:szCs w:val="16"/>
          <w:color w:val="auto"/>
        </w:rPr>
        <w:t>), unless such indemnification would not be permitted by any Group Member under the Partnership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90" w:lineRule="exact"/>
        <w:rPr>
          <w:sz w:val="20"/>
          <w:szCs w:val="20"/>
          <w:color w:val="auto"/>
        </w:rPr>
      </w:pPr>
    </w:p>
    <w:p>
      <w:pPr>
        <w:ind w:left="-440" w:right="40" w:firstLine="440"/>
        <w:spacing w:after="0" w:line="308" w:lineRule="auto"/>
        <w:tabs>
          <w:tab w:leader="none" w:pos="23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The Indemnified Party agrees that within a reasonable period of time after it becomes aware of facts giving rise to a claim for indemnification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it will provide notice thereof in writing to the Indemnifying Party, specifying the nature of and specific basis for such claim.</w:t>
      </w:r>
    </w:p>
    <w:p>
      <w:pPr>
        <w:spacing w:after="0" w:line="11" w:lineRule="exact"/>
        <w:rPr>
          <w:rFonts w:ascii="Arial" w:cs="Arial" w:eastAsia="Arial" w:hAnsi="Arial"/>
          <w:sz w:val="17"/>
          <w:szCs w:val="17"/>
          <w:color w:val="auto"/>
        </w:rPr>
      </w:pPr>
    </w:p>
    <w:p>
      <w:pPr>
        <w:ind w:left="-440" w:right="40" w:firstLine="440"/>
        <w:spacing w:after="0" w:line="273" w:lineRule="auto"/>
        <w:tabs>
          <w:tab w:leader="none" w:pos="24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The Indemnifying Party shall have the right to control all aspects of the defense of (and any counterclaims with respect to) any claims brought against the Indemnified Party that are covered by the indemnification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without limitation, the selection of counsel, determination of whether to appeal any decision of any court and the settling of any such claim or any matter or any issues relating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settlement for only the payment of money shall be entered into without the consent of the Indemnified Party unless it includes a full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release of the Indemnified Party from such claim;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settlement containing any form of injunctive or similar relief shall be entered into without the prior written consent of the Indemnified Party, which consent shall not be unreasonably delayed or withheld.</w:t>
      </w:r>
    </w:p>
    <w:p>
      <w:pPr>
        <w:spacing w:after="0" w:line="43" w:lineRule="exact"/>
        <w:rPr>
          <w:rFonts w:ascii="Arial" w:cs="Arial" w:eastAsia="Arial" w:hAnsi="Arial"/>
          <w:sz w:val="17"/>
          <w:szCs w:val="17"/>
          <w:color w:val="auto"/>
        </w:rPr>
      </w:pPr>
    </w:p>
    <w:p>
      <w:pPr>
        <w:ind w:left="-440" w:right="20" w:firstLine="440"/>
        <w:spacing w:after="0" w:line="286" w:lineRule="auto"/>
        <w:tabs>
          <w:tab w:leader="none" w:pos="237"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The Indemnified Party agrees to cooperate in good faith and in a commercially reasonable manner with the Indemnifying Party, with respect to all aspects of the defense of and pursuit of any counterclaims with respect to any claims covered by the indemnification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including, without limitation, the prompt furnishing to the Indemnifying Party of any correspondence or other notice relating thereto that the Indemnified Party may receive, permitting the name of the Indemnified Party to be utilized in connection with such defense and counterclaims, the making available to the Indemnifying Party of any files, records or other information of the Indemnified Party that the Indemnifying Party considers relevant to such defense and counterclaims, the making available to the Indemnifying Party of any employees of the Indemnified Party and the granting to the Indemnifying Party of reasonable access rights to the properties and facilities of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connection therewith the Indemnifying Party agrees to use reasonable efforts to minimize the impact thereof on the operations of the Indemnified Party and further agrees to maintain the confidentiality of all files, records, and other information furnished by the Indemnified Party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obligation of the Indemnified Party to cooperate with the Indemnifying Party as set forth in the immediately preceding sentence shall not be construed as imposing upon the Indemnified Party an obligation to hire and pay for counsel in connection with the defense of and pursuit of any counterclaims with respect to any claims covered by the indemnification set forth in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Indemnified Party may, at its own option, cost and expense, hire and pay for counsel in connection with any such defense and counterclaims. The Indemnifying Party agrees to keep any such counsel hired by the Indemnified Party informed as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680" w:top="882" w:right="259" w:bottom="1440" w:gutter="0" w:footer="0" w:header="0"/>
        </w:sectPr>
      </w:pPr>
    </w:p>
    <w:bookmarkStart w:id="257" w:name="page258"/>
    <w:bookmarkEnd w:id="257"/>
    <w:p>
      <w:pPr>
        <w:spacing w:after="0" w:line="277" w:lineRule="auto"/>
        <w:rPr>
          <w:sz w:val="20"/>
          <w:szCs w:val="20"/>
          <w:color w:val="auto"/>
        </w:rPr>
      </w:pPr>
      <w:r>
        <w:rPr>
          <w:rFonts w:ascii="Arial" w:cs="Arial" w:eastAsia="Arial" w:hAnsi="Arial"/>
          <w:sz w:val="18"/>
          <w:szCs w:val="18"/>
          <w:color w:val="auto"/>
        </w:rPr>
        <w:t>to the status of any such defense or counterclaim, but the Indemnifying Party shall have the right to retain sole control over such defense and counterclaims so long as the Indemnified Party is still seeking indemnification hereunder.</w:t>
      </w:r>
    </w:p>
    <w:p>
      <w:pPr>
        <w:spacing w:after="0" w:line="35" w:lineRule="exact"/>
        <w:rPr>
          <w:sz w:val="20"/>
          <w:szCs w:val="20"/>
          <w:color w:val="auto"/>
        </w:rPr>
      </w:pPr>
    </w:p>
    <w:p>
      <w:pPr>
        <w:ind w:firstLine="440"/>
        <w:spacing w:after="0" w:line="259" w:lineRule="auto"/>
        <w:tabs>
          <w:tab w:leader="none" w:pos="68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determining the amount of any loss, cost, damage or expense for which the Indemnified Party is entitled to indemnification under this Agreement, the gross amount of the indemnification will be reduced by (i) any insurance proceeds realized by the Indemnified Party, and such correlative insurance benefit shall be net of any incremental insurance premium that becomes due and payable by the Indemnified Party as a result of such claim and (ii) all amounts recovered by the Indemnified Party under contractual indemnities from third Persons.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Limitations Regarding Indemnification</w:t>
      </w:r>
      <w:r>
        <w:rPr>
          <w:rFonts w:ascii="Arial" w:cs="Arial" w:eastAsia="Arial" w:hAnsi="Arial"/>
          <w:sz w:val="18"/>
          <w:szCs w:val="18"/>
          <w:color w:val="auto"/>
        </w:rPr>
        <w:t>.</w:t>
      </w:r>
    </w:p>
    <w:p>
      <w:pPr>
        <w:spacing w:after="0" w:line="90" w:lineRule="exact"/>
        <w:rPr>
          <w:sz w:val="20"/>
          <w:szCs w:val="20"/>
          <w:color w:val="auto"/>
        </w:rPr>
      </w:pPr>
    </w:p>
    <w:p>
      <w:pPr>
        <w:ind w:right="60" w:firstLine="440"/>
        <w:spacing w:after="0" w:line="273" w:lineRule="auto"/>
        <w:tabs>
          <w:tab w:leader="none" w:pos="67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With respect to Covered Environmental Losses under </w:t>
      </w:r>
      <w:r>
        <w:rPr>
          <w:rFonts w:ascii="Arial" w:cs="Arial" w:eastAsia="Arial" w:hAnsi="Arial"/>
          <w:sz w:val="17"/>
          <w:szCs w:val="17"/>
          <w:u w:val="single" w:color="auto"/>
          <w:color w:val="auto"/>
        </w:rPr>
        <w:t>Section 2.1(a)(i)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2.1(a)(ii)</w:t>
      </w:r>
      <w:r>
        <w:rPr>
          <w:rFonts w:ascii="Arial" w:cs="Arial" w:eastAsia="Arial" w:hAnsi="Arial"/>
          <w:sz w:val="17"/>
          <w:szCs w:val="17"/>
          <w:color w:val="auto"/>
        </w:rPr>
        <w:t xml:space="preserve"> that arise out of an event, condition or matter that is first discovered after the Closing Date, neither QEP nor Field Services shall be obligated to indemnify, defend and hold harmless any Group Member until such time as the total aggregate amount of Losses incurred by the Partnership Group for such Covered Environmental Losses exceeds $500,000 (the “</w:t>
      </w:r>
      <w:r>
        <w:rPr>
          <w:rFonts w:ascii="Arial" w:cs="Arial" w:eastAsia="Arial" w:hAnsi="Arial"/>
          <w:sz w:val="17"/>
          <w:szCs w:val="17"/>
          <w:b w:val="1"/>
          <w:bCs w:val="1"/>
          <w:color w:val="auto"/>
        </w:rPr>
        <w:t>Environmental Deductible</w:t>
      </w:r>
      <w:r>
        <w:rPr>
          <w:rFonts w:ascii="Arial" w:cs="Arial" w:eastAsia="Arial" w:hAnsi="Arial"/>
          <w:sz w:val="17"/>
          <w:szCs w:val="17"/>
          <w:color w:val="auto"/>
        </w:rPr>
        <w:t xml:space="preserve">”), at which time QEP and Field Services shall be obligated to indemnify the Partnership Group for the excess of such Covered Environmental Losses over the Environmental Deductible. For the avoidance of doubt, it is agreed that the Environmental Deductible shall not apply to any Covered Environmental Losses incurred by any Group Member attributable to those locations identified on </w:t>
      </w:r>
      <w:r>
        <w:rPr>
          <w:rFonts w:ascii="Arial" w:cs="Arial" w:eastAsia="Arial" w:hAnsi="Arial"/>
          <w:sz w:val="17"/>
          <w:szCs w:val="17"/>
          <w:u w:val="single" w:color="auto"/>
          <w:color w:val="auto"/>
        </w:rPr>
        <w:t>Schedule B</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right="160" w:firstLine="440"/>
        <w:spacing w:after="0" w:line="277" w:lineRule="auto"/>
        <w:tabs>
          <w:tab w:leader="none" w:pos="68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For the avoidance of doubt, there is no deductible or cap with respect to the indemnification owed by any Indemnifying Party under any portion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other than that described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right="120" w:firstLine="440"/>
        <w:spacing w:after="0" w:line="264" w:lineRule="auto"/>
        <w:tabs>
          <w:tab w:leader="none" w:pos="67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For the avoidance of doubt, the obligation of QEP and Field Services to indemnify any Group Member, as specified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be limited to the extent of the Losses incurred by the Partnership with respect to its direct or indirect ownership interest in such Group Member.</w:t>
      </w:r>
    </w:p>
    <w:p>
      <w:pPr>
        <w:spacing w:after="0" w:line="46" w:lineRule="exact"/>
        <w:rPr>
          <w:rFonts w:ascii="Arial" w:cs="Arial" w:eastAsia="Arial" w:hAnsi="Arial"/>
          <w:sz w:val="18"/>
          <w:szCs w:val="18"/>
          <w:color w:val="auto"/>
        </w:rPr>
      </w:pPr>
    </w:p>
    <w:p>
      <w:pPr>
        <w:ind w:right="40" w:firstLine="440"/>
        <w:spacing w:after="0" w:line="255" w:lineRule="auto"/>
        <w:tabs>
          <w:tab w:leader="none" w:pos="68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SHALL ANY PARTY’S INDEMNIFICATION OBLIGATION HEREUNDER COVER OR INCLUDE CONSEQUENTIAL, INDIRECT, INCIDENTAL, PUNITIVE, EXEMPLARY, SPECIAL OR SIMILAR DAMAGES OR LOST PROFITS (INCLUDING ANY DIMINUTION IN VALUE OF ANY PARTY’S RESPECTIVE INVESTMENT IN THE PARTNERSHIP) SUFFERED, DIRECTLY OR INDIRECTLY, BY ANY OTHER PARTY ENTITLED TO INDEMNIFICATION UNDER THIS AGREEMENT, EXCEPT AS A REIMBURSEMENT FOR ANY SUCH DAMAGES AS ARE PAID TO A GOVERNMENTAL AUTHORITY OR OTHER THIRD PARTY.</w:t>
      </w:r>
    </w:p>
    <w:p>
      <w:pPr>
        <w:spacing w:after="0" w:line="5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82" w:right="259" w:bottom="1440" w:gutter="0" w:footer="0" w:header="0"/>
        </w:sectPr>
      </w:pPr>
    </w:p>
    <w:bookmarkStart w:id="258" w:name="page259"/>
    <w:bookmarkEnd w:id="258"/>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and Administrative Services</w:t>
      </w:r>
    </w:p>
    <w:p>
      <w:pPr>
        <w:spacing w:after="0" w:line="15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QEP agrees to provide, and agrees to cause its Affiliates to provide, to the General Partner, for the Partnership Group’s benefit, the centralized general and administrative services that QEP and its Affiliates have traditionally provided in connection with the ownership and operation of the Assets, which consist of the services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(the “</w:t>
      </w:r>
      <w:r>
        <w:rPr>
          <w:rFonts w:ascii="Arial" w:cs="Arial" w:eastAsia="Arial" w:hAnsi="Arial"/>
          <w:sz w:val="18"/>
          <w:szCs w:val="18"/>
          <w:b w:val="1"/>
          <w:bCs w:val="1"/>
          <w:color w:val="auto"/>
        </w:rPr>
        <w:t>General and Administrative Services</w:t>
      </w:r>
      <w:r>
        <w:rPr>
          <w:rFonts w:ascii="Arial" w:cs="Arial" w:eastAsia="Arial" w:hAnsi="Arial"/>
          <w:sz w:val="18"/>
          <w:szCs w:val="18"/>
          <w:color w:val="auto"/>
        </w:rPr>
        <w:t>”). Absent the written agreement of the Parties to the contrary, the Parties agree that the General and Administrative Services will be received by the General Partner, for the benefit of the Partnership Group, at the General Partner’s principal place of business.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Administrative Fee</w:t>
      </w:r>
      <w:r>
        <w:rPr>
          <w:rFonts w:ascii="Arial" w:cs="Arial" w:eastAsia="Arial" w:hAnsi="Arial"/>
          <w:sz w:val="18"/>
          <w:szCs w:val="18"/>
          <w:color w:val="auto"/>
        </w:rPr>
        <w:t>.</w:t>
      </w:r>
    </w:p>
    <w:p>
      <w:pPr>
        <w:spacing w:after="0" w:line="90" w:lineRule="exact"/>
        <w:rPr>
          <w:sz w:val="20"/>
          <w:szCs w:val="20"/>
          <w:color w:val="auto"/>
        </w:rPr>
      </w:pPr>
    </w:p>
    <w:p>
      <w:pPr>
        <w:ind w:right="40" w:firstLine="440"/>
        <w:spacing w:after="0" w:line="270" w:lineRule="auto"/>
        <w:tabs>
          <w:tab w:leader="none" w:pos="677"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As consideration for QEP’s and its Affiliates’ provision of the General and Administrative Services, the Partnership Group will pay to QEP an annual fee that will reflect the costs incurred by QEP and its Affiliates in providing such General and Administrative Services (other than those costs for which QEP and its Affiliates are entitled to reimbursement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as determined in good faith by QEP in accordance with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(the “</w:t>
      </w:r>
      <w:r>
        <w:rPr>
          <w:rFonts w:ascii="Arial" w:cs="Arial" w:eastAsia="Arial" w:hAnsi="Arial"/>
          <w:sz w:val="17"/>
          <w:szCs w:val="17"/>
          <w:b w:val="1"/>
          <w:bCs w:val="1"/>
          <w:color w:val="auto"/>
        </w:rPr>
        <w:t>Administrative Fee</w:t>
      </w:r>
      <w:r>
        <w:rPr>
          <w:rFonts w:ascii="Arial" w:cs="Arial" w:eastAsia="Arial" w:hAnsi="Arial"/>
          <w:sz w:val="17"/>
          <w:szCs w:val="17"/>
          <w:color w:val="auto"/>
        </w:rPr>
        <w:t xml:space="preserve">”). The Parties acknowledge and agree that it is the intent of the Parties that the General and Administrative Services be provided based on an arm’s-length standard, and that the Administrative Fee is intended to reflect such standard. For the avoidance of doubt, the Parties further acknowledge and agree that the Administrative Fee will cover the fully burdened cost of the General and Administrative Services provided by QEP and its Affiliates to the Partnership Group, as well as any third party costs actually incurred by QEP and its Affiliates on behalf of the Partnership Group in providing such General and Administrative Services (other than those costs for which QEP and its Affiliates are entitled to reimbursement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including the following:</w:t>
      </w:r>
    </w:p>
    <w:p>
      <w:pPr>
        <w:spacing w:after="0" w:line="46" w:lineRule="exact"/>
        <w:rPr>
          <w:rFonts w:ascii="Arial" w:cs="Arial" w:eastAsia="Arial" w:hAnsi="Arial"/>
          <w:sz w:val="17"/>
          <w:szCs w:val="17"/>
          <w:color w:val="auto"/>
        </w:rPr>
      </w:pPr>
    </w:p>
    <w:p>
      <w:pPr>
        <w:ind w:firstLine="886"/>
        <w:spacing w:after="0" w:line="273" w:lineRule="auto"/>
        <w:tabs>
          <w:tab w:leader="none" w:pos="1093" w:val="left"/>
        </w:tabs>
        <w:numPr>
          <w:ilvl w:val="1"/>
          <w:numId w:val="237"/>
        </w:numPr>
        <w:rPr>
          <w:rFonts w:ascii="Arial" w:cs="Arial" w:eastAsia="Arial" w:hAnsi="Arial"/>
          <w:sz w:val="17"/>
          <w:szCs w:val="17"/>
          <w:color w:val="auto"/>
        </w:rPr>
      </w:pPr>
      <w:r>
        <w:rPr>
          <w:rFonts w:ascii="Arial" w:cs="Arial" w:eastAsia="Arial" w:hAnsi="Arial"/>
          <w:sz w:val="17"/>
          <w:szCs w:val="17"/>
          <w:color w:val="auto"/>
        </w:rPr>
        <w:t>the compensation and employee benefits of employees of QEP or its Affiliates (and any withholding or payroll taxes related thereto), to the extent, but only to the extent, such employees perform General and Administrative Services for the Partnership Group’s benefit</w:t>
      </w:r>
      <w:r>
        <w:rPr>
          <w:rFonts w:ascii="Arial" w:cs="Arial" w:eastAsia="Arial" w:hAnsi="Arial"/>
          <w:sz w:val="17"/>
          <w:szCs w:val="17"/>
          <w:i w:val="1"/>
          <w:iCs w:val="1"/>
          <w:color w:val="auto"/>
        </w:rPr>
        <w:t>.</w:t>
      </w:r>
      <w:r>
        <w:rPr>
          <w:rFonts w:ascii="Arial" w:cs="Arial" w:eastAsia="Arial" w:hAnsi="Arial"/>
          <w:sz w:val="17"/>
          <w:szCs w:val="17"/>
          <w:color w:val="auto"/>
        </w:rPr>
        <w:t xml:space="preserve"> For the avoidance of doubt, the Administrative Fee shall include any withholding and payroll related taxes paid by QEP and its Affiliates in connection with any long-term incentive plan of the General Partner or the Partnership Group. With respect to employees that do not devote all of their business time to the Partnership Group, such compensation and employee benefits (and any withholding or payroll taxes related thereto) shall be allocated to the Partnership Group based on the annual weighted average of time spent and number of employees devoting services to the Partnership Group;</w:t>
      </w:r>
    </w:p>
    <w:p>
      <w:pPr>
        <w:spacing w:after="0" w:line="43" w:lineRule="exact"/>
        <w:rPr>
          <w:rFonts w:ascii="Arial" w:cs="Arial" w:eastAsia="Arial" w:hAnsi="Arial"/>
          <w:sz w:val="17"/>
          <w:szCs w:val="17"/>
          <w:color w:val="auto"/>
        </w:rPr>
      </w:pPr>
    </w:p>
    <w:p>
      <w:pPr>
        <w:ind w:right="160" w:firstLine="886"/>
        <w:spacing w:after="0" w:line="277" w:lineRule="auto"/>
        <w:tabs>
          <w:tab w:leader="none" w:pos="114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any expenses incurred or payments made by QEP or its Affiliates on behalf of the Partnership Group for insurance coverage with respect to the Assets or the business of the Partnership Group;</w:t>
      </w:r>
    </w:p>
    <w:p>
      <w:pPr>
        <w:spacing w:after="0" w:line="35" w:lineRule="exact"/>
        <w:rPr>
          <w:rFonts w:ascii="Arial" w:cs="Arial" w:eastAsia="Arial" w:hAnsi="Arial"/>
          <w:sz w:val="18"/>
          <w:szCs w:val="18"/>
          <w:color w:val="auto"/>
        </w:rPr>
      </w:pPr>
    </w:p>
    <w:p>
      <w:pPr>
        <w:ind w:right="60" w:firstLine="886"/>
        <w:spacing w:after="0" w:line="302" w:lineRule="auto"/>
        <w:tabs>
          <w:tab w:leader="none" w:pos="1193" w:val="left"/>
        </w:tabs>
        <w:numPr>
          <w:ilvl w:val="1"/>
          <w:numId w:val="237"/>
        </w:numPr>
        <w:rPr>
          <w:rFonts w:ascii="Arial" w:cs="Arial" w:eastAsia="Arial" w:hAnsi="Arial"/>
          <w:sz w:val="16"/>
          <w:szCs w:val="16"/>
          <w:color w:val="auto"/>
        </w:rPr>
      </w:pPr>
      <w:r>
        <w:rPr>
          <w:rFonts w:ascii="Arial" w:cs="Arial" w:eastAsia="Arial" w:hAnsi="Arial"/>
          <w:sz w:val="16"/>
          <w:szCs w:val="16"/>
          <w:color w:val="auto"/>
        </w:rPr>
        <w:t>all expenses and expenditures incurred by QEP or its Affiliates on behalf of the Partnership Group as a result of the Partnership becoming and continuing as a publicly traded entity, including, but not limited to, costs associated with annual, quarterly and current reporting; tax return and Schedule K-1 preparation and distribution expenses; Sarbanes-Oxley compliance expenses; expenses associated with listing on the NYSE; independent auditor fees; legal fees; investor relations expenses; registrar and transfer agent fees, outside director fees and director and officer insurance expenses; and</w:t>
      </w:r>
    </w:p>
    <w:p>
      <w:pPr>
        <w:spacing w:after="0" w:line="1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878" w:right="299" w:bottom="1440" w:gutter="0" w:footer="0" w:header="0"/>
        </w:sectPr>
      </w:pPr>
    </w:p>
    <w:bookmarkStart w:id="259" w:name="page260"/>
    <w:bookmarkEnd w:id="259"/>
    <w:p>
      <w:pPr>
        <w:ind w:left="-440" w:right="160" w:firstLine="886"/>
        <w:spacing w:after="0" w:line="277" w:lineRule="auto"/>
        <w:tabs>
          <w:tab w:leader="none" w:pos="74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all sales, use, excise, value added or similar taxes, if any, that may be applicable from time to time with respect to the services provided by QEP and its Affiliates to the Partnership Group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440" w:right="20" w:firstLine="440"/>
        <w:spacing w:after="0" w:line="308" w:lineRule="auto"/>
        <w:tabs>
          <w:tab w:leader="none" w:pos="24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As part of the Administrative Fee, the Partnership Group shall pay to QEP a fixed fee, in the amount shown on </w:t>
      </w:r>
      <w:r>
        <w:rPr>
          <w:rFonts w:ascii="Arial" w:cs="Arial" w:eastAsia="Arial" w:hAnsi="Arial"/>
          <w:sz w:val="17"/>
          <w:szCs w:val="17"/>
          <w:u w:val="single" w:color="auto"/>
          <w:color w:val="auto"/>
        </w:rPr>
        <w:t>Schedule C</w:t>
      </w:r>
      <w:r>
        <w:rPr>
          <w:rFonts w:ascii="Arial" w:cs="Arial" w:eastAsia="Arial" w:hAnsi="Arial"/>
          <w:sz w:val="17"/>
          <w:szCs w:val="17"/>
          <w:color w:val="auto"/>
        </w:rPr>
        <w:t>, in consideration for the services of certain employees of QEP and its Affiliates in their capacities as officers of the General Partner and the Group Members.</w:t>
      </w:r>
    </w:p>
    <w:p>
      <w:pPr>
        <w:spacing w:after="0" w:line="11" w:lineRule="exact"/>
        <w:rPr>
          <w:rFonts w:ascii="Arial" w:cs="Arial" w:eastAsia="Arial" w:hAnsi="Arial"/>
          <w:sz w:val="17"/>
          <w:szCs w:val="17"/>
          <w:color w:val="auto"/>
        </w:rPr>
      </w:pPr>
    </w:p>
    <w:p>
      <w:pPr>
        <w:ind w:left="-440" w:right="100" w:firstLine="440"/>
        <w:spacing w:after="0" w:line="257" w:lineRule="auto"/>
        <w:tabs>
          <w:tab w:leader="none" w:pos="23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Parties acknowledge and agree that the Administrative Fee may change each calendar year, as determined by QEP in good faith, to accurately reflect the degree and extent of the General and Administrative Services provided to the Partnership Group and may be adjusted to reflect, among other things, the contribution, acquisition or disposition of assets to or by the Partnership Group or to reflect any change in the cost of providing General and Administrative Services to the Partnership Group due to changes in any law, rule or regulation applicable to the QEP Entities or the Partnership Group, including any interpretation of such laws, rules or regulations.</w:t>
      </w:r>
    </w:p>
    <w:p>
      <w:pPr>
        <w:spacing w:after="0" w:line="53" w:lineRule="exact"/>
        <w:rPr>
          <w:rFonts w:ascii="Arial" w:cs="Arial" w:eastAsia="Arial" w:hAnsi="Arial"/>
          <w:sz w:val="18"/>
          <w:szCs w:val="18"/>
          <w:color w:val="auto"/>
        </w:rPr>
      </w:pPr>
    </w:p>
    <w:p>
      <w:pPr>
        <w:ind w:left="-440" w:right="120" w:firstLine="440"/>
        <w:spacing w:after="0" w:line="257" w:lineRule="auto"/>
        <w:tabs>
          <w:tab w:leader="none" w:pos="2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On or prior to January 1 of each calendar year during the term of this Agreement, QEP will notify the General Partner of the estimated amount of the Administrative Fee (including both the fixed and variable portions of the Administrative Fee as described in </w:t>
      </w:r>
      <w:r>
        <w:rPr>
          <w:rFonts w:ascii="Arial" w:cs="Arial" w:eastAsia="Arial" w:hAnsi="Arial"/>
          <w:sz w:val="18"/>
          <w:szCs w:val="18"/>
          <w:u w:val="single" w:color="auto"/>
          <w:color w:val="auto"/>
        </w:rPr>
        <w:t>Schedule C</w:t>
      </w:r>
      <w:r>
        <w:rPr>
          <w:rFonts w:ascii="Arial" w:cs="Arial" w:eastAsia="Arial" w:hAnsi="Arial"/>
          <w:sz w:val="18"/>
          <w:szCs w:val="18"/>
          <w:color w:val="auto"/>
        </w:rPr>
        <w:t>) to be paid by the Partnership Group for such calendar year. For the calendar year in which the Closing Date occurs, such estimate shall be made on or prior to the Closing Date and shall pertain only to the remainder of such calendar year. Commencing with the first full month following the Closing Date, the Administrative Fee shall be invoiced and paid as follows:</w:t>
      </w:r>
    </w:p>
    <w:p>
      <w:pPr>
        <w:spacing w:after="0" w:line="53" w:lineRule="exact"/>
        <w:rPr>
          <w:rFonts w:ascii="Arial" w:cs="Arial" w:eastAsia="Arial" w:hAnsi="Arial"/>
          <w:sz w:val="18"/>
          <w:szCs w:val="18"/>
          <w:color w:val="auto"/>
        </w:rPr>
      </w:pPr>
    </w:p>
    <w:p>
      <w:pPr>
        <w:ind w:left="-440" w:right="140" w:firstLine="886"/>
        <w:spacing w:after="0" w:line="264" w:lineRule="auto"/>
        <w:tabs>
          <w:tab w:leader="none" w:pos="65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Within 20 days following the end of each month during the term of this Agreement, QEP will submit to the Partnership Group an invoice of the amounts due for such month for the Administrative Fee. Each invoice will contain reasonably satisfactory support of such amounts and such other supporting detail as the General Partner may reasonably require.</w:t>
      </w:r>
    </w:p>
    <w:p>
      <w:pPr>
        <w:spacing w:after="0" w:line="46" w:lineRule="exact"/>
        <w:rPr>
          <w:rFonts w:ascii="Arial" w:cs="Arial" w:eastAsia="Arial" w:hAnsi="Arial"/>
          <w:sz w:val="18"/>
          <w:szCs w:val="18"/>
          <w:color w:val="auto"/>
        </w:rPr>
      </w:pPr>
    </w:p>
    <w:p>
      <w:pPr>
        <w:ind w:left="-440" w:right="160" w:firstLine="886"/>
        <w:spacing w:after="0" w:line="277" w:lineRule="auto"/>
        <w:tabs>
          <w:tab w:leader="none" w:pos="70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Partnership Group will pay the Administrative Fee within 10 days after the receipt of the invoice therefor. The Partnership Group shall not offset any amounts owing to it by QEP or any of its Affiliates against the Administrative Fee payable hereunder.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w:t>
      </w:r>
    </w:p>
    <w:p>
      <w:pPr>
        <w:spacing w:after="0" w:line="90" w:lineRule="exact"/>
        <w:rPr>
          <w:sz w:val="20"/>
          <w:szCs w:val="20"/>
          <w:color w:val="auto"/>
        </w:rPr>
      </w:pPr>
    </w:p>
    <w:p>
      <w:pPr>
        <w:ind w:left="-440" w:firstLine="440"/>
        <w:spacing w:after="0" w:line="264" w:lineRule="auto"/>
        <w:tabs>
          <w:tab w:leader="none" w:pos="23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In addition to the Administrative Fee payable under </w:t>
      </w:r>
      <w:r>
        <w:rPr>
          <w:rFonts w:ascii="Arial" w:cs="Arial" w:eastAsia="Arial" w:hAnsi="Arial"/>
          <w:sz w:val="18"/>
          <w:szCs w:val="18"/>
          <w:u w:val="single" w:color="auto"/>
          <w:color w:val="auto"/>
        </w:rPr>
        <w:t>Section 3.2</w:t>
      </w:r>
      <w:r>
        <w:rPr>
          <w:rFonts w:ascii="Arial" w:cs="Arial" w:eastAsia="Arial" w:hAnsi="Arial"/>
          <w:sz w:val="18"/>
          <w:szCs w:val="18"/>
          <w:color w:val="auto"/>
        </w:rPr>
        <w:t>, the Partnership Group will reimburse QEP and its Affiliates for any additional out-of-pocket costs and expenses actually incurred by QEP and its Affiliates in providing the General and Administrative Services, as well as any other out-of-pocket expenses incurred on behalf of the Partnership Group.</w:t>
      </w:r>
    </w:p>
    <w:p>
      <w:pPr>
        <w:spacing w:after="0" w:line="46" w:lineRule="exact"/>
        <w:rPr>
          <w:rFonts w:ascii="Arial" w:cs="Arial" w:eastAsia="Arial" w:hAnsi="Arial"/>
          <w:sz w:val="18"/>
          <w:szCs w:val="18"/>
          <w:color w:val="auto"/>
        </w:rPr>
      </w:pPr>
    </w:p>
    <w:p>
      <w:pPr>
        <w:ind w:left="-440" w:right="100" w:firstLine="440"/>
        <w:spacing w:after="0" w:line="277" w:lineRule="auto"/>
        <w:tabs>
          <w:tab w:leader="none" w:pos="2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Partnership Group will reimburse QEP and its Affiliates for any costs and expenses incurred by QEP and its Affiliates under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as incurred on a monthly basis.</w:t>
      </w:r>
    </w:p>
    <w:p>
      <w:pPr>
        <w:spacing w:after="0" w:line="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680" w:top="882" w:right="339" w:bottom="1440" w:gutter="0" w:footer="0" w:header="0"/>
        </w:sectPr>
      </w:pPr>
    </w:p>
    <w:bookmarkStart w:id="260" w:name="page261"/>
    <w:bookmarkEnd w:id="260"/>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Licenses of Marks</w:t>
      </w:r>
    </w:p>
    <w:p>
      <w:pPr>
        <w:spacing w:after="0" w:line="157"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Grant of QEP License</w:t>
      </w:r>
      <w:r>
        <w:rPr>
          <w:rFonts w:ascii="Arial" w:cs="Arial" w:eastAsia="Arial" w:hAnsi="Arial"/>
          <w:sz w:val="17"/>
          <w:szCs w:val="17"/>
          <w:color w:val="auto"/>
        </w:rPr>
        <w:t xml:space="preserve">. Upon the terms and conditions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QEP hereby grants and conveys to the Partnership and each of the entities currently or hereafter comprising a part of the Partnership Group a nontransferable, nonexclusive, royaltyfree right and license (the “</w:t>
      </w:r>
      <w:r>
        <w:rPr>
          <w:rFonts w:ascii="Arial" w:cs="Arial" w:eastAsia="Arial" w:hAnsi="Arial"/>
          <w:sz w:val="17"/>
          <w:szCs w:val="17"/>
          <w:b w:val="1"/>
          <w:bCs w:val="1"/>
          <w:color w:val="auto"/>
        </w:rPr>
        <w:t>QEP License</w:t>
      </w:r>
      <w:r>
        <w:rPr>
          <w:rFonts w:ascii="Arial" w:cs="Arial" w:eastAsia="Arial" w:hAnsi="Arial"/>
          <w:sz w:val="17"/>
          <w:szCs w:val="17"/>
          <w:color w:val="auto"/>
        </w:rPr>
        <w:t>”) to use the “QEP” logo and trademark and the other trademarks and tradenames owned by QEP (collectively, the “</w:t>
      </w:r>
      <w:r>
        <w:rPr>
          <w:rFonts w:ascii="Arial" w:cs="Arial" w:eastAsia="Arial" w:hAnsi="Arial"/>
          <w:sz w:val="17"/>
          <w:szCs w:val="17"/>
          <w:b w:val="1"/>
          <w:bCs w:val="1"/>
          <w:color w:val="auto"/>
        </w:rPr>
        <w:t>QEP Marks</w:t>
      </w:r>
      <w:r>
        <w:rPr>
          <w:rFonts w:ascii="Arial" w:cs="Arial" w:eastAsia="Arial" w:hAnsi="Arial"/>
          <w:sz w:val="17"/>
          <w:szCs w:val="17"/>
          <w:color w:val="auto"/>
        </w:rPr>
        <w:t>”).</w:t>
      </w:r>
    </w:p>
    <w:p>
      <w:pPr>
        <w:spacing w:after="0" w:line="11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Ownership and Quality of QEP Marks</w:t>
      </w:r>
      <w:r>
        <w:rPr>
          <w:rFonts w:ascii="Arial" w:cs="Arial" w:eastAsia="Arial" w:hAnsi="Arial"/>
          <w:sz w:val="16"/>
          <w:szCs w:val="16"/>
          <w:color w:val="auto"/>
        </w:rPr>
        <w:t>. The Partnership, on behalf of itself and the other Group Members, agrees that ownership of the QEP Marks and the goodwill relating thereto shall remain vested in QEP during the term of the QEP License and thereafter. The Partnership agrees, and agrees to cause the other Group Members, to the fullest extent permitted by applicable law, never to challenge, contest or question the validity of QEP’s ownership of the QEP Marks or any registration thereof by QEP. In connection with the use of the QEP Marks, the Partnership and any other Group Member shall not in any manner represent that they have any ownership in the QEP Marks or registration thereof. The Partnership, on behalf of itself and the other Group Members, acknowledges that the use of the QEP Marks shall not create any right, title or interest in or to the QEP Marks, and all use of the QEP Marks by the Partnership or any other Group Member shall inure to the benefit of QEP. The Partnership agrees, and agrees to cause the other Group Members, to use the QEP Marks in accordance with such quality standards established by QEP and communicated to the Partnership Group from time to time, it being understood that the products and services offered by the Group Members as of the Closing Date are of a quality that is acceptable to QEP.</w:t>
      </w:r>
    </w:p>
    <w:p>
      <w:pPr>
        <w:spacing w:after="0" w:line="11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Grant of the Partnership License</w:t>
      </w:r>
      <w:r>
        <w:rPr>
          <w:rFonts w:ascii="Arial" w:cs="Arial" w:eastAsia="Arial" w:hAnsi="Arial"/>
          <w:sz w:val="18"/>
          <w:szCs w:val="18"/>
          <w:color w:val="auto"/>
        </w:rPr>
        <w:t xml:space="preserve">. Upon the terms and conditions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the General Partner, for the benefit of the Partnership, hereby grants and conveys to QEP and its Affiliates a nontransferable, nonexclusive, royalty-free right and license (“</w:t>
      </w:r>
      <w:r>
        <w:rPr>
          <w:rFonts w:ascii="Arial" w:cs="Arial" w:eastAsia="Arial" w:hAnsi="Arial"/>
          <w:sz w:val="18"/>
          <w:szCs w:val="18"/>
          <w:b w:val="1"/>
          <w:bCs w:val="1"/>
          <w:color w:val="auto"/>
        </w:rPr>
        <w:t>Partnership License</w:t>
      </w:r>
      <w:r>
        <w:rPr>
          <w:rFonts w:ascii="Arial" w:cs="Arial" w:eastAsia="Arial" w:hAnsi="Arial"/>
          <w:sz w:val="18"/>
          <w:szCs w:val="18"/>
          <w:color w:val="auto"/>
        </w:rPr>
        <w:t>”) to use the “QEPM” logo and trademark and the other trademarks and tradenames owned by the General Partner for the benefit of the Partnership (collectively, the “</w:t>
      </w:r>
      <w:r>
        <w:rPr>
          <w:rFonts w:ascii="Arial" w:cs="Arial" w:eastAsia="Arial" w:hAnsi="Arial"/>
          <w:sz w:val="18"/>
          <w:szCs w:val="18"/>
          <w:b w:val="1"/>
          <w:bCs w:val="1"/>
          <w:color w:val="auto"/>
        </w:rPr>
        <w:t>Partnership Marks</w:t>
      </w:r>
      <w:r>
        <w:rPr>
          <w:rFonts w:ascii="Arial" w:cs="Arial" w:eastAsia="Arial" w:hAnsi="Arial"/>
          <w:sz w:val="18"/>
          <w:szCs w:val="18"/>
          <w:color w:val="auto"/>
        </w:rPr>
        <w:t>”).</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Ownership and Quality of the Partnership Marks</w:t>
      </w:r>
      <w:r>
        <w:rPr>
          <w:rFonts w:ascii="Arial" w:cs="Arial" w:eastAsia="Arial" w:hAnsi="Arial"/>
          <w:sz w:val="17"/>
          <w:szCs w:val="17"/>
          <w:color w:val="auto"/>
        </w:rPr>
        <w:t>. QEP agrees, on behalf of itself and the other QEP Entities, that ownership of the Partnership Marks and the goodwill relating thereto shall remain vested in the General Partner, for the benefit of the Partnership, during the term of the Partnership License and thereafter. QEP agrees, and agrees to cause the other QEP Entities, to the fullest extent permitted by applicable law, never to challenge, contest or question the validity of the General Partner’s ownership of the Partnership Marks or any registration thereof by the General Partner or the Partnership. In connection with the use of the Partnership Marks, neither QEP nor any of the other QEP Entities shall in any manner represent that they have any ownership in the Partnership Marks or registration thereof. QEP, on behalf of itself and the other QEP Entities, acknowledges that the use of the Partnership Marks shall not create any right, title or interest in or to the Partnership Marks, and all use of the Partnership Marks by QEP or any of the other QEP Entities shall inure to the benefit of the General Partner and the Partnership. QEP agrees, and agrees to cause the other QEP Entities, to use the Partnership Marks in accordance with such quality standards established by the General Partner, on behalf of and for the benefit of the Partnership, and communicated to QEP from time to time.</w:t>
      </w:r>
    </w:p>
    <w:p>
      <w:pPr>
        <w:spacing w:after="0" w:line="12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877" w:right="259" w:bottom="1440" w:gutter="0" w:footer="0" w:header="0"/>
        </w:sectPr>
      </w:pPr>
    </w:p>
    <w:bookmarkStart w:id="261" w:name="page262"/>
    <w:bookmarkEnd w:id="261"/>
    <w:p>
      <w:pPr>
        <w:spacing w:after="0"/>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QEP License and the Partnership License shall each terminate upon the termination of this Agreement pursuant to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35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Miscellaneous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90" w:lineRule="exact"/>
        <w:rPr>
          <w:sz w:val="20"/>
          <w:szCs w:val="20"/>
          <w:color w:val="auto"/>
        </w:rPr>
      </w:pPr>
    </w:p>
    <w:p>
      <w:pPr>
        <w:ind w:left="-440" w:right="20" w:firstLine="440"/>
        <w:spacing w:after="0" w:line="276" w:lineRule="auto"/>
        <w:tabs>
          <w:tab w:leader="none" w:pos="237" w:val="left"/>
        </w:tabs>
        <w:numPr>
          <w:ilvl w:val="0"/>
          <w:numId w:val="241"/>
        </w:numPr>
        <w:rPr>
          <w:rFonts w:ascii="Arial" w:cs="Arial" w:eastAsia="Arial" w:hAnsi="Arial"/>
          <w:sz w:val="17"/>
          <w:szCs w:val="17"/>
          <w:color w:val="auto"/>
        </w:rPr>
      </w:pPr>
      <w:r>
        <w:rPr>
          <w:rFonts w:ascii="Arial" w:cs="Arial" w:eastAsia="Arial" w:hAnsi="Arial"/>
          <w:sz w:val="17"/>
          <w:szCs w:val="17"/>
          <w:color w:val="auto"/>
        </w:rPr>
        <w:t>From and after the Closing Date, each of the Parties shall hold, and shall cause their respective Subsidiaries and Affiliates and its and their directors, officers, employees, agents, consultants, advisors, and other representatives (collectively, “</w:t>
      </w:r>
      <w:r>
        <w:rPr>
          <w:rFonts w:ascii="Arial" w:cs="Arial" w:eastAsia="Arial" w:hAnsi="Arial"/>
          <w:sz w:val="17"/>
          <w:szCs w:val="17"/>
          <w:b w:val="1"/>
          <w:bCs w:val="1"/>
          <w:color w:val="auto"/>
        </w:rPr>
        <w:t>Representatives</w:t>
      </w:r>
      <w:r>
        <w:rPr>
          <w:rFonts w:ascii="Arial" w:cs="Arial" w:eastAsia="Arial" w:hAnsi="Arial"/>
          <w:sz w:val="17"/>
          <w:szCs w:val="17"/>
          <w:color w:val="auto"/>
        </w:rPr>
        <w:t>”) to hold all Confidential Information in strict confidence, with at least the same degree of care that applies to such Party’s confidential and proprietary information and shall not use such Confidential Information and shall not release or disclose such Confidential Information to any other Person, except its Representatives or except as required by applicable law. Each Party shall be responsible for any breach of this section by any of its Representatives.</w:t>
      </w:r>
    </w:p>
    <w:p>
      <w:pPr>
        <w:spacing w:after="0" w:line="37" w:lineRule="exact"/>
        <w:rPr>
          <w:rFonts w:ascii="Arial" w:cs="Arial" w:eastAsia="Arial" w:hAnsi="Arial"/>
          <w:sz w:val="17"/>
          <w:szCs w:val="17"/>
          <w:color w:val="auto"/>
        </w:rPr>
      </w:pPr>
    </w:p>
    <w:p>
      <w:pPr>
        <w:ind w:left="-440" w:firstLine="440"/>
        <w:spacing w:after="0" w:line="291" w:lineRule="auto"/>
        <w:tabs>
          <w:tab w:leader="none" w:pos="24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If a Party receives a subpoena or other demand for disclosure of Confidential Information received from any other Party or must disclose to a Governmental Authority any Confidential Information received from such other Party in order to obtain or maintain any required governmental approval, the receiving Party shall, to the extent legally permissible, provide notice to the providing Party before disclosing such Confidential Information. Upon receipt of such notice, the providing Party shall promptly either seek an appropriate protective order, waive the receiving Party’s confidentiality obligations hereunder to the extent necessary to permit the receiving Party to respond to the demand, or otherwise fully satisfy the subpoena or demand or the requirements of the applicable Governmental Authority. If the receiving Party is legally compelled to disclose such Confidential Information or if the providing Party does not promptly respond as contemplated by this section, the receiving Party may disclose that portion of Confidential Information covered by the notice or demand.</w:t>
      </w:r>
    </w:p>
    <w:p>
      <w:pPr>
        <w:spacing w:after="0" w:line="32" w:lineRule="exact"/>
        <w:rPr>
          <w:rFonts w:ascii="Arial" w:cs="Arial" w:eastAsia="Arial" w:hAnsi="Arial"/>
          <w:sz w:val="16"/>
          <w:szCs w:val="16"/>
          <w:color w:val="auto"/>
        </w:rPr>
      </w:pPr>
    </w:p>
    <w:p>
      <w:pPr>
        <w:ind w:left="-440" w:right="20" w:firstLine="440"/>
        <w:spacing w:after="0" w:line="257" w:lineRule="auto"/>
        <w:tabs>
          <w:tab w:leader="none" w:pos="23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Each Party acknowledges that the disclosing Party would not have an adequate remedy at law for the breach by the receiving Party of any one or more of the covenants contained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agrees that, in the event of such breach, the disclosing Party may, in addition to the other remedies that may be available to it, apply to a court for an injunction to prevent breaches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to enforce specifically the terms and provisions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Notwithstanding any other section hereof, to the extent permitted by applicable law, the provisions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survive the termination of this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Choice of Law; Mediation; Submission to Jurisdiction</w:t>
      </w:r>
      <w:r>
        <w:rPr>
          <w:rFonts w:ascii="Arial" w:cs="Arial" w:eastAsia="Arial" w:hAnsi="Arial"/>
          <w:sz w:val="18"/>
          <w:szCs w:val="18"/>
          <w:color w:val="auto"/>
        </w:rPr>
        <w:t>.</w:t>
      </w:r>
    </w:p>
    <w:p>
      <w:pPr>
        <w:spacing w:after="0" w:line="90" w:lineRule="exact"/>
        <w:rPr>
          <w:sz w:val="20"/>
          <w:szCs w:val="20"/>
          <w:color w:val="auto"/>
        </w:rPr>
      </w:pPr>
    </w:p>
    <w:p>
      <w:pPr>
        <w:ind w:left="-440" w:right="240" w:firstLine="440"/>
        <w:spacing w:after="0" w:line="259" w:lineRule="auto"/>
        <w:tabs>
          <w:tab w:leader="none" w:pos="23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This Agreement shall be subject to and governed by the laws of the State of Delaware, excluding any conflicts-of-law rule or principle that might refer the construction or interpretation of this Agreement to the laws of another state. EACH OF THE PARTIES HERETO AGREES THAT THIS AGREEMENT INVOLVES AT LEAST U.S. $100,000.00 AND THAT THIS AGREEMENT HAS BEEN ENTERED INTO IN EXPRESS RELIANCE UPON 6 Del. C. § 2708. EACH OF THE PARTIES HERETO IRREVOCABLY AND</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680" w:top="963" w:right="259" w:bottom="1440" w:gutter="0" w:footer="0" w:header="0"/>
        </w:sectPr>
      </w:pPr>
    </w:p>
    <w:bookmarkStart w:id="262" w:name="page263"/>
    <w:bookmarkEnd w:id="262"/>
    <w:p>
      <w:pPr>
        <w:ind w:right="280"/>
        <w:spacing w:after="0" w:line="257" w:lineRule="auto"/>
        <w:rPr>
          <w:sz w:val="20"/>
          <w:szCs w:val="20"/>
          <w:color w:val="auto"/>
        </w:rPr>
      </w:pPr>
      <w:r>
        <w:rPr>
          <w:rFonts w:ascii="Arial" w:cs="Arial" w:eastAsia="Arial" w:hAnsi="Arial"/>
          <w:sz w:val="18"/>
          <w:szCs w:val="18"/>
          <w:color w:val="auto"/>
        </w:rPr>
        <w:t>UNCONDITIONALLY AGREES (i) TO BE SUBJECT TO THE JURISDICTION OF THE COURTS OF THE STATE OF DELAWARE AND OF THE FEDERAL COURTS SITTING IN THE STATE OF DELAWARE, AND (ii) TO THE EXTENT SUCH PARTY IS NOT OTHERWISE SUBJECT TO SERVICE OF PROCESS IN THE STATE OF DELAWARE, TO APPOINT AND MAINTAIN AN AGENT IN THE STATE OF DELAWARE AS SUCH PARTY’S AGENT FOR ACCEPTANCE OF LEGAL PROCESS AND TO NOTIFY THE OTHER PARTY OF THE NAME AND ADDRESS OF SUCH AGENT.</w:t>
      </w:r>
    </w:p>
    <w:p>
      <w:pPr>
        <w:spacing w:after="0" w:line="53" w:lineRule="exact"/>
        <w:rPr>
          <w:sz w:val="20"/>
          <w:szCs w:val="20"/>
          <w:color w:val="auto"/>
        </w:rPr>
      </w:pPr>
    </w:p>
    <w:p>
      <w:pPr>
        <w:ind w:right="20" w:firstLine="440"/>
        <w:spacing w:after="0" w:line="289" w:lineRule="auto"/>
        <w:tabs>
          <w:tab w:leader="none" w:pos="68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If the Parties cannot resolve any dispute or claim arising under this Agreement, then no earlier than 10 days nor more than 60 days following written notice to the other Parties, any Party may initiate mandatory, non-binding mediation hereunder by giving a notice of mediation (a “</w:t>
      </w:r>
      <w:r>
        <w:rPr>
          <w:rFonts w:ascii="Arial" w:cs="Arial" w:eastAsia="Arial" w:hAnsi="Arial"/>
          <w:sz w:val="16"/>
          <w:szCs w:val="16"/>
          <w:b w:val="1"/>
          <w:bCs w:val="1"/>
          <w:color w:val="auto"/>
        </w:rPr>
        <w:t>Mediation Notice</w:t>
      </w:r>
      <w:r>
        <w:rPr>
          <w:rFonts w:ascii="Arial" w:cs="Arial" w:eastAsia="Arial" w:hAnsi="Arial"/>
          <w:sz w:val="16"/>
          <w:szCs w:val="16"/>
          <w:color w:val="auto"/>
        </w:rPr>
        <w:t xml:space="preserve">”) to the other Parties to the dispute or claim. In connection with any mediation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the mediator shall be jointly appointed by the Parties to the dispute or claim and the mediation shall be conducted in Denver, Colorado unless otherwise agreed to by the Parties to the dispute or claim. All costs and expenses of the mediator appointed pursuant to this section shall be shared equally by the Parties to the dispute or claim. The then-current Model ADR Procedures for Mediation of Business Disputes of the Center for Public Resources, Inc., either as written or as modified by mutual agreement of the Parties to the dispute or claim, shall govern any mediation pursuant to this section. In the mediation, each Party to the dispute or claim shall be represented by one or more senior representatives who shall have authority to resolve any disputes. If a dispute or claim has not been resolved within 30 days after the receipt of the Mediation Notice by a Party, then any Party to the dispute or claim may refer the resolution of the dispute or claim to litigation.</w:t>
      </w:r>
    </w:p>
    <w:p>
      <w:pPr>
        <w:spacing w:after="0" w:line="31" w:lineRule="exact"/>
        <w:rPr>
          <w:rFonts w:ascii="Arial" w:cs="Arial" w:eastAsia="Arial" w:hAnsi="Arial"/>
          <w:sz w:val="16"/>
          <w:szCs w:val="16"/>
          <w:color w:val="auto"/>
        </w:rPr>
      </w:pPr>
    </w:p>
    <w:p>
      <w:pPr>
        <w:ind w:right="40" w:firstLine="440"/>
        <w:spacing w:after="0" w:line="291" w:lineRule="auto"/>
        <w:tabs>
          <w:tab w:leader="none" w:pos="67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each Party agrees that it shall bring any action or proceeding in respect of any claim arising out of or related to this Agreement, whether in tort or contract or at law or in equity, exclusively in any federal or state courts located in Delaware and (i) irrevocably submits to the exclusive jurisdiction of such courts, (ii) waives any objection to laying venue in any such action or proceeding in such courts, (iii) waives any objection that such courts are an inconvenient forum or do not have jurisdiction over it and (iv) agrees that, to the fullest extent permitted by law, service of process upon it may be effected by mailing a copy thereof by registered or certified mail (or any substantially similar form of mail), postage prepaid, to it at its address specified in </w:t>
      </w:r>
      <w:r>
        <w:rPr>
          <w:rFonts w:ascii="Arial" w:cs="Arial" w:eastAsia="Arial" w:hAnsi="Arial"/>
          <w:sz w:val="16"/>
          <w:szCs w:val="16"/>
          <w:u w:val="single" w:color="auto"/>
          <w:color w:val="auto"/>
        </w:rPr>
        <w:t>Section 5.3</w:t>
      </w:r>
      <w:r>
        <w:rPr>
          <w:rFonts w:ascii="Arial" w:cs="Arial" w:eastAsia="Arial" w:hAnsi="Arial"/>
          <w:sz w:val="16"/>
          <w:szCs w:val="16"/>
          <w:color w:val="auto"/>
        </w:rPr>
        <w:t>. The foregoing consents to jurisdiction and service of process shall not constitute general consents to service of process in the State of Delaware for any purpose except as provided herein and shall not be deemed to confer rights on any Person other than the Parties.</w:t>
      </w:r>
    </w:p>
    <w:p>
      <w:pPr>
        <w:spacing w:after="0" w:line="113"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Notice</w:t>
      </w:r>
      <w:r>
        <w:rPr>
          <w:rFonts w:ascii="Arial" w:cs="Arial" w:eastAsia="Arial" w:hAnsi="Arial"/>
          <w:sz w:val="16"/>
          <w:szCs w:val="16"/>
          <w:color w:val="auto"/>
        </w:rPr>
        <w:t>. All notices or requests or consents provided for by, or permitted to be given pursuant to, this Agreement must be in writing and must be given by e-mail or United States mail, addressed to the Person to be notified, postpaid, and registered or certified with return receipt requested or by delivering such notice in person or by facsimile to such Party. Notice given by personal delivery or mail shall be effective upon actual receipt. Notice given by e-mail or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or at such other address as such Party may stipulate to the other Parties in the manner provided in this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5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2" w:right="239" w:bottom="1440" w:gutter="0" w:footer="0" w:header="0"/>
        </w:sectPr>
      </w:pPr>
    </w:p>
    <w:bookmarkStart w:id="263" w:name="page264"/>
    <w:bookmarkEnd w:id="263"/>
    <w:p>
      <w:pPr>
        <w:ind w:left="440"/>
        <w:spacing w:after="0"/>
        <w:rPr>
          <w:sz w:val="20"/>
          <w:szCs w:val="20"/>
          <w:color w:val="auto"/>
        </w:rPr>
      </w:pPr>
      <w:r>
        <w:rPr>
          <w:rFonts w:ascii="Arial" w:cs="Arial" w:eastAsia="Arial" w:hAnsi="Arial"/>
          <w:sz w:val="18"/>
          <w:szCs w:val="18"/>
          <w:color w:val="auto"/>
        </w:rPr>
        <w:t>If to QEP or Field Services: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QEP Resources, Inc.</w:t>
      </w:r>
    </w:p>
    <w:p>
      <w:pPr>
        <w:ind w:left="880"/>
        <w:spacing w:after="0" w:line="201" w:lineRule="auto"/>
        <w:rPr>
          <w:sz w:val="20"/>
          <w:szCs w:val="20"/>
          <w:color w:val="auto"/>
        </w:rPr>
      </w:pPr>
      <w:r>
        <w:rPr>
          <w:rFonts w:ascii="Arial" w:cs="Arial" w:eastAsia="Arial" w:hAnsi="Arial"/>
          <w:sz w:val="18"/>
          <w:szCs w:val="18"/>
          <w:color w:val="auto"/>
        </w:rPr>
        <w:t>1050 17</w:t>
      </w:r>
      <w:r>
        <w:rPr>
          <w:rFonts w:ascii="Arial" w:cs="Arial" w:eastAsia="Arial" w:hAnsi="Arial"/>
          <w:sz w:val="25"/>
          <w:szCs w:val="25"/>
          <w:color w:val="auto"/>
          <w:vertAlign w:val="superscript"/>
        </w:rPr>
        <w:t>th</w:t>
      </w:r>
      <w:r>
        <w:rPr>
          <w:rFonts w:ascii="Arial" w:cs="Arial" w:eastAsia="Arial" w:hAnsi="Arial"/>
          <w:sz w:val="18"/>
          <w:szCs w:val="18"/>
          <w:color w:val="auto"/>
        </w:rPr>
        <w:t>Street, Suite 500</w:t>
      </w:r>
    </w:p>
    <w:p>
      <w:pPr>
        <w:ind w:left="880"/>
        <w:spacing w:after="0"/>
        <w:rPr>
          <w:sz w:val="20"/>
          <w:szCs w:val="20"/>
          <w:color w:val="auto"/>
        </w:rPr>
      </w:pPr>
      <w:r>
        <w:rPr>
          <w:rFonts w:ascii="Arial" w:cs="Arial" w:eastAsia="Arial" w:hAnsi="Arial"/>
          <w:sz w:val="18"/>
          <w:szCs w:val="18"/>
          <w:color w:val="auto"/>
        </w:rPr>
        <w:t>Denver, Colorado 80265</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(303) 295-2190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Chris.Woosley@qepres.com</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any Group Member:</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QEP Midstream Partners,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QEP Midstream Partners GP, LLC, its General Partner</w:t>
      </w:r>
    </w:p>
    <w:p>
      <w:pPr>
        <w:ind w:left="880"/>
        <w:spacing w:after="0" w:line="189" w:lineRule="auto"/>
        <w:rPr>
          <w:sz w:val="20"/>
          <w:szCs w:val="20"/>
          <w:color w:val="auto"/>
        </w:rPr>
      </w:pPr>
      <w:r>
        <w:rPr>
          <w:rFonts w:ascii="Arial" w:cs="Arial" w:eastAsia="Arial" w:hAnsi="Arial"/>
          <w:sz w:val="18"/>
          <w:szCs w:val="18"/>
          <w:color w:val="auto"/>
        </w:rPr>
        <w:t>1050 17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Suite 500</w:t>
      </w:r>
    </w:p>
    <w:p>
      <w:pPr>
        <w:ind w:left="880"/>
        <w:spacing w:after="0"/>
        <w:rPr>
          <w:sz w:val="20"/>
          <w:szCs w:val="20"/>
          <w:color w:val="auto"/>
        </w:rPr>
      </w:pPr>
      <w:r>
        <w:rPr>
          <w:rFonts w:ascii="Arial" w:cs="Arial" w:eastAsia="Arial" w:hAnsi="Arial"/>
          <w:sz w:val="18"/>
          <w:szCs w:val="18"/>
          <w:color w:val="auto"/>
        </w:rPr>
        <w:t>Denver, Colorado 80265</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(303) 295-2190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Chris.Woosley@qepres.com</w:t>
      </w:r>
    </w:p>
    <w:p>
      <w:pPr>
        <w:spacing w:after="0" w:line="15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relating to the matters contained herein, superseding all prior contracts or agreements, whether oral or written, relating to the matters contained herein.</w:t>
      </w:r>
    </w:p>
    <w:p>
      <w:pPr>
        <w:spacing w:after="0" w:line="11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xml:space="preserve">. This Agreement, other than the provisions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hereof, may be terminated (a) by the written agreement of all of the Parties or (b) by QEP or the Partnership immediately upon a Partnership Change of Control by written notice given to the other Parties to this Agreement. For the avoidance of doubt, the Parties’ indemnification obligations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to the fullest extent permitted by law, survive the termination of this Agreement in accordance with their respective terms.</w:t>
      </w:r>
    </w:p>
    <w:p>
      <w:pPr>
        <w:spacing w:after="0" w:line="13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Amendment or Modification</w:t>
      </w:r>
      <w:r>
        <w:rPr>
          <w:rFonts w:ascii="Arial" w:cs="Arial" w:eastAsia="Arial" w:hAnsi="Arial"/>
          <w:sz w:val="17"/>
          <w:szCs w:val="17"/>
          <w:color w:val="auto"/>
        </w:rPr>
        <w:t>. This Agreement may be amended or modified from time to time only by the written agreement of all the Parties. Each such instrument shall be reduced to writing and shall be designated on its face an “Amendment” or an “Addendum” to this Agreement.</w:t>
      </w:r>
    </w:p>
    <w:p>
      <w:pPr>
        <w:spacing w:after="0" w:line="93"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No Party shall have the right to assign its rights or obligations under this Agreement without the consent of the other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Partnership Group may make a collateral assignment of this Agreement solely to secure financing for the Partnership Group.</w:t>
      </w:r>
    </w:p>
    <w:p>
      <w:pPr>
        <w:spacing w:after="0" w:line="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with the same effect as if all signatory parties had signed the same document and shall be construed together and shall constitute one and the same instrument.</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held invalid or unenforceable by a court or regulatory body of competent jurisdiction, the remainder of this Agreement shall remain in full force and effect.</w:t>
      </w:r>
    </w:p>
    <w:p>
      <w:pPr>
        <w:spacing w:after="0" w:line="1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963" w:right="279" w:bottom="1440" w:gutter="0" w:footer="0" w:header="0"/>
        </w:sectPr>
      </w:pPr>
    </w:p>
    <w:bookmarkStart w:id="264" w:name="page265"/>
    <w:bookmarkEnd w:id="264"/>
    <w:p>
      <w:pPr>
        <w:jc w:val="both"/>
        <w:ind w:firstLine="432"/>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In connection with this Agreement and all transactions contemplated by this Agreement, each signatory party hereto agrees to execute and deliver such additional documents and instruments and to perform such additional acts as may be necessary or appropriate to effectuate, carry out and perform all of the terms, provisions and conditions of this Agreement and all such transactions.</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Rights of Limited Partners</w:t>
      </w:r>
      <w:r>
        <w:rPr>
          <w:rFonts w:ascii="Arial" w:cs="Arial" w:eastAsia="Arial" w:hAnsi="Arial"/>
          <w:sz w:val="18"/>
          <w:szCs w:val="18"/>
          <w:color w:val="auto"/>
        </w:rPr>
        <w:t>. The provisions of this Agreement are enforceable solely by the Parties to this Agreement, and no Limited Partner or other interest holder of the Partnership shall have the right, separate and apart from the Partnership, to enforce any provision of this Agreement or to compel any Party to this Agreement to comply with the terms of this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963" w:right="279" w:bottom="1440" w:gutter="0" w:footer="0" w:header="0"/>
        </w:sectPr>
      </w:pPr>
    </w:p>
    <w:bookmarkStart w:id="265" w:name="page266"/>
    <w:bookmarkEnd w:id="265"/>
    <w:p>
      <w:pPr>
        <w:ind w:left="4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and effective as of, the Closing Date.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w w:val="97"/>
              </w:rPr>
              <w:t>QEP Resources, Inc.</w:t>
            </w:r>
          </w:p>
        </w:tc>
        <w:tc>
          <w:tcPr>
            <w:tcW w:w="9720" w:type="dxa"/>
            <w:vAlign w:val="bottom"/>
          </w:tcPr>
          <w:p>
            <w:pPr>
              <w:spacing w:after="0"/>
              <w:rPr>
                <w:sz w:val="20"/>
                <w:szCs w:val="20"/>
                <w:color w:val="auto"/>
              </w:rPr>
            </w:pPr>
          </w:p>
        </w:tc>
      </w:tr>
      <w:tr>
        <w:trPr>
          <w:trHeight w:val="594"/>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9720" w:type="dxa"/>
            <w:vAlign w:val="bottom"/>
          </w:tcPr>
          <w:p>
            <w:pPr>
              <w:ind w:left="180"/>
              <w:spacing w:after="0"/>
              <w:rPr>
                <w:sz w:val="20"/>
                <w:szCs w:val="20"/>
                <w:color w:val="auto"/>
              </w:rPr>
            </w:pPr>
            <w:r>
              <w:rPr>
                <w:rFonts w:ascii="Arial" w:cs="Arial" w:eastAsia="Arial" w:hAnsi="Arial"/>
                <w:sz w:val="18"/>
                <w:szCs w:val="18"/>
                <w:color w:val="auto"/>
              </w:rPr>
              <w:t>/s/ Richard J. Doleshek</w:t>
            </w:r>
          </w:p>
        </w:tc>
      </w:tr>
      <w:tr>
        <w:trPr>
          <w:trHeight w:val="27"/>
        </w:trPr>
        <w:tc>
          <w:tcPr>
            <w:tcW w:w="1660" w:type="dxa"/>
            <w:vAlign w:val="bottom"/>
            <w:gridSpan w:val="2"/>
          </w:tcPr>
          <w:p>
            <w:pPr>
              <w:spacing w:after="0"/>
              <w:rPr>
                <w:sz w:val="2"/>
                <w:szCs w:val="2"/>
                <w:color w:val="auto"/>
              </w:rPr>
            </w:pPr>
          </w:p>
        </w:tc>
        <w:tc>
          <w:tcPr>
            <w:tcW w:w="9720" w:type="dxa"/>
            <w:vAlign w:val="bottom"/>
          </w:tcPr>
          <w:p>
            <w:pPr>
              <w:spacing w:after="0"/>
              <w:rPr>
                <w:sz w:val="2"/>
                <w:szCs w:val="2"/>
                <w:color w:val="auto"/>
              </w:rPr>
            </w:pPr>
          </w:p>
        </w:tc>
      </w:tr>
      <w:tr>
        <w:trPr>
          <w:trHeight w:val="237"/>
        </w:trPr>
        <w:tc>
          <w:tcPr>
            <w:tcW w:w="146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20"/>
                <w:szCs w:val="20"/>
                <w:color w:val="auto"/>
              </w:rPr>
            </w:pPr>
          </w:p>
        </w:tc>
        <w:tc>
          <w:tcPr>
            <w:tcW w:w="9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Richard J. Doleshek</w:t>
            </w:r>
          </w:p>
        </w:tc>
      </w:tr>
      <w:tr>
        <w:trPr>
          <w:trHeight w:val="270"/>
        </w:trPr>
        <w:tc>
          <w:tcPr>
            <w:tcW w:w="1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9720" w:type="dxa"/>
            <w:vAlign w:val="bottom"/>
          </w:tcPr>
          <w:p>
            <w:pPr>
              <w:ind w:left="18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594"/>
        </w:trPr>
        <w:tc>
          <w:tcPr>
            <w:tcW w:w="11380" w:type="dxa"/>
            <w:vAlign w:val="bottom"/>
            <w:gridSpan w:val="3"/>
          </w:tcPr>
          <w:p>
            <w:pPr>
              <w:spacing w:after="0"/>
              <w:rPr>
                <w:sz w:val="20"/>
                <w:szCs w:val="20"/>
                <w:color w:val="auto"/>
              </w:rPr>
            </w:pPr>
            <w:r>
              <w:rPr>
                <w:rFonts w:ascii="Arial" w:cs="Arial" w:eastAsia="Arial" w:hAnsi="Arial"/>
                <w:sz w:val="18"/>
                <w:szCs w:val="18"/>
                <w:color w:val="auto"/>
              </w:rPr>
              <w:t>QEP Field Services Company</w:t>
            </w:r>
          </w:p>
        </w:tc>
      </w:tr>
      <w:tr>
        <w:trPr>
          <w:trHeight w:val="594"/>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9720" w:type="dxa"/>
            <w:vAlign w:val="bottom"/>
          </w:tcPr>
          <w:p>
            <w:pPr>
              <w:ind w:left="180"/>
              <w:spacing w:after="0"/>
              <w:rPr>
                <w:sz w:val="20"/>
                <w:szCs w:val="20"/>
                <w:color w:val="auto"/>
              </w:rPr>
            </w:pPr>
            <w:r>
              <w:rPr>
                <w:rFonts w:ascii="Arial" w:cs="Arial" w:eastAsia="Arial" w:hAnsi="Arial"/>
                <w:sz w:val="18"/>
                <w:szCs w:val="18"/>
                <w:color w:val="auto"/>
              </w:rPr>
              <w:t>/s/ Richard J. Doleshek</w:t>
            </w:r>
          </w:p>
        </w:tc>
      </w:tr>
      <w:tr>
        <w:trPr>
          <w:trHeight w:val="27"/>
        </w:trPr>
        <w:tc>
          <w:tcPr>
            <w:tcW w:w="1660" w:type="dxa"/>
            <w:vAlign w:val="bottom"/>
            <w:gridSpan w:val="2"/>
          </w:tcPr>
          <w:p>
            <w:pPr>
              <w:spacing w:after="0"/>
              <w:rPr>
                <w:sz w:val="2"/>
                <w:szCs w:val="2"/>
                <w:color w:val="auto"/>
              </w:rPr>
            </w:pPr>
          </w:p>
        </w:tc>
        <w:tc>
          <w:tcPr>
            <w:tcW w:w="9720" w:type="dxa"/>
            <w:vAlign w:val="bottom"/>
          </w:tcPr>
          <w:p>
            <w:pPr>
              <w:spacing w:after="0"/>
              <w:rPr>
                <w:sz w:val="2"/>
                <w:szCs w:val="2"/>
                <w:color w:val="auto"/>
              </w:rPr>
            </w:pPr>
          </w:p>
        </w:tc>
      </w:tr>
      <w:tr>
        <w:trPr>
          <w:trHeight w:val="237"/>
        </w:trPr>
        <w:tc>
          <w:tcPr>
            <w:tcW w:w="146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20"/>
                <w:szCs w:val="20"/>
                <w:color w:val="auto"/>
              </w:rPr>
            </w:pPr>
          </w:p>
        </w:tc>
        <w:tc>
          <w:tcPr>
            <w:tcW w:w="9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Richard J. Doleshek</w:t>
            </w:r>
          </w:p>
        </w:tc>
      </w:tr>
      <w:tr>
        <w:trPr>
          <w:trHeight w:val="270"/>
        </w:trPr>
        <w:tc>
          <w:tcPr>
            <w:tcW w:w="1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972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w:t>
            </w:r>
          </w:p>
        </w:tc>
      </w:tr>
      <w:tr>
        <w:trPr>
          <w:trHeight w:val="594"/>
        </w:trPr>
        <w:tc>
          <w:tcPr>
            <w:tcW w:w="11380" w:type="dxa"/>
            <w:vAlign w:val="bottom"/>
            <w:gridSpan w:val="3"/>
          </w:tcPr>
          <w:p>
            <w:pPr>
              <w:spacing w:after="0"/>
              <w:rPr>
                <w:sz w:val="20"/>
                <w:szCs w:val="20"/>
                <w:color w:val="auto"/>
              </w:rPr>
            </w:pPr>
            <w:r>
              <w:rPr>
                <w:rFonts w:ascii="Arial" w:cs="Arial" w:eastAsia="Arial" w:hAnsi="Arial"/>
                <w:sz w:val="18"/>
                <w:szCs w:val="18"/>
                <w:color w:val="auto"/>
              </w:rPr>
              <w:t>QEP Midstream Partners GP, LLC</w:t>
            </w:r>
          </w:p>
        </w:tc>
      </w:tr>
      <w:tr>
        <w:trPr>
          <w:trHeight w:val="594"/>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9720" w:type="dxa"/>
            <w:vAlign w:val="bottom"/>
          </w:tcPr>
          <w:p>
            <w:pPr>
              <w:ind w:left="180"/>
              <w:spacing w:after="0"/>
              <w:rPr>
                <w:sz w:val="20"/>
                <w:szCs w:val="20"/>
                <w:color w:val="auto"/>
              </w:rPr>
            </w:pPr>
            <w:r>
              <w:rPr>
                <w:rFonts w:ascii="Arial" w:cs="Arial" w:eastAsia="Arial" w:hAnsi="Arial"/>
                <w:sz w:val="18"/>
                <w:szCs w:val="18"/>
                <w:color w:val="auto"/>
              </w:rPr>
              <w:t>/s/ Richard J. Doleshek</w:t>
            </w:r>
          </w:p>
        </w:tc>
      </w:tr>
      <w:tr>
        <w:trPr>
          <w:trHeight w:val="27"/>
        </w:trPr>
        <w:tc>
          <w:tcPr>
            <w:tcW w:w="1660" w:type="dxa"/>
            <w:vAlign w:val="bottom"/>
            <w:gridSpan w:val="2"/>
          </w:tcPr>
          <w:p>
            <w:pPr>
              <w:spacing w:after="0"/>
              <w:rPr>
                <w:sz w:val="2"/>
                <w:szCs w:val="2"/>
                <w:color w:val="auto"/>
              </w:rPr>
            </w:pPr>
          </w:p>
        </w:tc>
        <w:tc>
          <w:tcPr>
            <w:tcW w:w="9720" w:type="dxa"/>
            <w:vAlign w:val="bottom"/>
          </w:tcPr>
          <w:p>
            <w:pPr>
              <w:spacing w:after="0"/>
              <w:rPr>
                <w:sz w:val="2"/>
                <w:szCs w:val="2"/>
                <w:color w:val="auto"/>
              </w:rPr>
            </w:pPr>
          </w:p>
        </w:tc>
      </w:tr>
      <w:tr>
        <w:trPr>
          <w:trHeight w:val="237"/>
        </w:trPr>
        <w:tc>
          <w:tcPr>
            <w:tcW w:w="146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20"/>
                <w:szCs w:val="20"/>
                <w:color w:val="auto"/>
              </w:rPr>
            </w:pPr>
          </w:p>
        </w:tc>
        <w:tc>
          <w:tcPr>
            <w:tcW w:w="9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Richard J. Doleshek</w:t>
            </w:r>
          </w:p>
        </w:tc>
      </w:tr>
      <w:tr>
        <w:trPr>
          <w:trHeight w:val="270"/>
        </w:trPr>
        <w:tc>
          <w:tcPr>
            <w:tcW w:w="1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972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w:t>
            </w:r>
          </w:p>
        </w:tc>
      </w:tr>
      <w:tr>
        <w:trPr>
          <w:trHeight w:val="594"/>
        </w:trPr>
        <w:tc>
          <w:tcPr>
            <w:tcW w:w="11380" w:type="dxa"/>
            <w:vAlign w:val="bottom"/>
            <w:gridSpan w:val="3"/>
          </w:tcPr>
          <w:p>
            <w:pPr>
              <w:spacing w:after="0"/>
              <w:rPr>
                <w:sz w:val="20"/>
                <w:szCs w:val="20"/>
                <w:color w:val="auto"/>
              </w:rPr>
            </w:pPr>
            <w:r>
              <w:rPr>
                <w:rFonts w:ascii="Arial" w:cs="Arial" w:eastAsia="Arial" w:hAnsi="Arial"/>
                <w:sz w:val="18"/>
                <w:szCs w:val="18"/>
                <w:color w:val="auto"/>
              </w:rPr>
              <w:t>QEP Midstream Partners, LP</w:t>
            </w:r>
          </w:p>
        </w:tc>
      </w:tr>
      <w:tr>
        <w:trPr>
          <w:trHeight w:val="270"/>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9720" w:type="dxa"/>
            <w:vAlign w:val="bottom"/>
          </w:tcPr>
          <w:p>
            <w:pPr>
              <w:ind w:left="180"/>
              <w:spacing w:after="0"/>
              <w:rPr>
                <w:sz w:val="20"/>
                <w:szCs w:val="20"/>
                <w:color w:val="auto"/>
              </w:rPr>
            </w:pPr>
            <w:r>
              <w:rPr>
                <w:rFonts w:ascii="Arial" w:cs="Arial" w:eastAsia="Arial" w:hAnsi="Arial"/>
                <w:sz w:val="18"/>
                <w:szCs w:val="18"/>
                <w:color w:val="auto"/>
              </w:rPr>
              <w:t>QEP Midstream Partners GP, LLC, its general partner</w:t>
            </w:r>
          </w:p>
        </w:tc>
      </w:tr>
      <w:tr>
        <w:trPr>
          <w:trHeight w:val="594"/>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9720" w:type="dxa"/>
            <w:vAlign w:val="bottom"/>
          </w:tcPr>
          <w:p>
            <w:pPr>
              <w:ind w:left="180"/>
              <w:spacing w:after="0"/>
              <w:rPr>
                <w:sz w:val="20"/>
                <w:szCs w:val="20"/>
                <w:color w:val="auto"/>
              </w:rPr>
            </w:pPr>
            <w:r>
              <w:rPr>
                <w:rFonts w:ascii="Arial" w:cs="Arial" w:eastAsia="Arial" w:hAnsi="Arial"/>
                <w:sz w:val="18"/>
                <w:szCs w:val="18"/>
                <w:color w:val="auto"/>
              </w:rPr>
              <w:t>/s/ Richard J. Doleshek</w:t>
            </w:r>
          </w:p>
        </w:tc>
      </w:tr>
      <w:tr>
        <w:trPr>
          <w:trHeight w:val="27"/>
        </w:trPr>
        <w:tc>
          <w:tcPr>
            <w:tcW w:w="1660" w:type="dxa"/>
            <w:vAlign w:val="bottom"/>
            <w:gridSpan w:val="2"/>
          </w:tcPr>
          <w:p>
            <w:pPr>
              <w:spacing w:after="0"/>
              <w:rPr>
                <w:sz w:val="2"/>
                <w:szCs w:val="2"/>
                <w:color w:val="auto"/>
              </w:rPr>
            </w:pPr>
          </w:p>
        </w:tc>
        <w:tc>
          <w:tcPr>
            <w:tcW w:w="9720" w:type="dxa"/>
            <w:vAlign w:val="bottom"/>
          </w:tcPr>
          <w:p>
            <w:pPr>
              <w:spacing w:after="0"/>
              <w:rPr>
                <w:sz w:val="2"/>
                <w:szCs w:val="2"/>
                <w:color w:val="auto"/>
              </w:rPr>
            </w:pPr>
          </w:p>
        </w:tc>
      </w:tr>
      <w:tr>
        <w:trPr>
          <w:trHeight w:val="237"/>
        </w:trPr>
        <w:tc>
          <w:tcPr>
            <w:tcW w:w="146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20"/>
                <w:szCs w:val="20"/>
                <w:color w:val="auto"/>
              </w:rPr>
            </w:pPr>
          </w:p>
        </w:tc>
        <w:tc>
          <w:tcPr>
            <w:tcW w:w="9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Richard J. Doleshek</w:t>
            </w:r>
          </w:p>
        </w:tc>
      </w:tr>
      <w:tr>
        <w:trPr>
          <w:trHeight w:val="270"/>
        </w:trPr>
        <w:tc>
          <w:tcPr>
            <w:tcW w:w="1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972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w:t>
            </w:r>
          </w:p>
        </w:tc>
      </w:tr>
      <w:tr>
        <w:trPr>
          <w:trHeight w:val="594"/>
        </w:trPr>
        <w:tc>
          <w:tcPr>
            <w:tcW w:w="11380" w:type="dxa"/>
            <w:vAlign w:val="bottom"/>
            <w:gridSpan w:val="3"/>
          </w:tcPr>
          <w:p>
            <w:pPr>
              <w:spacing w:after="0"/>
              <w:rPr>
                <w:sz w:val="20"/>
                <w:szCs w:val="20"/>
                <w:color w:val="auto"/>
              </w:rPr>
            </w:pPr>
            <w:r>
              <w:rPr>
                <w:rFonts w:ascii="Arial" w:cs="Arial" w:eastAsia="Arial" w:hAnsi="Arial"/>
                <w:sz w:val="18"/>
                <w:szCs w:val="18"/>
                <w:color w:val="auto"/>
              </w:rPr>
              <w:t>QEP Midstream Partners Operating, LLC</w:t>
            </w:r>
          </w:p>
        </w:tc>
      </w:tr>
      <w:tr>
        <w:trPr>
          <w:trHeight w:val="594"/>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9720" w:type="dxa"/>
            <w:vAlign w:val="bottom"/>
          </w:tcPr>
          <w:p>
            <w:pPr>
              <w:ind w:left="180"/>
              <w:spacing w:after="0"/>
              <w:rPr>
                <w:sz w:val="20"/>
                <w:szCs w:val="20"/>
                <w:color w:val="auto"/>
              </w:rPr>
            </w:pPr>
            <w:r>
              <w:rPr>
                <w:rFonts w:ascii="Arial" w:cs="Arial" w:eastAsia="Arial" w:hAnsi="Arial"/>
                <w:sz w:val="18"/>
                <w:szCs w:val="18"/>
                <w:color w:val="auto"/>
              </w:rPr>
              <w:t>/s/ Richard J. Doleshek</w:t>
            </w:r>
          </w:p>
        </w:tc>
      </w:tr>
      <w:tr>
        <w:trPr>
          <w:trHeight w:val="27"/>
        </w:trPr>
        <w:tc>
          <w:tcPr>
            <w:tcW w:w="1660" w:type="dxa"/>
            <w:vAlign w:val="bottom"/>
            <w:gridSpan w:val="2"/>
          </w:tcPr>
          <w:p>
            <w:pPr>
              <w:spacing w:after="0"/>
              <w:rPr>
                <w:sz w:val="2"/>
                <w:szCs w:val="2"/>
                <w:color w:val="auto"/>
              </w:rPr>
            </w:pPr>
          </w:p>
        </w:tc>
        <w:tc>
          <w:tcPr>
            <w:tcW w:w="9720" w:type="dxa"/>
            <w:vAlign w:val="bottom"/>
          </w:tcPr>
          <w:p>
            <w:pPr>
              <w:spacing w:after="0"/>
              <w:rPr>
                <w:sz w:val="2"/>
                <w:szCs w:val="2"/>
                <w:color w:val="auto"/>
              </w:rPr>
            </w:pPr>
          </w:p>
        </w:tc>
      </w:tr>
      <w:tr>
        <w:trPr>
          <w:trHeight w:val="237"/>
        </w:trPr>
        <w:tc>
          <w:tcPr>
            <w:tcW w:w="146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20"/>
                <w:szCs w:val="20"/>
                <w:color w:val="auto"/>
              </w:rPr>
            </w:pPr>
          </w:p>
        </w:tc>
        <w:tc>
          <w:tcPr>
            <w:tcW w:w="9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Richard J. Doleshek</w:t>
            </w:r>
          </w:p>
        </w:tc>
      </w:tr>
      <w:tr>
        <w:trPr>
          <w:trHeight w:val="270"/>
        </w:trPr>
        <w:tc>
          <w:tcPr>
            <w:tcW w:w="1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972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Omnibus Agreement</w:t>
      </w:r>
      <w:r>
        <w:rPr>
          <w:rFonts w:ascii="Arial" w:cs="Arial" w:eastAsia="Arial" w:hAnsi="Arial"/>
          <w:sz w:val="18"/>
          <w:szCs w:val="18"/>
          <w:color w:val="auto"/>
        </w:rPr>
        <w:t>]</w:t>
      </w:r>
    </w:p>
    <w:p>
      <w:pPr>
        <w:sectPr>
          <w:pgSz w:w="11900" w:h="16838" w:orient="portrait"/>
          <w:cols w:equalWidth="0" w:num="1">
            <w:col w:w="11380"/>
          </w:cols>
          <w:pgMar w:left="280" w:top="959" w:right="239" w:bottom="1440" w:gutter="0" w:footer="0" w:header="0"/>
        </w:sectPr>
      </w:pPr>
    </w:p>
    <w:bookmarkStart w:id="266" w:name="page267"/>
    <w:bookmarkEnd w:id="266"/>
    <w:p>
      <w:pPr>
        <w:jc w:val="center"/>
        <w:ind w:right="-79"/>
        <w:spacing w:after="0"/>
        <w:rPr>
          <w:sz w:val="20"/>
          <w:szCs w:val="20"/>
          <w:color w:val="auto"/>
        </w:rPr>
      </w:pPr>
      <w:r>
        <w:rPr>
          <w:rFonts w:ascii="Arial" w:cs="Arial" w:eastAsia="Arial" w:hAnsi="Arial"/>
          <w:sz w:val="18"/>
          <w:szCs w:val="18"/>
          <w:b w:val="1"/>
          <w:bCs w:val="1"/>
          <w:u w:val="single" w:color="auto"/>
          <w:color w:val="auto"/>
        </w:rPr>
        <w:t>APPENDIX A</w:t>
      </w:r>
    </w:p>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Attached to and made part of that certain Omnibus Agreement, dated as of August 14, 2013, by and among QEP Resources, Inc., a Delaware corporation, QEP Field Services Company, a Delaware corporation, QEP Midstream Partners,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QEP Midstream Partners GP, LLC, a Delaware limited liability company and the general partner of the Partnership, and QEP Midstream Partners Operating, LLC, a Delaware limited liability company and wholly owned subsidiary of the Partnership.</w:t>
      </w:r>
    </w:p>
    <w:p>
      <w:pPr>
        <w:spacing w:after="0" w:line="13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1993 Gathering Agreement</w:t>
      </w:r>
      <w:r>
        <w:rPr>
          <w:rFonts w:ascii="Arial" w:cs="Arial" w:eastAsia="Arial" w:hAnsi="Arial"/>
          <w:sz w:val="18"/>
          <w:szCs w:val="18"/>
          <w:color w:val="auto"/>
        </w:rPr>
        <w:t>” means that certain gas gathering agreement, dated September 1, 1993, between Questar Gas Company (f/k/a Mountain Fuel Supply Company) and QEP Field Services Company (f/k/a Questar Pipeline Company), as amended.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 means the equity interests in the entities being conveyed, contributed or otherwise transferred to any Group Member pursuant to the Contribution Agreement and any gathering pipelines, transportation pipelines, compressor stations, pump stations, metering stations, vehicles, related equipment, offices, real estate, contracts and other assets, or portions thereof owned by, leased by or necessary for the operation of the business of any Group Member as of the Closing Date.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means any proprietary or confidential information that is competitively sensitive material or otherwise of value to a Party or its Affiliates and not generally known to the public, including trade secrets, scientific or technical information, design, invention, process, procedure, formula, improvements, product planning information, marketing strategies, financial information, information regarding operations, consumer and/or customer relationships, consumer and/or customer identities and profiles, sales estimates, business plans, and internal performance results relating to the past, present or future business activities of a Party or its Affiliates and the consumers, customers, clients and suppliers of any of the foregoing. Confidential Information includes such information as may be contained in or embodied by documents, substances, engineering and laboratory notebooks, reports, data, specifications, computer source code and object code, flow charts, databases, drawings, pilot plants or demonstration or operating facilities, diagrams, specifications, bills of material, equipment, prototypes and models, and any other tangible manifestation (including data in computer or other digital format)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Confidential Information does not include information that a receiving Party can show (A) has been published</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360"/>
          </w:cols>
          <w:pgMar w:left="240" w:top="959" w:right="299" w:bottom="1440" w:gutter="0" w:footer="0" w:header="0"/>
        </w:sectPr>
      </w:pPr>
    </w:p>
    <w:bookmarkStart w:id="267" w:name="page268"/>
    <w:bookmarkEnd w:id="267"/>
    <w:p>
      <w:pPr>
        <w:spacing w:after="0" w:line="259" w:lineRule="auto"/>
        <w:rPr>
          <w:sz w:val="20"/>
          <w:szCs w:val="20"/>
          <w:color w:val="auto"/>
        </w:rPr>
      </w:pPr>
      <w:r>
        <w:rPr>
          <w:rFonts w:ascii="Arial" w:cs="Arial" w:eastAsia="Arial" w:hAnsi="Arial"/>
          <w:sz w:val="18"/>
          <w:szCs w:val="18"/>
          <w:color w:val="auto"/>
        </w:rPr>
        <w:t>or has otherwise become available to the general public as part of the public domain without breach of this Agreement, (B) has been furnished or made known to the receiving Party without any obligation to keep it confidential by a third party under circumstances which are not known to the receiving Party to involve a breach of the third party’s obligations to a Party or (C) was developed independently of information furnished or made available to the receiving Party as contemplated under this Agreement.</w:t>
      </w:r>
    </w:p>
    <w:p>
      <w:pPr>
        <w:spacing w:after="0" w:line="13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 Agreement</w:t>
      </w:r>
      <w:r>
        <w:rPr>
          <w:rFonts w:ascii="Arial" w:cs="Arial" w:eastAsia="Arial" w:hAnsi="Arial"/>
          <w:sz w:val="18"/>
          <w:szCs w:val="18"/>
          <w:color w:val="auto"/>
        </w:rPr>
        <w:t>” means that certain Contribution, Conveyance and Assumption Agreement, dated as of the Closing Date, among Field Services, the General Partner, the Partnership and the Operating Company, together with the additional conveyance documents and instruments contemplated or referenced thereunder, as such may be amended, supplemented or restated from time to time.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Environmental Losses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Departing General Partner</w:t>
      </w:r>
      <w:r>
        <w:rPr>
          <w:rFonts w:ascii="Arial" w:cs="Arial" w:eastAsia="Arial" w:hAnsi="Arial"/>
          <w:sz w:val="18"/>
          <w:szCs w:val="18"/>
          <w:color w:val="auto"/>
        </w:rPr>
        <w:t>” means a former General Partner from and after the effective date of any withdrawal or removal of such former General Partner pursuant to Section 11.1 or Section 11.2 of the Partnership Agreement.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Deductible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Defect</w:t>
      </w:r>
      <w:r>
        <w:rPr>
          <w:rFonts w:ascii="Arial" w:cs="Arial" w:eastAsia="Arial" w:hAnsi="Arial"/>
          <w:sz w:val="18"/>
          <w:szCs w:val="18"/>
          <w:color w:val="auto"/>
        </w:rPr>
        <w:t xml:space="preserve">” is defined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1" w:lineRule="exact"/>
        <w:rPr>
          <w:sz w:val="20"/>
          <w:szCs w:val="20"/>
          <w:color w:val="auto"/>
        </w:rPr>
      </w:pPr>
    </w:p>
    <w:p>
      <w:pPr>
        <w:ind w:right="180" w:firstLine="4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xml:space="preserve">” means all federal, state, and local laws, statutes, rules, regulations, orders, judgments, ordinances, codes, injunctions, decrees, Environmental Permits and other legally enforceable requirements and rules of common law relating to pollution or protection of human health, natural resources, wildlife and the environment or workplace health or safety including, without limitation, the federal Comprehensive Environmental Response, Compensation, and Liability Act of 1980, as amended, 42 U.S.C. §§9601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Resource Conservation and Recovery Act of 1976, as amended, 42 U.S.C. §§6901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Clean Air Act, as amended, 42 U.S.C. §§7401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Federal Water Pollution Control Act, as amended, 33 U.S.C. §§1251 </w:t>
      </w:r>
      <w:r>
        <w:rPr>
          <w:rFonts w:ascii="Arial" w:cs="Arial" w:eastAsia="Arial" w:hAnsi="Arial"/>
          <w:sz w:val="16"/>
          <w:szCs w:val="16"/>
          <w:i w:val="1"/>
          <w:iCs w:val="1"/>
          <w:color w:val="auto"/>
        </w:rPr>
        <w:t>et</w:t>
      </w:r>
      <w:r>
        <w:rPr>
          <w:rFonts w:ascii="Arial" w:cs="Arial" w:eastAsia="Arial" w:hAnsi="Arial"/>
          <w:sz w:val="16"/>
          <w:szCs w:val="16"/>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the Toxic Substances Control Act, as amended, 15 U.S.C. §§2601</w:t>
      </w:r>
      <w:r>
        <w:rPr>
          <w:rFonts w:ascii="Arial" w:cs="Arial" w:eastAsia="Arial" w:hAnsi="Arial"/>
          <w:sz w:val="16"/>
          <w:szCs w:val="16"/>
          <w:i w:val="1"/>
          <w:iCs w:val="1"/>
          <w:color w:val="auto"/>
        </w:rPr>
        <w:t xml:space="preserve"> et seq.</w:t>
      </w:r>
      <w:r>
        <w:rPr>
          <w:rFonts w:ascii="Arial" w:cs="Arial" w:eastAsia="Arial" w:hAnsi="Arial"/>
          <w:sz w:val="16"/>
          <w:szCs w:val="16"/>
          <w:color w:val="auto"/>
        </w:rPr>
        <w:t>, the Oil Pollution Act of 1990, 33 U.S.C. §§2701</w:t>
      </w:r>
      <w:r>
        <w:rPr>
          <w:rFonts w:ascii="Arial" w:cs="Arial" w:eastAsia="Arial" w:hAnsi="Arial"/>
          <w:sz w:val="16"/>
          <w:szCs w:val="16"/>
          <w:i w:val="1"/>
          <w:iCs w:val="1"/>
          <w:color w:val="auto"/>
        </w:rPr>
        <w:t xml:space="preserve"> et seq.</w:t>
      </w:r>
      <w:r>
        <w:rPr>
          <w:rFonts w:ascii="Arial" w:cs="Arial" w:eastAsia="Arial" w:hAnsi="Arial"/>
          <w:sz w:val="16"/>
          <w:szCs w:val="16"/>
          <w:color w:val="auto"/>
        </w:rPr>
        <w:t>, the Safe Drinking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Water Act of 1974, as amended, 42 USC §§300f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Hazardous Materials Transportation Act of 1994, as amended, 49 U.S.C. §§ 5101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other environmental conservation and protection laws and the Occupational Safety and Health Act of 1970, 29 U.S.C. §§ 651 </w:t>
      </w:r>
      <w:r>
        <w:rPr>
          <w:rFonts w:ascii="Arial" w:cs="Arial" w:eastAsia="Arial" w:hAnsi="Arial"/>
          <w:sz w:val="16"/>
          <w:szCs w:val="16"/>
          <w:i w:val="1"/>
          <w:iCs w:val="1"/>
          <w:color w:val="auto"/>
        </w:rPr>
        <w:t>et seq</w:t>
      </w:r>
      <w:r>
        <w:rPr>
          <w:rFonts w:ascii="Arial" w:cs="Arial" w:eastAsia="Arial" w:hAnsi="Arial"/>
          <w:sz w:val="16"/>
          <w:szCs w:val="16"/>
          <w:color w:val="auto"/>
        </w:rPr>
        <w:t>, and the regulations promulgated pursuant thereto, and any state or local counterparts, each as amended from time to time.</w:t>
      </w:r>
    </w:p>
    <w:p>
      <w:pPr>
        <w:spacing w:after="0" w:line="11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Permit</w:t>
      </w:r>
      <w:r>
        <w:rPr>
          <w:rFonts w:ascii="Arial" w:cs="Arial" w:eastAsia="Arial" w:hAnsi="Arial"/>
          <w:sz w:val="18"/>
          <w:szCs w:val="18"/>
          <w:color w:val="auto"/>
        </w:rPr>
        <w:t>” means any permit, approval, identification number, license, registration, certification, consent, exemption, variance or other authorization required under or issued pursuant to any applicable Environmental Law, including applications for renewal of such permits in which the application allows for continued operation under the terms of an expired permit.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Field Services</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and Administrative Services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420"/>
          </w:cols>
          <w:pgMar w:left="240" w:top="801" w:right="239" w:bottom="1440" w:gutter="0" w:footer="0" w:header="0"/>
        </w:sectPr>
      </w:pPr>
    </w:p>
    <w:bookmarkStart w:id="268" w:name="page269"/>
    <w:bookmarkEnd w:id="268"/>
    <w:p>
      <w:pPr>
        <w:ind w:right="26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means QEP Midstream Partners GP, LLC, a Delaware limited liability company, and its successors and permitted assigns that are admitted to the Partnership as general partner of the Partnership, in its capacity as general partner of the Partnership (except as the context otherwise requires).</w:t>
      </w:r>
    </w:p>
    <w:p>
      <w:pPr>
        <w:spacing w:after="0" w:line="12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federal, state, tribal, foreign or local governmental entity, authority, department, court or agency, including any political subdivision thereof, exercising, or entitled to exercise, any administrative, executive, judicial, legislative, police, regulatory or taxing authority or power of any nature, and including any arbitrating body, commission or quasi-governmental authority or self-regulating organization of competent authority exercising or enlisted to exercise similar power or authority.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Partnership Group.</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Hazardous Substance</w:t>
      </w:r>
      <w:r>
        <w:rPr>
          <w:rFonts w:ascii="Arial" w:cs="Arial" w:eastAsia="Arial" w:hAnsi="Arial"/>
          <w:sz w:val="17"/>
          <w:szCs w:val="17"/>
          <w:color w:val="auto"/>
        </w:rPr>
        <w:t>” means (a) any substance, whether solid, liquid, gaseous, semi-solid, or any combination thereof, that is designated, defined or classified as a hazardous waste, solid waste, hazardous material, pollutant, contaminant or toxic or hazardous substance, or terms of similar meaning, or that is otherwise regulated under any Environmental Law, including, without limitation, any hazardous substance as defined under the Comprehensive Environmental Response, Compensation, and Liability Act, as amended, and including asbestos and lead-containing paints or coatings, and (b) petroleum, oil, gasoline, natural gas, fuel oil, motor oil, waste oil, diesel fuel, jet fuel, and other refined petroleum hydrocarbons.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Identification Deadline</w:t>
      </w:r>
      <w:r>
        <w:rPr>
          <w:rFonts w:ascii="Arial" w:cs="Arial" w:eastAsia="Arial" w:hAnsi="Arial"/>
          <w:sz w:val="18"/>
          <w:szCs w:val="18"/>
          <w:color w:val="auto"/>
        </w:rPr>
        <w:t>” means the third anniversary of the Closing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means the Party entitled to indemnification in accordance with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means the Party from whom indemnification may be sought in accordance with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1"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Partner</w:t>
      </w:r>
      <w:r>
        <w:rPr>
          <w:rFonts w:ascii="Arial" w:cs="Arial" w:eastAsia="Arial" w:hAnsi="Arial"/>
          <w:sz w:val="18"/>
          <w:szCs w:val="18"/>
          <w:color w:val="auto"/>
        </w:rPr>
        <w:t xml:space="preserve">” means, unless the context otherwise requires, each Person that becomes a Limited Partner pursuant to the terms of the Partnership Agreement and any Departing General Partner upon the change of its status from General Partner to Limited Partner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of the Partnership Agreement, in each case, in such Person’s capacity as a limited partner of the Partnership;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when the term “Limited Partner” is used herein in the context of any vote or other approval, such term shall not, solely for such purpose, include any holder of any Incentive Distribution Right (solely with respect to its Incentive Distribution Rights and not with respect to any other limited partner interest held by such Person) except as may otherwise be required by law.</w:t>
      </w:r>
    </w:p>
    <w:p>
      <w:pPr>
        <w:spacing w:after="0" w:line="139"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any losses, damages, liabilities, claims, demands, causes of action, judgments, settlements, fines, penalties, costs and expenses (including, without limitation, court costs and reasonable attorney’s and expert’s fees) of any and every kind or character, known or unknown, fixed or contingent.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Mediation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420"/>
          </w:cols>
          <w:pgMar w:left="240" w:top="801" w:right="239" w:bottom="1440" w:gutter="0" w:footer="0" w:header="0"/>
        </w:sectPr>
      </w:pPr>
    </w:p>
    <w:bookmarkStart w:id="269" w:name="page270"/>
    <w:bookmarkEnd w:id="269"/>
    <w:p>
      <w:pPr>
        <w:ind w:firstLine="432"/>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Mesa Condensate Trunk Line</w:t>
      </w:r>
      <w:r>
        <w:rPr>
          <w:rFonts w:ascii="Arial" w:cs="Arial" w:eastAsia="Arial" w:hAnsi="Arial"/>
          <w:sz w:val="18"/>
          <w:szCs w:val="18"/>
          <w:color w:val="auto"/>
        </w:rPr>
        <w:t xml:space="preserve">” means that certain section of 6 </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OD pipe beginning in Sublette County, Wyoming in the Center T33N R109W S18 Latitude 42.69205036 Longitude -109.8102758 traversing in a southeasterly direction approximately 68,000 linear feet and ending in the SW 1/4 NW 1/4 T31N R109W S2 Latitude 42.82930891 Longitude -109.9076653.</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Operating Company</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means the First Amended and Restated Agreement of Limited Partnership of the Partnership, dated as of the Closing Date.</w:t>
      </w:r>
    </w:p>
    <w:p>
      <w:pPr>
        <w:spacing w:after="0" w:line="1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Change of Control</w:t>
      </w:r>
      <w:r>
        <w:rPr>
          <w:rFonts w:ascii="Arial" w:cs="Arial" w:eastAsia="Arial" w:hAnsi="Arial"/>
          <w:sz w:val="18"/>
          <w:szCs w:val="18"/>
          <w:color w:val="auto"/>
        </w:rPr>
        <w:t>” means QEP ceases to control, directly or indirectly, the General Partner. For purposes of this definition,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possession, directly or indirectly, of the power to direct or cause the direction of the management and policies of the General Partner, whether through ownership of voting securities, by contract, or otherwise.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Group</w:t>
      </w:r>
      <w:r>
        <w:rPr>
          <w:rFonts w:ascii="Arial" w:cs="Arial" w:eastAsia="Arial" w:hAnsi="Arial"/>
          <w:sz w:val="18"/>
          <w:szCs w:val="18"/>
          <w:color w:val="auto"/>
        </w:rPr>
        <w:t>” means, collectively, the Partnership and its Subsidiaries.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License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Marks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firm, limited liability company, partnership, joint venture, trust, unincorporated organization, association, government agency or political subdivision thereof or other entity.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QEP</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QEP Entities</w:t>
      </w:r>
      <w:r>
        <w:rPr>
          <w:rFonts w:ascii="Arial" w:cs="Arial" w:eastAsia="Arial" w:hAnsi="Arial"/>
          <w:sz w:val="18"/>
          <w:szCs w:val="18"/>
          <w:color w:val="auto"/>
        </w:rPr>
        <w:t>” means QEP and each of its Affiliates, other than the General Partner and the Group Members.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QEP License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QEP Marks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Retained Assets</w:t>
      </w:r>
      <w:r>
        <w:rPr>
          <w:rFonts w:ascii="Arial" w:cs="Arial" w:eastAsia="Arial" w:hAnsi="Arial"/>
          <w:sz w:val="18"/>
          <w:szCs w:val="18"/>
          <w:color w:val="auto"/>
        </w:rPr>
        <w:t>” means all pipelines, processing facilities, treating assets, vehicles, other midstream infrastructure, offices and related equipment, real estate, contracts and other related assets, or ownership interests or portions thereof owned by Field Services that were not directly or indirectly conveyed, contributed or otherwise transferred to the Partnership Group pursuant to the Contribution Agreement or the other documents referenced in the Contribution Agreement.</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360"/>
          </w:cols>
          <w:pgMar w:left="240" w:top="801" w:right="299" w:bottom="1440" w:gutter="0" w:footer="0" w:header="0"/>
        </w:sectPr>
      </w:pPr>
    </w:p>
    <w:bookmarkStart w:id="270" w:name="page271"/>
    <w:bookmarkEnd w:id="270"/>
    <w:p>
      <w:pPr>
        <w:ind w:firstLine="432"/>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380"/>
          </w:cols>
          <w:pgMar w:left="240" w:top="801" w:right="279" w:bottom="1440" w:gutter="0" w:footer="0" w:header="0"/>
        </w:sectPr>
      </w:pPr>
    </w:p>
    <w:bookmarkStart w:id="271" w:name="page272"/>
    <w:bookmarkEnd w:id="271"/>
    <w:p>
      <w:pPr>
        <w:jc w:val="center"/>
        <w:ind w:right="15"/>
        <w:spacing w:after="0"/>
        <w:rPr>
          <w:sz w:val="20"/>
          <w:szCs w:val="20"/>
          <w:color w:val="auto"/>
        </w:rPr>
      </w:pPr>
      <w:r>
        <w:rPr>
          <w:rFonts w:ascii="Arial" w:cs="Arial" w:eastAsia="Arial" w:hAnsi="Arial"/>
          <w:sz w:val="18"/>
          <w:szCs w:val="18"/>
          <w:color w:val="auto"/>
        </w:rPr>
        <w:t>Schedule A</w:t>
      </w:r>
    </w:p>
    <w:p>
      <w:pPr>
        <w:spacing w:after="0" w:line="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Pre-Closing Litigation</w:t>
      </w:r>
    </w:p>
    <w:p>
      <w:pPr>
        <w:spacing w:after="0" w:line="325"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Matter Name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Matter</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Party</w:t>
            </w:r>
          </w:p>
        </w:tc>
        <w:tc>
          <w:tcPr>
            <w:tcW w:w="120" w:type="dxa"/>
            <w:vAlign w:val="bottom"/>
            <w:vMerge w:val="restart"/>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Matter</w:t>
            </w:r>
          </w:p>
        </w:tc>
        <w:tc>
          <w:tcPr>
            <w:tcW w:w="14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Case/Docket #</w:t>
            </w:r>
          </w:p>
        </w:tc>
        <w:tc>
          <w:tcPr>
            <w:tcW w:w="100" w:type="dxa"/>
            <w:vAlign w:val="bottom"/>
            <w:vMerge w:val="restart"/>
          </w:tcPr>
          <w:p>
            <w:pPr>
              <w:spacing w:after="0"/>
              <w:rPr>
                <w:sz w:val="14"/>
                <w:szCs w:val="14"/>
                <w:color w:val="auto"/>
              </w:rPr>
            </w:pPr>
          </w:p>
        </w:tc>
        <w:tc>
          <w:tcPr>
            <w:tcW w:w="14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Court/Agency</w:t>
            </w:r>
          </w:p>
        </w:tc>
        <w:tc>
          <w:tcPr>
            <w:tcW w:w="100" w:type="dxa"/>
            <w:vAlign w:val="bottom"/>
            <w:vMerge w:val="restart"/>
          </w:tcPr>
          <w:p>
            <w:pPr>
              <w:spacing w:after="0"/>
              <w:rPr>
                <w:sz w:val="14"/>
                <w:szCs w:val="14"/>
                <w:color w:val="auto"/>
              </w:rPr>
            </w:pPr>
          </w:p>
        </w:tc>
        <w:tc>
          <w:tcPr>
            <w:tcW w:w="14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State</w:t>
            </w:r>
          </w:p>
        </w:tc>
        <w:tc>
          <w:tcPr>
            <w:tcW w:w="0" w:type="dxa"/>
            <w:vAlign w:val="bottom"/>
          </w:tcPr>
          <w:p>
            <w:pPr>
              <w:spacing w:after="0"/>
              <w:rPr>
                <w:sz w:val="1"/>
                <w:szCs w:val="1"/>
                <w:color w:val="auto"/>
              </w:rPr>
            </w:pPr>
          </w:p>
        </w:tc>
      </w:tr>
      <w:tr>
        <w:trPr>
          <w:trHeight w:val="192"/>
        </w:trPr>
        <w:tc>
          <w:tcPr>
            <w:tcW w:w="2340" w:type="dxa"/>
            <w:vAlign w:val="bottom"/>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Litigation</w:t>
            </w: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QEP Field</w:t>
            </w: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Contract Dispute</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120,902,969</w:t>
            </w:r>
          </w:p>
        </w:tc>
        <w:tc>
          <w:tcPr>
            <w:tcW w:w="10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Third Judicial</w:t>
            </w:r>
          </w:p>
        </w:tc>
        <w:tc>
          <w:tcPr>
            <w:tcW w:w="1400" w:type="dxa"/>
            <w:vAlign w:val="bottom"/>
          </w:tcPr>
          <w:p>
            <w:pPr>
              <w:ind w:left="40"/>
              <w:spacing w:after="0"/>
              <w:rPr>
                <w:sz w:val="20"/>
                <w:szCs w:val="20"/>
                <w:color w:val="auto"/>
              </w:rPr>
            </w:pPr>
            <w:r>
              <w:rPr>
                <w:rFonts w:ascii="Arial" w:cs="Arial" w:eastAsia="Arial" w:hAnsi="Arial"/>
                <w:sz w:val="18"/>
                <w:szCs w:val="18"/>
                <w:color w:val="auto"/>
              </w:rPr>
              <w:t>UT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Questar Gas Company v.</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District Court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340" w:type="dxa"/>
            <w:vAlign w:val="bottom"/>
          </w:tcPr>
          <w:p>
            <w:pPr>
              <w:spacing w:after="0"/>
              <w:rPr>
                <w:sz w:val="20"/>
                <w:szCs w:val="20"/>
                <w:color w:val="auto"/>
              </w:rPr>
            </w:pPr>
            <w:r>
              <w:rPr>
                <w:rFonts w:ascii="Arial" w:cs="Arial" w:eastAsia="Arial" w:hAnsi="Arial"/>
                <w:sz w:val="18"/>
                <w:szCs w:val="18"/>
                <w:color w:val="auto"/>
                <w:w w:val="93"/>
              </w:rPr>
              <w:t>QEP Field Services Company</w:t>
            </w:r>
            <w:r>
              <w:rPr>
                <w:rFonts w:ascii="Arial" w:cs="Arial" w:eastAsia="Arial" w:hAnsi="Arial"/>
                <w:sz w:val="25"/>
                <w:szCs w:val="25"/>
                <w:color w:val="auto"/>
                <w:w w:val="93"/>
                <w:vertAlign w:val="superscript"/>
              </w:rPr>
              <w:t>1</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465" w:right="160" w:hanging="465"/>
        <w:spacing w:after="0" w:line="226" w:lineRule="auto"/>
        <w:tabs>
          <w:tab w:leader="none" w:pos="465" w:val="left"/>
        </w:tabs>
        <w:numPr>
          <w:ilvl w:val="0"/>
          <w:numId w:val="244"/>
        </w:numPr>
        <w:rPr>
          <w:rFonts w:ascii="Arial" w:cs="Arial" w:eastAsia="Arial" w:hAnsi="Arial"/>
          <w:sz w:val="25"/>
          <w:szCs w:val="25"/>
          <w:color w:val="auto"/>
          <w:vertAlign w:val="superscript"/>
        </w:rPr>
      </w:pPr>
      <w:r>
        <w:rPr>
          <w:rFonts w:ascii="Arial" w:cs="Arial" w:eastAsia="Arial" w:hAnsi="Arial"/>
          <w:sz w:val="18"/>
          <w:szCs w:val="18"/>
          <w:color w:val="auto"/>
        </w:rPr>
        <w:t>QEP Resources, Inc. and QEP Field Services Company shall not be obligated to indemnify QEP Midstream Partners, LP or any other Group Member for Losses incurred as a result of a decrease in the annual gathering rate charged under the 1993 Gathering Agreement subsequent to the date that this litigation is settled or resolved by a final, binding and non-appealable court order.</w:t>
      </w:r>
    </w:p>
    <w:p>
      <w:pPr>
        <w:spacing w:after="0" w:line="17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Schedule A-1</w:t>
      </w:r>
    </w:p>
    <w:p>
      <w:pPr>
        <w:sectPr>
          <w:pgSz w:w="11900" w:h="16838" w:orient="portrait"/>
          <w:cols w:equalWidth="0" w:num="1">
            <w:col w:w="11385"/>
          </w:cols>
          <w:pgMar w:left="275" w:top="800" w:right="2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580" w:type="dxa"/>
            <w:vAlign w:val="bottom"/>
          </w:tcPr>
          <w:p>
            <w:pPr>
              <w:jc w:val="center"/>
              <w:ind w:right="1753"/>
              <w:spacing w:after="0"/>
              <w:rPr>
                <w:sz w:val="20"/>
                <w:szCs w:val="20"/>
                <w:color w:val="auto"/>
              </w:rPr>
            </w:pPr>
            <w:r>
              <w:rPr>
                <w:rFonts w:ascii="Arial" w:cs="Arial" w:eastAsia="Arial" w:hAnsi="Arial"/>
                <w:sz w:val="18"/>
                <w:szCs w:val="18"/>
                <w:color w:val="auto"/>
                <w:w w:val="89"/>
              </w:rPr>
              <w:t>Schedule B</w:t>
            </w:r>
          </w:p>
        </w:tc>
      </w:tr>
      <w:tr>
        <w:trPr>
          <w:trHeight w:val="230"/>
        </w:trPr>
        <w:tc>
          <w:tcPr>
            <w:tcW w:w="1800" w:type="dxa"/>
            <w:vAlign w:val="bottom"/>
          </w:tcPr>
          <w:p>
            <w:pPr>
              <w:spacing w:after="0"/>
              <w:rPr>
                <w:sz w:val="20"/>
                <w:szCs w:val="20"/>
                <w:color w:val="auto"/>
              </w:rPr>
            </w:pPr>
          </w:p>
        </w:tc>
        <w:tc>
          <w:tcPr>
            <w:tcW w:w="9580" w:type="dxa"/>
            <w:vAlign w:val="bottom"/>
          </w:tcPr>
          <w:p>
            <w:pPr>
              <w:jc w:val="center"/>
              <w:ind w:right="1753"/>
              <w:spacing w:after="0"/>
              <w:rPr>
                <w:sz w:val="20"/>
                <w:szCs w:val="20"/>
                <w:color w:val="auto"/>
              </w:rPr>
            </w:pPr>
            <w:r>
              <w:rPr>
                <w:rFonts w:ascii="Arial" w:cs="Arial" w:eastAsia="Arial" w:hAnsi="Arial"/>
                <w:sz w:val="18"/>
                <w:szCs w:val="18"/>
                <w:color w:val="auto"/>
                <w:w w:val="91"/>
              </w:rPr>
              <w:t>Environmental Remediation Locations</w:t>
            </w:r>
          </w:p>
        </w:tc>
      </w:tr>
      <w:tr>
        <w:trPr>
          <w:trHeight w:val="844"/>
        </w:trPr>
        <w:tc>
          <w:tcPr>
            <w:tcW w:w="1800" w:type="dxa"/>
            <w:vAlign w:val="bottom"/>
          </w:tcPr>
          <w:p>
            <w:pPr>
              <w:spacing w:after="0"/>
              <w:rPr>
                <w:sz w:val="20"/>
                <w:szCs w:val="20"/>
                <w:color w:val="auto"/>
              </w:rPr>
            </w:pPr>
            <w:r>
              <w:rPr>
                <w:rFonts w:ascii="Arial" w:cs="Arial" w:eastAsia="Arial" w:hAnsi="Arial"/>
                <w:sz w:val="14"/>
                <w:szCs w:val="14"/>
                <w:b w:val="1"/>
                <w:bCs w:val="1"/>
                <w:color w:val="auto"/>
              </w:rPr>
              <w:t>Responsible Party</w:t>
            </w:r>
          </w:p>
        </w:tc>
        <w:tc>
          <w:tcPr>
            <w:tcW w:w="9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Description</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Field Services</w:t>
            </w:r>
          </w:p>
        </w:tc>
        <w:tc>
          <w:tcPr>
            <w:tcW w:w="9580" w:type="dxa"/>
            <w:vAlign w:val="bottom"/>
          </w:tcPr>
          <w:p>
            <w:pPr>
              <w:jc w:val="center"/>
              <w:spacing w:after="0"/>
              <w:rPr>
                <w:sz w:val="20"/>
                <w:szCs w:val="20"/>
                <w:color w:val="auto"/>
              </w:rPr>
            </w:pPr>
            <w:r>
              <w:rPr>
                <w:rFonts w:ascii="Arial" w:cs="Arial" w:eastAsia="Arial" w:hAnsi="Arial"/>
                <w:sz w:val="18"/>
                <w:szCs w:val="18"/>
                <w:color w:val="auto"/>
                <w:w w:val="92"/>
              </w:rPr>
              <w:t>South Baxter Groundwater Monitoring (Rock Springs, Wyoming)</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Field Services</w:t>
            </w:r>
          </w:p>
        </w:tc>
        <w:tc>
          <w:tcPr>
            <w:tcW w:w="9580" w:type="dxa"/>
            <w:vAlign w:val="bottom"/>
          </w:tcPr>
          <w:p>
            <w:pPr>
              <w:jc w:val="center"/>
              <w:spacing w:after="0"/>
              <w:rPr>
                <w:sz w:val="20"/>
                <w:szCs w:val="20"/>
                <w:color w:val="auto"/>
              </w:rPr>
            </w:pPr>
            <w:r>
              <w:rPr>
                <w:rFonts w:ascii="Arial" w:cs="Arial" w:eastAsia="Arial" w:hAnsi="Arial"/>
                <w:sz w:val="18"/>
                <w:szCs w:val="18"/>
                <w:color w:val="auto"/>
                <w:w w:val="90"/>
              </w:rPr>
              <w:t>Mesa Condensate Trunk Line</w:t>
            </w:r>
          </w:p>
        </w:tc>
      </w:tr>
      <w:tr>
        <w:trPr>
          <w:trHeight w:val="405"/>
        </w:trPr>
        <w:tc>
          <w:tcPr>
            <w:tcW w:w="1800" w:type="dxa"/>
            <w:vAlign w:val="bottom"/>
          </w:tcPr>
          <w:p>
            <w:pPr>
              <w:spacing w:after="0"/>
              <w:rPr>
                <w:sz w:val="24"/>
                <w:szCs w:val="24"/>
                <w:color w:val="auto"/>
              </w:rPr>
            </w:pPr>
          </w:p>
        </w:tc>
        <w:tc>
          <w:tcPr>
            <w:tcW w:w="9580" w:type="dxa"/>
            <w:vAlign w:val="bottom"/>
          </w:tcPr>
          <w:p>
            <w:pPr>
              <w:jc w:val="center"/>
              <w:ind w:right="1753"/>
              <w:spacing w:after="0"/>
              <w:rPr>
                <w:sz w:val="20"/>
                <w:szCs w:val="20"/>
                <w:color w:val="auto"/>
              </w:rPr>
            </w:pPr>
            <w:r>
              <w:rPr>
                <w:rFonts w:ascii="Arial" w:cs="Arial" w:eastAsia="Arial" w:hAnsi="Arial"/>
                <w:sz w:val="18"/>
                <w:szCs w:val="18"/>
                <w:color w:val="auto"/>
                <w:w w:val="90"/>
              </w:rPr>
              <w:t>Schedule B-1</w:t>
            </w:r>
          </w:p>
        </w:tc>
      </w:tr>
    </w:tbl>
    <w:p>
      <w:pPr>
        <w:sectPr>
          <w:pgSz w:w="11900" w:h="16838" w:orient="portrait"/>
          <w:cols w:equalWidth="0" w:num="1">
            <w:col w:w="11380"/>
          </w:cols>
          <w:pgMar w:left="280" w:top="801" w:right="2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color w:val="auto"/>
        </w:rPr>
        <w:t>Schedule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and Administrative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Pursuant to Section 3.1</w:t>
      </w:r>
    </w:p>
    <w:p>
      <w:pPr>
        <w:spacing w:after="0" w:line="198" w:lineRule="exact"/>
        <w:rPr>
          <w:sz w:val="20"/>
          <w:szCs w:val="20"/>
          <w:color w:val="auto"/>
        </w:rPr>
      </w:pPr>
    </w:p>
    <w:p>
      <w:pPr>
        <w:ind w:left="540" w:right="280" w:hanging="316"/>
        <w:spacing w:after="0" w:line="258"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Management services of QEP and its Affiliates (other than the General Partner) provided by employees who devote less than 50% of their business time to the business and affairs of the Partnership. This cost includes QEP-stock based compensation expense.</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Financial and administrative services (including treasury and accounting)</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Information technology services—professional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Legal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Health, environmental, safety and security services (including third party security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Human resources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Tax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Procurement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Investor relations; Government &amp; public affairs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Analytical &amp; engineering services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Business development services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Pursuant to Section 3.2</w:t>
      </w:r>
    </w:p>
    <w:p>
      <w:pPr>
        <w:spacing w:after="0" w:line="9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The fixed portion of the Administrative Fee for calendar year 2014, as described in </w:t>
      </w:r>
      <w:r>
        <w:rPr>
          <w:rFonts w:ascii="Arial" w:cs="Arial" w:eastAsia="Arial" w:hAnsi="Arial"/>
          <w:sz w:val="18"/>
          <w:szCs w:val="18"/>
          <w:u w:val="single" w:color="auto"/>
          <w:color w:val="auto"/>
        </w:rPr>
        <w:t>Section 3.2</w:t>
      </w:r>
      <w:r>
        <w:rPr>
          <w:rFonts w:ascii="Arial" w:cs="Arial" w:eastAsia="Arial" w:hAnsi="Arial"/>
          <w:sz w:val="18"/>
          <w:szCs w:val="18"/>
          <w:color w:val="auto"/>
        </w:rPr>
        <w:t>, will be $1,400,000. For the avoidance of doubt, the fixed portion of the Administrative Fee for the remainder of calendar year 2013 will be the same annual amount as calendar year 2014 pro-rated based on the number of days remaining in 2013 from the Closing Date.</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portion of the Administrative Fee attributable to any marketing and transportation engineering services, information technology services, administrative/office services, and public company expenses will be a variable amount based on the costs actually incurred by QEP and its Affiliates on behalf of the Partnership Group (other than any costs for which QEP and its Affiliates are reimbursed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The portion of the variable amount of the Administrative Fee attributable to any marketing and transportation engineering services described in the preceding sentence will be based on the costs incurred by QEP and its Affiliates on behalf of the Partnership Group (other than any costs for which QEP and its Affiliates are reimbursed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Pursuant to Section 3.2(b)</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fixed portion of the Administrative Fee for calendar year 2014 includes as a part thereof, the following amounts attributable to services provided by officers of the Partnership Group: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Charles B. Stanley, Chairman of the Board, President and Chief</w:t>
            </w:r>
          </w:p>
        </w:tc>
        <w:tc>
          <w:tcPr>
            <w:tcW w:w="27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7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ExecutiveOfficer</w:t>
            </w:r>
          </w:p>
        </w:tc>
        <w:tc>
          <w:tcPr>
            <w:tcW w:w="2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650,000</w:t>
            </w:r>
          </w:p>
        </w:tc>
      </w:tr>
      <w:tr>
        <w:trPr>
          <w:trHeight w:val="229"/>
        </w:trPr>
        <w:tc>
          <w:tcPr>
            <w:tcW w:w="7280" w:type="dxa"/>
            <w:vAlign w:val="bottom"/>
          </w:tcPr>
          <w:p>
            <w:pPr>
              <w:ind w:left="440"/>
              <w:spacing w:after="0"/>
              <w:rPr>
                <w:sz w:val="20"/>
                <w:szCs w:val="20"/>
                <w:color w:val="auto"/>
              </w:rPr>
            </w:pPr>
            <w:r>
              <w:rPr>
                <w:rFonts w:ascii="Arial" w:cs="Arial" w:eastAsia="Arial" w:hAnsi="Arial"/>
                <w:sz w:val="18"/>
                <w:szCs w:val="18"/>
                <w:color w:val="auto"/>
              </w:rPr>
              <w:t>Richard J. Doleshek, Executive Vice President and Chief Financial</w:t>
            </w:r>
          </w:p>
        </w:tc>
        <w:tc>
          <w:tcPr>
            <w:tcW w:w="27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280" w:type="dxa"/>
            <w:vAlign w:val="bottom"/>
          </w:tcPr>
          <w:p>
            <w:pPr>
              <w:ind w:left="580"/>
              <w:spacing w:after="0"/>
              <w:rPr>
                <w:sz w:val="20"/>
                <w:szCs w:val="20"/>
                <w:color w:val="auto"/>
              </w:rPr>
            </w:pPr>
            <w:r>
              <w:rPr>
                <w:rFonts w:ascii="Arial" w:cs="Arial" w:eastAsia="Arial" w:hAnsi="Arial"/>
                <w:sz w:val="18"/>
                <w:szCs w:val="18"/>
                <w:color w:val="auto"/>
              </w:rPr>
              <w:t>Officer</w:t>
            </w:r>
          </w:p>
        </w:tc>
        <w:tc>
          <w:tcPr>
            <w:tcW w:w="27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350,000</w:t>
            </w:r>
          </w:p>
        </w:tc>
      </w:tr>
      <w:tr>
        <w:trPr>
          <w:trHeight w:val="27"/>
        </w:trPr>
        <w:tc>
          <w:tcPr>
            <w:tcW w:w="7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Perry H. Richards, Senior Vice President and General Manager</w:t>
            </w:r>
          </w:p>
        </w:tc>
        <w:tc>
          <w:tcPr>
            <w:tcW w:w="2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Total</w:t>
            </w:r>
          </w:p>
        </w:tc>
        <w:tc>
          <w:tcPr>
            <w:tcW w:w="27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1,400,000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C-1</w:t>
      </w:r>
    </w:p>
    <w:p>
      <w:pPr>
        <w:sectPr>
          <w:pgSz w:w="11900" w:h="16838" w:orient="portrait"/>
          <w:cols w:equalWidth="0" w:num="1">
            <w:col w:w="11420"/>
          </w:cols>
          <w:pgMar w:left="240" w:top="801"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This Indemnification Agreement (this “Agreement”), dated as of ______________, 20__, is made by and between </w:t>
      </w:r>
      <w:r>
        <w:rPr>
          <w:rFonts w:ascii="Arial" w:cs="Arial" w:eastAsia="Arial" w:hAnsi="Arial"/>
          <w:sz w:val="17"/>
          <w:szCs w:val="17"/>
          <w:b w:val="1"/>
          <w:bCs w:val="1"/>
          <w:color w:val="auto"/>
        </w:rPr>
        <w:t>QEP RESOURCES, INC.</w:t>
      </w:r>
      <w:r>
        <w:rPr>
          <w:rFonts w:ascii="Arial" w:cs="Arial" w:eastAsia="Arial" w:hAnsi="Arial"/>
          <w:sz w:val="17"/>
          <w:szCs w:val="17"/>
          <w:color w:val="auto"/>
        </w:rPr>
        <w:t>,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Delaware corporation (the “Company”) and </w:t>
      </w:r>
      <w:r>
        <w:rPr>
          <w:rFonts w:ascii="Arial" w:cs="Arial" w:eastAsia="Arial" w:hAnsi="Arial"/>
          <w:sz w:val="18"/>
          <w:szCs w:val="18"/>
          <w:b w:val="1"/>
          <w:bCs w:val="1"/>
          <w:color w:val="auto"/>
        </w:rPr>
        <w:t>[NAME]</w:t>
      </w:r>
      <w:r>
        <w:rPr>
          <w:rFonts w:ascii="Arial" w:cs="Arial" w:eastAsia="Arial" w:hAnsi="Arial"/>
          <w:sz w:val="18"/>
          <w:szCs w:val="18"/>
          <w:color w:val="auto"/>
        </w:rPr>
        <w:t xml:space="preserve"> (the “Indemnitee”).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59" w:lineRule="auto"/>
        <w:tabs>
          <w:tab w:leader="none" w:pos="107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recognizes that competent and experienced persons are increasingly reluctant to serve or to continue to serve as directors or officers of corporations unless they are protected by comprehensive liability insurance and indemnification, due to increased exposure to litigation costs and risks resulting from their service to such corporations, and because the exposure frequently bears no reasonable relationship to the compensation of such directors and officers;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0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statutes and judicial decisions regarding the duties of directors and officers are often difficult to apply to particular facts, can be ambiguous or conflicting, and may fail to provide such directors and officers with adequate, reliable knowledge of legal risks to which they are exposed or information regarding the proper course of action to take;</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and Indemnitee recognize that the risk of litigation is significant;</w:t>
      </w:r>
    </w:p>
    <w:p>
      <w:pPr>
        <w:spacing w:after="0" w:line="225" w:lineRule="exact"/>
        <w:rPr>
          <w:rFonts w:ascii="Arial" w:cs="Arial" w:eastAsia="Arial" w:hAnsi="Arial"/>
          <w:sz w:val="18"/>
          <w:szCs w:val="18"/>
          <w:color w:val="auto"/>
        </w:rPr>
      </w:pPr>
    </w:p>
    <w:p>
      <w:pPr>
        <w:ind w:firstLine="656"/>
        <w:spacing w:after="0" w:line="277" w:lineRule="auto"/>
        <w:tabs>
          <w:tab w:leader="none" w:pos="101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does not believe its directors and officers should bear the risk of judgments and other expenses that may occur in cases in which the director or officer had no improper personal interest and in cases where the director or officer was not culpable;</w:t>
      </w:r>
    </w:p>
    <w:p>
      <w:pPr>
        <w:spacing w:after="0" w:line="170" w:lineRule="exact"/>
        <w:rPr>
          <w:rFonts w:ascii="Arial" w:cs="Arial" w:eastAsia="Arial" w:hAnsi="Arial"/>
          <w:sz w:val="18"/>
          <w:szCs w:val="18"/>
          <w:color w:val="auto"/>
        </w:rPr>
      </w:pPr>
    </w:p>
    <w:p>
      <w:pPr>
        <w:ind w:right="20" w:firstLine="656"/>
        <w:spacing w:after="0" w:line="277" w:lineRule="auto"/>
        <w:tabs>
          <w:tab w:leader="none" w:pos="100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believes that the interests of the Company and its shareholders would best be served by a combination of liability insurance and indemnification provided by the Company for the benefit of the directors and officers of the Company;</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2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Company’s Bylaws require the Company to indemnify its directors and officers to the fullest extent permitted by the Delaware General Corporation Law (the “DGCL”). The Bylaws expressly provide that the indemnification provisions set forth therein are not exclusive and contemplate that contracts may be entered into between the Company and its directors and officers with respect to indemnification;</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1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Section 145 of the DGCL (“Section 145”), under which the Company is organized, empowers the Company to indemnify its officers, directors, employees and agents by agreement and to indemnify persons who serve, at the request of the Company, as the directors, officers, employees or agents of other corporations or enterprises, and expressly provides that the indemnification provided by Section 145 is not exclusive;</w:t>
      </w:r>
    </w:p>
    <w:p>
      <w:pPr>
        <w:spacing w:after="0" w:line="165" w:lineRule="exact"/>
        <w:rPr>
          <w:rFonts w:ascii="Arial" w:cs="Arial" w:eastAsia="Arial" w:hAnsi="Arial"/>
          <w:sz w:val="17"/>
          <w:szCs w:val="17"/>
          <w:color w:val="auto"/>
        </w:rPr>
      </w:pPr>
    </w:p>
    <w:p>
      <w:pPr>
        <w:jc w:val="both"/>
        <w:ind w:firstLine="656"/>
        <w:spacing w:after="0" w:line="312" w:lineRule="auto"/>
        <w:tabs>
          <w:tab w:leader="none" w:pos="101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Section 102(b)(7) of the DGCL allows a corporation to include in its certificate of incorporation a provision limiting or eliminating the personal liability of a director for monetary damages in respect of claims by shareholders and corporations for breach of certain fiduciary duties, and the Company has provided in its Certificate of Incorporation that each Director shall be exculpated from such liability to the maximum extent permitted by law;</w:t>
      </w:r>
    </w:p>
    <w:p>
      <w:pPr>
        <w:spacing w:after="0" w:line="146" w:lineRule="exact"/>
        <w:rPr>
          <w:rFonts w:ascii="Arial" w:cs="Arial" w:eastAsia="Arial" w:hAnsi="Arial"/>
          <w:sz w:val="16"/>
          <w:szCs w:val="16"/>
          <w:color w:val="auto"/>
        </w:rPr>
      </w:pPr>
    </w:p>
    <w:p>
      <w:pPr>
        <w:ind w:firstLine="656"/>
        <w:spacing w:after="0" w:line="277" w:lineRule="auto"/>
        <w:tabs>
          <w:tab w:leader="none" w:pos="93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Board of Directors of the Company (the “Board of Directors”) has determined that contractual indemnification as set forth herein is not only reasonable and prudent but also promotes the best interests of the Company and its shareholders;</w:t>
      </w:r>
    </w:p>
    <w:p>
      <w:pPr>
        <w:spacing w:after="0" w:line="170" w:lineRule="exact"/>
        <w:rPr>
          <w:rFonts w:ascii="Arial" w:cs="Arial" w:eastAsia="Arial" w:hAnsi="Arial"/>
          <w:sz w:val="18"/>
          <w:szCs w:val="18"/>
          <w:color w:val="auto"/>
        </w:rPr>
      </w:pPr>
    </w:p>
    <w:p>
      <w:pPr>
        <w:ind w:right="20" w:firstLine="656"/>
        <w:spacing w:after="0" w:line="277" w:lineRule="auto"/>
        <w:tabs>
          <w:tab w:leader="none" w:pos="102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desires and has requested Indemnitee to serve or continue to serve as a director or officer of the Company free from undue concern for unwarranted claims for damages arising out of or related to services to the Company; and</w:t>
      </w:r>
    </w:p>
    <w:p>
      <w:pPr>
        <w:sectPr>
          <w:pgSz w:w="11900" w:h="16838" w:orient="portrait"/>
          <w:cols w:equalWidth="0" w:num="1">
            <w:col w:w="11420"/>
          </w:cols>
          <w:pgMar w:left="240" w:top="841" w:right="239" w:bottom="1440" w:gutter="0" w:footer="0" w:header="0"/>
        </w:sectPr>
      </w:pPr>
    </w:p>
    <w:bookmarkStart w:id="275" w:name="page276"/>
    <w:bookmarkEnd w:id="275"/>
    <w:p>
      <w:pPr>
        <w:ind w:firstLine="656"/>
        <w:spacing w:after="0" w:line="277" w:lineRule="auto"/>
        <w:tabs>
          <w:tab w:leader="none" w:pos="101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Indemnitee is willing to serve, continue to serve or to provide additional service for or on behalf of the Company on the condition that he or she is furnished the indemnity provided for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consideration of the mutual covenants and agreements set forth below, and other good and valuable consideration, the receipt and adequacy of which are hereby acknowledged, the parties hereto, intending to be legally bound, hereby agree as follows:</w:t>
      </w:r>
    </w:p>
    <w:p>
      <w:pPr>
        <w:spacing w:after="0" w:line="197" w:lineRule="exact"/>
        <w:rPr>
          <w:sz w:val="20"/>
          <w:szCs w:val="20"/>
          <w:color w:val="auto"/>
        </w:rPr>
      </w:pPr>
    </w:p>
    <w:p>
      <w:pPr>
        <w:jc w:val="both"/>
        <w:ind w:left="660" w:firstLine="648"/>
        <w:spacing w:after="0" w:line="31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Employment Rights and Duties</w:t>
      </w:r>
      <w:r>
        <w:rPr>
          <w:rFonts w:ascii="Arial" w:cs="Arial" w:eastAsia="Arial" w:hAnsi="Arial"/>
          <w:sz w:val="17"/>
          <w:szCs w:val="17"/>
          <w:color w:val="auto"/>
        </w:rPr>
        <w:t>. Subject to any other obligations imposed on either of the parties by contract or by law, and with the understanding that this Agreement is not intended to confer employment rights on either party which they did not possess on the date of its execution, Indemnitee agrees to serve as a director or officer so long as Indemnitee is duly appointed or elected and qualified in accordance with the applicable provisions of the Certificate of Incorporation and Bylaws of the Company or any subsidiary of the Company and until such time as Indemnitee resigns or fails to stand for election or until Indemnitee’s employment, if any, terminates. Indemnitee may from time to time also perform other services at the request of, or for the convenience of, or otherwise benefiting, the Company. Indemnitee may at any time and for any reason resign or be removed from such position (subject to any other contractual obligation or other obligation imposed by operation of law), in which event the right to indemnification shall continue only as set forth in this Agreement.</w:t>
      </w:r>
    </w:p>
    <w:p>
      <w:pPr>
        <w:ind w:left="660"/>
        <w:spacing w:after="0"/>
        <w:tabs>
          <w:tab w:leader="none" w:pos="26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Indemnification Generally</w:t>
      </w:r>
      <w:r>
        <w:rPr>
          <w:rFonts w:ascii="Arial" w:cs="Arial" w:eastAsia="Arial" w:hAnsi="Arial"/>
          <w:sz w:val="16"/>
          <w:szCs w:val="16"/>
          <w:color w:val="auto"/>
        </w:rPr>
        <w:t>. To the fullest extent permitted by the laws of the State of Delaware:</w:t>
      </w:r>
    </w:p>
    <w:p>
      <w:pPr>
        <w:spacing w:after="0" w:line="50" w:lineRule="exact"/>
        <w:rPr>
          <w:sz w:val="20"/>
          <w:szCs w:val="20"/>
          <w:color w:val="auto"/>
        </w:rPr>
      </w:pPr>
    </w:p>
    <w:p>
      <w:pPr>
        <w:jc w:val="both"/>
        <w:ind w:firstLine="1305"/>
        <w:spacing w:after="0" w:line="334" w:lineRule="auto"/>
        <w:tabs>
          <w:tab w:leader="none" w:pos="2144"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Company shall indemnify Indemnitee if Indemnitee was or is a party or is threatened to be made a party to any threatened, pending or completed action, suit or proceeding, whether civil, criminal, administrative or investigative, by reason of the fact that Indemnitee is or was or has agreed to serve at the request of the Company as a director, officer, employee or agent of the Company (“Position with the Company”), or while serving as a director or officer of the Company, is or was serving or has agreed to serve at the request of the Company as a director, officer, employee or agent (which, for purposes hereof, shall include a trustee, partner, manager or similar capacity) of another corporation, partnership, joint venture, trust, employee benefit plan or other enterprise (“Service at the Request of the Company”), or by reason of any action alleged to have been taken or omitted in such capacity. For the avoidance of doubt, the foregoing indemnification obligation includes, without limitation, claims for monetary damages against Indemnitee in respect of an alleged breach of fiduciary duties, to the fullest extent permitted under Section 102(b)(7) of the DGCL as in existence on the date hereof. Indemnitee will be deemed a party to a proceeding for all purposes hereof if Indemnitee is named as a defendant or respondent in a complaint or petition for relief in that proceeding, regardless of whether Indemnitee is ever served with process or makes an appearance in that proceeding.</w:t>
      </w:r>
    </w:p>
    <w:p>
      <w:pPr>
        <w:spacing w:after="0" w:line="5" w:lineRule="exact"/>
        <w:rPr>
          <w:rFonts w:ascii="Arial" w:cs="Arial" w:eastAsia="Arial" w:hAnsi="Arial"/>
          <w:sz w:val="16"/>
          <w:szCs w:val="16"/>
          <w:color w:val="auto"/>
        </w:rPr>
      </w:pPr>
    </w:p>
    <w:p>
      <w:pPr>
        <w:jc w:val="both"/>
        <w:ind w:firstLine="1305"/>
        <w:spacing w:after="0" w:line="315" w:lineRule="auto"/>
        <w:tabs>
          <w:tab w:leader="none" w:pos="215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indemnification provided by this Section 2 shall be from and against Expenses and judgments, fines and amounts paid in any settlement made in accordance with Section 10 (“Judgments”), incurred by Indemnitee or on Indemnitee’s behalf in connection with such action, suit or proceeding and any appeal therefrom, but shall not be provided if it is finally determined that the Indemnitee acted in bad faith.</w:t>
      </w:r>
    </w:p>
    <w:p>
      <w:pPr>
        <w:jc w:val="both"/>
        <w:ind w:firstLine="1305"/>
        <w:spacing w:after="0" w:line="315" w:lineRule="auto"/>
        <w:tabs>
          <w:tab w:leader="none" w:pos="2144" w:val="left"/>
        </w:tabs>
        <w:numPr>
          <w:ilvl w:val="0"/>
          <w:numId w:val="24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2, in the case of any threatened, pending or completed action or suit by or in the right of the Company to procure a judgment in its favor by reason of Indemnitee’s Position with the Company or Service at the Request of the Company, no indemnification shall be made in respect of any claim, issue or matter as to which Indemnitee shall have been finally adjudged to be liable to the Company. Indemnification may be made, however, to the extent that the Delaware Court of Chancery or the court in which such action or suit was brought shall determine upon application that, despite the adjudication of liability but in view of all the circumstances of the case, Indemnitee is fairly and reasonably entitled to indemnity for such expenses which the Delaware Court of Chancery or such other court shall deem proper.</w:t>
      </w:r>
    </w:p>
    <w:p>
      <w:pPr>
        <w:jc w:val="both"/>
        <w:ind w:firstLine="1305"/>
        <w:spacing w:after="0" w:line="297" w:lineRule="auto"/>
        <w:tabs>
          <w:tab w:leader="none" w:pos="215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The termination of any action, suit or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of itself, create a presumption that Indemnitee did not act in good faith and in a manner which Indemnitee reasonably believed to be in or not opposed to the best interests of the Company, and, with respect to any criminal action or proceeding, had reasonable cause to believe that Indemnitee’s conduct was unlawful.</w:t>
      </w:r>
    </w:p>
    <w:p>
      <w:pPr>
        <w:spacing w:after="0" w:line="1" w:lineRule="exact"/>
        <w:rPr>
          <w:rFonts w:ascii="Arial" w:cs="Arial" w:eastAsia="Arial" w:hAnsi="Arial"/>
          <w:sz w:val="18"/>
          <w:szCs w:val="18"/>
          <w:color w:val="auto"/>
        </w:rPr>
      </w:pPr>
    </w:p>
    <w:p>
      <w:pPr>
        <w:ind w:left="2160" w:hanging="855"/>
        <w:spacing w:after="0"/>
        <w:tabs>
          <w:tab w:leader="none" w:pos="21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For purposes of Section 2, the meaning of the phrase “to the fullest extent permitted by the laws of the State of Delaware” shall</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include, but not be limited to:</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276" w:name="page277"/>
    <w:bookmarkEnd w:id="276"/>
    <w:p>
      <w:pPr>
        <w:ind w:left="660" w:firstLine="1293"/>
        <w:spacing w:after="0" w:line="297" w:lineRule="auto"/>
        <w:tabs>
          <w:tab w:leader="none" w:pos="277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the fullest extent permitted by the provision of the DGCL that authorizes or contemplates additional indemnification by agreement, or the corresponding provision of any amendment to or replacement of the DGCL, and</w:t>
      </w:r>
    </w:p>
    <w:p>
      <w:pPr>
        <w:ind w:left="660" w:firstLine="1293"/>
        <w:spacing w:after="0" w:line="297" w:lineRule="auto"/>
        <w:tabs>
          <w:tab w:leader="none" w:pos="282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ind w:left="660"/>
        <w:spacing w:after="0"/>
        <w:rPr>
          <w:rFonts w:ascii="Arial" w:cs="Arial" w:eastAsia="Arial" w:hAnsi="Arial"/>
          <w:sz w:val="18"/>
          <w:szCs w:val="18"/>
          <w:color w:val="auto"/>
        </w:rPr>
      </w:pPr>
      <w:r>
        <w:rPr>
          <w:rFonts w:ascii="Arial" w:cs="Arial" w:eastAsia="Arial" w:hAnsi="Arial"/>
          <w:sz w:val="18"/>
          <w:szCs w:val="18"/>
          <w:color w:val="auto"/>
        </w:rPr>
        <w:t>Section 3.</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To the extent that Indemnitee has been</w:t>
      </w:r>
    </w:p>
    <w:p>
      <w:pPr>
        <w:spacing w:after="0" w:line="50"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successful on the merits or otherwise in defense of any action, suit or proceeding referred to in Section 2 hereof or in defense of any claim, issue or matter therein (in whole or in part), Indemnitee shall be indemnified against all Expenses incurred in connection therewith. If Indemnitee is not wholly successful in such action, suit or proceeding, but is successful on the merits or otherwise, as to one or more but less than all claims, issues or matters in such action, suit or proceeding, Indemnitee shall be indemnified against Expenses incurred in connection with each successfully resolved claim, issue or matter. If Indemnitee is not wholly successful in such action, suit or proceeding, Indemnitee shall also be indemnified against all Expenses reasonably incurred in connection with a claim, issue or matter related to any claim issue or matter on which Indemnitee was successful. For purposes of this Section and without limitation, the termination of any claim, issue or matter in such an action, suit or proceeding by dismissal, with or without prejudice, shall be deemed to be a successful result as to such claim, issue or matter.</w:t>
      </w:r>
    </w:p>
    <w:p>
      <w:pPr>
        <w:spacing w:after="0" w:line="218" w:lineRule="exact"/>
        <w:rPr>
          <w:sz w:val="20"/>
          <w:szCs w:val="20"/>
          <w:color w:val="auto"/>
        </w:rPr>
      </w:pPr>
    </w:p>
    <w:p>
      <w:pPr>
        <w:jc w:val="both"/>
        <w:ind w:firstLine="1305"/>
        <w:spacing w:after="0" w:line="334" w:lineRule="auto"/>
        <w:tabs>
          <w:tab w:leader="none" w:pos="214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Promptly after receipt by Indemnitee of notice of the commencement of any action, suit or proceeding, Indemnitee shall, if a claim thereof is to be made against the Company hereunder, notify the Company of the commencement thereof. The failure to promptly notify the Company of the commencement of the action, suit or proceeding, or Indemnitee’s request for indemnification, will not relieve the Company from any liability that it may have to Indemnitee hereunder, except to the extent the Company is prejudiced in its defense of such action, suit or proceeding as a result of such failure.</w:t>
      </w:r>
    </w:p>
    <w:p>
      <w:pPr>
        <w:spacing w:after="0" w:line="2" w:lineRule="exact"/>
        <w:rPr>
          <w:rFonts w:ascii="Arial" w:cs="Arial" w:eastAsia="Arial" w:hAnsi="Arial"/>
          <w:sz w:val="16"/>
          <w:szCs w:val="16"/>
          <w:color w:val="auto"/>
        </w:rPr>
      </w:pPr>
    </w:p>
    <w:p>
      <w:pPr>
        <w:jc w:val="both"/>
        <w:ind w:firstLine="1305"/>
        <w:spacing w:after="0" w:line="315" w:lineRule="auto"/>
        <w:tabs>
          <w:tab w:leader="none" w:pos="215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Any indemnification hereunder shall (unless otherwise ordered by a court) be made by the Company unless a determination is made in the specific instance that indemnification of such person is not proper in the circumstances because he or she has not met the applicable standard of conduct set forth in Section 2 hereof. Any such determination shall be made (i) if no Change in Control has occurred, (A) by a majority vote of the directors who are not parties to the action, suit or proceeding in question (“disinterested directors”), even if less than a quorum, (B) by a majority vote of a committee of disinterested directors designated by majority vote of disinterested directors, even if less than a quorum, and (C) if there are no disinterested directors or if the disinterested directors so direct, by Independent Counsel or by the Delaware Chancery Court, and (ii) if a Change in Control has occurred, or at the election of the Indemnitee at anytime, by Independent Counsel.</w:t>
      </w:r>
    </w:p>
    <w:p>
      <w:pPr>
        <w:jc w:val="both"/>
        <w:ind w:firstLine="1305"/>
        <w:spacing w:after="0" w:line="338" w:lineRule="auto"/>
        <w:tabs>
          <w:tab w:leader="none" w:pos="214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4(b) hereof, the Independent Counsel shall be selected by the Indemnitee, and the Indemnitee shall give written notice to the Company advising it of the identity of the Independent Counsel so selected. The Company may, within seven days after such written notice of selection shall have been given, deliver to the Indemnitee a written objection to such selection. Such objection may be asserted only on the ground that the Independent Counsel so selected does not meet the requirements of “Independent Counsel” as defined in Section 8 of this Agreement, and the objection shall set forth with particularity the factual basis of such assertion. If such written objection is timely made, the Independent Counsel so selected may not serve as Independent Counsel unless and until a court has determined that the Independent Counsel meets such requirements. If, within 20 days after submission by the Company of an objection to the selection of the Independent Counsel, the Indemnitee has not proposed an alternate Independent Counsel or submitted the matter to a court of competent jurisdiction, the Company may petition the Court of Chancery of the State of Delaware or other court of competent jurisdiction for resolution of any objection that shall have been made by the Company to the Indemnitee’s selection of Independent Counsel and/or for the appointment as Independent Counsel of a person selected by the court or by such other person as the court shall designate, and the person with respect to whom an objection is so resolved or the person so appointed shall act as Independent Counsel under Section 4(b) hereof. The Company shall pay any and all reasonable fees and expenses incurred by such Independent Counsel in connection with acting pursuant to Section 4(b) hereof, and the Company shall pay all reasonable fees and expenses incident to the procedures of this Section 4(c), regardless of the manner in which such Independent Counsel was selected or appointed. Upon the due commencement of any judicial proceeding or arbitration pursuant to Section 6 of this Agreement, Independent Counsel shall be discharged and relieved of any further responsibility in such capacity (subject to the applicable standards of professional conduct then prevailing).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52" w:right="239" w:bottom="1440" w:gutter="0" w:footer="0" w:header="0"/>
        </w:sectPr>
      </w:pPr>
    </w:p>
    <w:bookmarkStart w:id="277" w:name="page278"/>
    <w:bookmarkEnd w:id="277"/>
    <w:p>
      <w:pPr>
        <w:jc w:val="both"/>
        <w:ind w:firstLine="1305"/>
        <w:spacing w:after="0" w:line="297" w:lineRule="auto"/>
        <w:tabs>
          <w:tab w:leader="none" w:pos="21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Indemnitee and the Company shall provide to the person, persons or entity making such determination with respect to Indemnitee’s entitlement to indemnification, documentation or information related to Indemnitee’s claim for indemnification that is not privileged or otherwise protected from disclosure and that is reasonably available to Indemnitee or the Company, as applicable, and reasonably necessary to such determination and shall otherwise cooperate with such person, persons or entity making such determination. Any Expenses incurred by Indemnitee in providing documentation in response to inquiries from the person, persons or entity making such determination, or in so cooperating, shall be borne by the Company (irrespective of the determination as to Indemnitee’s entitlement to indemnification), and the Company hereby indemnifies and agrees to hold Indemnitee harmless therefrom.</w:t>
      </w:r>
    </w:p>
    <w:p>
      <w:pPr>
        <w:spacing w:after="0" w:line="3" w:lineRule="exact"/>
        <w:rPr>
          <w:rFonts w:ascii="Arial" w:cs="Arial" w:eastAsia="Arial" w:hAnsi="Arial"/>
          <w:sz w:val="18"/>
          <w:szCs w:val="18"/>
          <w:color w:val="auto"/>
        </w:rPr>
      </w:pPr>
    </w:p>
    <w:p>
      <w:pPr>
        <w:jc w:val="both"/>
        <w:ind w:right="20" w:firstLine="1305"/>
        <w:spacing w:after="0" w:line="297" w:lineRule="auto"/>
        <w:tabs>
          <w:tab w:leader="none" w:pos="214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Indemnitee shall be presumed to be entitled to indemnification under this Agreement upon submission of a request for indemnification pursuant to this Section 4, and the Company shall have the burden of proof in overcoming that presumption by clear and convincing evidence in reaching a determination contrary to that presumption.</w:t>
      </w:r>
    </w:p>
    <w:p>
      <w:pPr>
        <w:spacing w:after="0" w:line="1" w:lineRule="exact"/>
        <w:rPr>
          <w:rFonts w:ascii="Arial" w:cs="Arial" w:eastAsia="Arial" w:hAnsi="Arial"/>
          <w:sz w:val="18"/>
          <w:szCs w:val="18"/>
          <w:color w:val="auto"/>
        </w:rPr>
      </w:pPr>
    </w:p>
    <w:p>
      <w:pPr>
        <w:jc w:val="both"/>
        <w:ind w:firstLine="1305"/>
        <w:spacing w:after="0" w:line="334" w:lineRule="auto"/>
        <w:tabs>
          <w:tab w:leader="none" w:pos="212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Any Independent Counsel, member of the Board of Directors or court shall act reasonably and in good faith in making a determination regarding Indemnitee’s entitlement to indemnification under this Agreement. The determination whether to grant Indemnitee’s indemnification request shall be made promptly, and in any event, with respect to indemnification for Judgments, within 60 days following receipt of a request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for Judgments. Advances of Expenses shall be paid within 20 days following receipt of a request for advancement of Expenses pursuant to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Section 5(a).</w:t>
      </w:r>
    </w:p>
    <w:p>
      <w:pPr>
        <w:spacing w:after="0" w:line="50"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Advance Payment of Expenses; Defense of Claim</w:t>
      </w:r>
      <w:r>
        <w:rPr>
          <w:rFonts w:ascii="Arial" w:cs="Arial" w:eastAsia="Arial" w:hAnsi="Arial"/>
          <w:sz w:val="16"/>
          <w:szCs w:val="16"/>
          <w:color w:val="auto"/>
        </w:rPr>
        <w:t>.</w:t>
      </w:r>
    </w:p>
    <w:p>
      <w:pPr>
        <w:spacing w:after="0" w:line="50" w:lineRule="exact"/>
        <w:rPr>
          <w:sz w:val="20"/>
          <w:szCs w:val="20"/>
          <w:color w:val="auto"/>
        </w:rPr>
      </w:pPr>
    </w:p>
    <w:p>
      <w:pPr>
        <w:jc w:val="both"/>
        <w:ind w:firstLine="1305"/>
        <w:spacing w:after="0" w:line="315" w:lineRule="auto"/>
        <w:tabs>
          <w:tab w:leader="none" w:pos="214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the fullest extent permitted by the laws of the State of Delaware, Expenses incurred by Indemnitee in defending a threatened or pending civil, criminal, administrative or investigative action, suit or proceeding, or in connection with an enforcement action pursuant to Section 6(a), shall be paid by the Company in advance of the final disposition of such action, suit or proceeding within twenty (20) days after receipt by the Company of a statement or statements from Indemnitee requesting such advance or advances from time to time (which shall include invoices received by Indemnitee in connection with such expenses but, in the case of invoices in connection with legal services, any references to legal work performed or to expenditures made that may cause Indemnitee to waive any privilege accorded by applicable law need not be included with the invoice). Advances shall be unsecured and interest-free and shall be made without reference to the financial ability of Indemnitee to make such repayment. By executing this Agreement, Indemnitee hereby provides an undertaking to repay any advance or advances if, and to the extent that, it shall ultimately be determined that Indemnitee is not entitled to be indemnified by the Company as authorized by this Agreement or otherwise.</w:t>
      </w:r>
    </w:p>
    <w:p>
      <w:pPr>
        <w:jc w:val="both"/>
        <w:ind w:firstLine="1305"/>
        <w:spacing w:after="0" w:line="334" w:lineRule="auto"/>
        <w:tabs>
          <w:tab w:leader="none" w:pos="215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the event the Company shall be obligated to make advance payment of the Expenses of Indemnitee with respect to an action, suit or proceeding, as provided in this Agreement, the Company, if appropriate, shall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fees of counsel subsequently incurred by Indemnitee with respect to the same action, suit or proceeding, provided that (i) Indemnitee shall have the right to employ Indemnitee’s own counsel in such action, suit or proceeding at Indemnitee’s expense and (ii) if (A) the employment of counsel by Indemnitee has been previously authorized in writing by the Company, (B) counsel to the Company or Indemnitee shall have reasonably concluded that there may be a conflict of interest or position, or reasonably believes that a conflict is likely to arise, on any significant issue between the Company and Indemnitee in the conduct of any such defense, or (C) the Company shall not, in fact, have employed counsel to assume the defense of such action, suit or proceeding, then the actual and reasonable fees and expenses of Indemnitee’s counsel shall be at the expense of the Company, except as otherwise expressly provided by this Agreement. The Company shall not be entitled, without the consent of Indemnitee, to assume the defense of any claim brought by or in the right of the Company or as to which counsel for the Company or Indemnitee shall have reasonably made the conclusion provided for in clause (ii)(B) above.</w:t>
      </w:r>
    </w:p>
    <w:p>
      <w:pPr>
        <w:spacing w:after="0" w:line="6" w:lineRule="exact"/>
        <w:rPr>
          <w:rFonts w:ascii="Arial" w:cs="Arial" w:eastAsia="Arial" w:hAnsi="Arial"/>
          <w:sz w:val="16"/>
          <w:szCs w:val="16"/>
          <w:color w:val="auto"/>
        </w:rPr>
      </w:pPr>
    </w:p>
    <w:p>
      <w:pPr>
        <w:jc w:val="both"/>
        <w:ind w:firstLine="1305"/>
        <w:spacing w:after="0" w:line="297" w:lineRule="auto"/>
        <w:tabs>
          <w:tab w:leader="none" w:pos="214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the fullest extent permitted by the laws of the State of Delaware, if Indemnitee is, by reason of Indemnitee’s Position with the Company or Service at the Request of the Company, a witness, including an expert witness, or otherwise participates in any action, suit or proceeding at a time when Indemnitee is not a party in the action, suit or proceeding, the Company shall advance payment to Indemnitee against all Expenses incurred by Indemnitee or on Indemnitee’s behalf in connection therewith.</w:t>
      </w:r>
    </w:p>
    <w:p>
      <w:pPr>
        <w:spacing w:after="0" w:line="1" w:lineRule="exact"/>
        <w:rPr>
          <w:rFonts w:ascii="Arial" w:cs="Arial" w:eastAsia="Arial" w:hAnsi="Arial"/>
          <w:sz w:val="18"/>
          <w:szCs w:val="18"/>
          <w:color w:val="auto"/>
        </w:rPr>
      </w:pPr>
    </w:p>
    <w:p>
      <w:pPr>
        <w:ind w:left="2160" w:hanging="855"/>
        <w:spacing w:after="0"/>
        <w:tabs>
          <w:tab w:leader="none" w:pos="216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This Section 5 shall not apply to any claim made by Indemnitee for which indemnity is excluded pursuant to Section 9.</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52" w:right="239" w:bottom="1440" w:gutter="0" w:footer="0" w:header="0"/>
        </w:sectPr>
      </w:pPr>
    </w:p>
    <w:bookmarkStart w:id="278" w:name="page279"/>
    <w:bookmarkEnd w:id="278"/>
    <w:p>
      <w:pPr>
        <w:ind w:left="660"/>
        <w:spacing w:after="0"/>
        <w:tabs>
          <w:tab w:leader="none" w:pos="26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Appeal by Indemnitee of Denial of Claim for Indemnification</w:t>
      </w:r>
      <w:r>
        <w:rPr>
          <w:rFonts w:ascii="Arial" w:cs="Arial" w:eastAsia="Arial" w:hAnsi="Arial"/>
          <w:sz w:val="16"/>
          <w:szCs w:val="16"/>
          <w:color w:val="auto"/>
        </w:rPr>
        <w:t>.</w:t>
      </w:r>
    </w:p>
    <w:p>
      <w:pPr>
        <w:spacing w:after="0" w:line="50" w:lineRule="exact"/>
        <w:rPr>
          <w:sz w:val="20"/>
          <w:szCs w:val="20"/>
          <w:color w:val="auto"/>
        </w:rPr>
      </w:pPr>
    </w:p>
    <w:p>
      <w:pPr>
        <w:jc w:val="both"/>
        <w:ind w:firstLine="1305"/>
        <w:spacing w:after="0" w:line="315" w:lineRule="auto"/>
        <w:tabs>
          <w:tab w:leader="none" w:pos="214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right to indemnification as granted by Section 2 of this Agreement and to advancement of Expenses as provided in Section 5 of this Agreement shall be enforceable by Indemnitee in the Delaware Court of Chancery if the Company denies such request, in whole or in part, or fails to respond within the 60-day period specified in Section 4(f), with respect to a claim for indemnification for Judgments, or the 20-day period specified in Section 4(f), with respect to a claim for advancement of Expenses. Alternatively, Indemnitee, at his or her option, may seek enforcement of this Agreement in arbitration to be conducted by a single arbitrator pursuant to the then-prevailing Commercial Arbitration Rules of the American Arbitration Association. The parties agree that all matters subject to the arbitration, including the arbitration itself, shall remain confidential. Indemnitee shall commence such proceeding seeking an adjudication or an award in arbitration within 180 days following the date on which Indemnitee first has the right to commence such proceeding pursuant to this Section 6(a). If Indemnitee elects arbitration pursuant to Section 6(a) and the parties are unable to agree on an arbitrator, the parties shall provide the American Arbitration Association (“AAA”) with a statement of the nature of the dispute and the desired qualifications of the arbitrator. AAA shall then provide a list of three available arbitrators. Each party may strike one of the names on the list, and the remaining person shall serve as the arbitrator. If both parties strike the same person, AAA shall select the arbitrator from the other two names. The arbitration award shall be made within 90 days following the demand for arbitration. The arbitration shall take place in Denver, Colorado, and the provisions of Delaware law shall apply to any such arbitration.</w:t>
      </w:r>
    </w:p>
    <w:p>
      <w:pPr>
        <w:jc w:val="both"/>
        <w:ind w:firstLine="1305"/>
        <w:spacing w:after="0" w:line="334" w:lineRule="auto"/>
        <w:tabs>
          <w:tab w:leader="none" w:pos="215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It shall be a defense to any such action (other than an action brought to enforce a claim for the advance of Expenses under Section 5 hereof, which action has not been concluded) that Indemnitee has not met the standard of conduct set forth in Section 2 hereof</w:t>
      </w:r>
      <w:r>
        <w:rPr>
          <w:rFonts w:ascii="Arial" w:cs="Arial" w:eastAsia="Arial" w:hAnsi="Arial"/>
          <w:sz w:val="16"/>
          <w:szCs w:val="16"/>
          <w:i w:val="1"/>
          <w:iCs w:val="1"/>
          <w:color w:val="auto"/>
        </w:rPr>
        <w:t>,</w:t>
      </w:r>
      <w:r>
        <w:rPr>
          <w:rFonts w:ascii="Arial" w:cs="Arial" w:eastAsia="Arial" w:hAnsi="Arial"/>
          <w:sz w:val="16"/>
          <w:szCs w:val="16"/>
          <w:color w:val="auto"/>
        </w:rPr>
        <w:t xml:space="preserve"> but the burden of proving such defense by clear and convincing evidence shall be on the Company. Any adjudication or arbitration shall be conducted as a de novo trial, or arbitration, on the merits and neither the failure of the Company (including the Board of Directors or one of its committees), Independent Counsel or the Delaware Chancery Court to have made a determination prior to the commencement of such action that indemnification of Indemnitee is proper in the circumstances because Indemnitee has met the applicable standard of conduct set forth in Section 2 hereof, nor the fact that there has been an actual determination by the Company (including the Board of Directors or one of its committees), Independent Counsel or the Delaware Chancery Court that Indemnitee has not met such applicable standard of conduct, shall be a defense to the action or create a presumption that Indemnitee has or has not met the applicable standard of conduct. A determination by the relevant party that the Indemnitee has met the applicable standard set forth in Section 2 hereof shall be binding on the Company in any such proceeding. The Indemnitee’s Expenses incurred in connection with successfully establishing Indemnitee’s right to indemnification, in whole or in part, in any such proceeding or otherwise shall also be indemnified by the Company.</w:t>
      </w:r>
    </w:p>
    <w:p>
      <w:pPr>
        <w:spacing w:after="0" w:line="6" w:lineRule="exact"/>
        <w:rPr>
          <w:rFonts w:ascii="Arial" w:cs="Arial" w:eastAsia="Arial" w:hAnsi="Arial"/>
          <w:sz w:val="16"/>
          <w:szCs w:val="16"/>
          <w:color w:val="auto"/>
        </w:rPr>
      </w:pPr>
    </w:p>
    <w:p>
      <w:pPr>
        <w:jc w:val="both"/>
        <w:ind w:firstLine="1305"/>
        <w:spacing w:after="0" w:line="297" w:lineRule="auto"/>
        <w:tabs>
          <w:tab w:leader="none" w:pos="214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Company, including financial statements, or on information supplied to Indemnitee by the officers of the Company in the course of their duties, or on the advice of legal counsel for the Company or on information or records given or reports made to the Company by an independent certified public accountant or by an appraiser or other expert selected with the reasonable care by the Company. The provisions of this Section 6(c) shall not be deemed to be exclusive or to limit in any way the other circumstances in which the Indemnitee may be deemed to have met the applicable standard of conduct set forth in this Agreement.</w:t>
      </w:r>
    </w:p>
    <w:p>
      <w:pPr>
        <w:spacing w:after="0" w:line="2"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knowledge and/or actions, or failure to act, of any director, officer, agent or employee of the Company shall not be imputed to Indemnitee for purposes of determining the right to indemnification under this Agreement.</w:t>
      </w:r>
    </w:p>
    <w:p>
      <w:pPr>
        <w:spacing w:after="0" w:line="211" w:lineRule="exact"/>
        <w:rPr>
          <w:sz w:val="20"/>
          <w:szCs w:val="20"/>
          <w:color w:val="auto"/>
        </w:rPr>
      </w:pPr>
    </w:p>
    <w:p>
      <w:pPr>
        <w:jc w:val="both"/>
        <w:ind w:firstLine="1305"/>
        <w:spacing w:after="0" w:line="297" w:lineRule="auto"/>
        <w:tabs>
          <w:tab w:leader="none" w:pos="214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may purchase and maintain insurance on behalf of any person (including Indemnitee) by virtue of such person’s Position with the Company or Service at the Request of the Company against any liability asserted against, and incurred by, such person or on such person’s behalf in any such capacity, or arising out of such person’s status as such, whether or not the Company would have the power to indemnify such person against such liability under the provisions of this Agreement.</w:t>
      </w:r>
    </w:p>
    <w:p>
      <w:pPr>
        <w:spacing w:after="0" w:line="1" w:lineRule="exact"/>
        <w:rPr>
          <w:rFonts w:ascii="Arial" w:cs="Arial" w:eastAsia="Arial" w:hAnsi="Arial"/>
          <w:sz w:val="18"/>
          <w:szCs w:val="18"/>
          <w:color w:val="auto"/>
        </w:rPr>
      </w:pPr>
    </w:p>
    <w:p>
      <w:pPr>
        <w:jc w:val="both"/>
        <w:ind w:firstLine="1305"/>
        <w:spacing w:after="0" w:line="297" w:lineRule="auto"/>
        <w:tabs>
          <w:tab w:leader="none" w:pos="21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the extent the Company maintains an insurance policy or policies providing liability insurance for directors, officers, employees or agents of the Company or for other persons for Service at the Request of the Company, Indemnitee shall be covered by such policy or policies in accordance with its or their terms, to the maximum extent of the coverage available for any director, officer, employee or agent under such policy or policies.</w:t>
      </w:r>
    </w:p>
    <w:p>
      <w:pPr>
        <w:spacing w:after="0" w:line="1" w:lineRule="exact"/>
        <w:rPr>
          <w:rFonts w:ascii="Arial" w:cs="Arial" w:eastAsia="Arial" w:hAnsi="Arial"/>
          <w:sz w:val="18"/>
          <w:szCs w:val="18"/>
          <w:color w:val="auto"/>
        </w:rPr>
      </w:pPr>
    </w:p>
    <w:p>
      <w:pPr>
        <w:ind w:right="20" w:firstLine="1305"/>
        <w:spacing w:after="0" w:line="324" w:lineRule="auto"/>
        <w:tabs>
          <w:tab w:leader="none" w:pos="214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the Company has such insurance in effect at the time the Company receives from Indemnitee any notice of the commencement of a proceeding, the Company shall give prompt notice of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52" w:right="239" w:bottom="1440" w:gutter="0" w:footer="0" w:header="0"/>
        </w:sectPr>
      </w:pPr>
    </w:p>
    <w:bookmarkStart w:id="279" w:name="page280"/>
    <w:bookmarkEnd w:id="279"/>
    <w:p>
      <w:pPr>
        <w:jc w:val="both"/>
        <w:spacing w:after="0" w:line="315" w:lineRule="auto"/>
        <w:rPr>
          <w:sz w:val="20"/>
          <w:szCs w:val="20"/>
          <w:color w:val="auto"/>
        </w:rPr>
      </w:pPr>
      <w:r>
        <w:rPr>
          <w:rFonts w:ascii="Arial" w:cs="Arial" w:eastAsia="Arial" w:hAnsi="Arial"/>
          <w:sz w:val="17"/>
          <w:szCs w:val="17"/>
          <w:color w:val="auto"/>
        </w:rPr>
        <w:t>commencement of such proceeding to the insurer(s) at the times and in accordance with the procedures set forth in such policy or policies. The Company shall thereafter take all actions that the Company believes, in its discretion, are reasonably necessary or desirable to cause such insurer(s) to pay, on behalf of the Indemnitee, all amounts payable as a result of such proceeding in accordance with the terms of such policy or policies.</w:t>
      </w:r>
    </w:p>
    <w:p>
      <w:pPr>
        <w:jc w:val="both"/>
        <w:ind w:firstLine="1305"/>
        <w:spacing w:after="0" w:line="297" w:lineRule="auto"/>
        <w:tabs>
          <w:tab w:leader="none" w:pos="215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the event of any payment by the Company under this Agreement, the Company shall be subrogated to the extent of such payment to all of the rights of recovery of Indemnitee with respect to any insurance policy, and Indemnitee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2" w:lineRule="exact"/>
        <w:rPr>
          <w:rFonts w:ascii="Arial" w:cs="Arial" w:eastAsia="Arial" w:hAnsi="Arial"/>
          <w:sz w:val="18"/>
          <w:szCs w:val="18"/>
          <w:color w:val="auto"/>
        </w:rPr>
      </w:pPr>
    </w:p>
    <w:p>
      <w:pPr>
        <w:jc w:val="both"/>
        <w:ind w:firstLine="1305"/>
        <w:spacing w:after="0" w:line="311" w:lineRule="auto"/>
        <w:tabs>
          <w:tab w:leader="none" w:pos="214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of amounts otherwise indemnifiable hereunder (including, but not limited to, Judgments) if and to the extent that Indemnitee has otherwise actually received such payment under this Agreement or any insurance policy, contract, agreement or otherwise.</w:t>
      </w:r>
    </w:p>
    <w:p>
      <w:pPr>
        <w:spacing w:after="0" w:line="222" w:lineRule="exact"/>
        <w:rPr>
          <w:sz w:val="20"/>
          <w:szCs w:val="20"/>
          <w:color w:val="auto"/>
        </w:rPr>
      </w:pPr>
    </w:p>
    <w:p>
      <w:pPr>
        <w:jc w:val="both"/>
        <w:ind w:firstLine="1305"/>
        <w:spacing w:after="0" w:line="297" w:lineRule="auto"/>
        <w:tabs>
          <w:tab w:leader="none" w:pos="214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term “action, suit or proceeding” shall be broadly construed and shall include, without limitation, the investigation, preparation, prosecution, defense, settlement, arbitration and appeal of, and the giving of testimony in, any potential, threatened, pending or completed claim, action, suit or proceeding, whether civil, criminal, administrative or investigative (including any internal investigation conducted or initiated by the Company), without regard to whether such potential, threatened, pending or completed claim, action, suit or proceeding specifically names the Indemnitee as a defendant, respondent or target thereof.</w:t>
      </w:r>
    </w:p>
    <w:p>
      <w:pPr>
        <w:spacing w:after="0" w:line="2" w:lineRule="exact"/>
        <w:rPr>
          <w:rFonts w:ascii="Arial" w:cs="Arial" w:eastAsia="Arial" w:hAnsi="Arial"/>
          <w:sz w:val="18"/>
          <w:szCs w:val="18"/>
          <w:color w:val="auto"/>
        </w:rPr>
      </w:pPr>
    </w:p>
    <w:p>
      <w:pPr>
        <w:jc w:val="both"/>
        <w:ind w:firstLine="1305"/>
        <w:spacing w:after="0" w:line="297" w:lineRule="auto"/>
        <w:tabs>
          <w:tab w:leader="none" w:pos="215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terms “by reason of Indemnitee’s Position with the Company” and “Service at the Request of the Company” shall be broadly construed and shall include, without limitation, any actual or alleged act or omission to act by the Company, the Indemnitee or any other officer, director, employee or agent of the Company.</w:t>
      </w:r>
    </w:p>
    <w:p>
      <w:pPr>
        <w:spacing w:after="0" w:line="1" w:lineRule="exact"/>
        <w:rPr>
          <w:rFonts w:ascii="Arial" w:cs="Arial" w:eastAsia="Arial" w:hAnsi="Arial"/>
          <w:sz w:val="18"/>
          <w:szCs w:val="18"/>
          <w:color w:val="auto"/>
        </w:rPr>
      </w:pPr>
    </w:p>
    <w:p>
      <w:pPr>
        <w:jc w:val="both"/>
        <w:ind w:firstLine="1305"/>
        <w:spacing w:after="0" w:line="315" w:lineRule="auto"/>
        <w:tabs>
          <w:tab w:leader="none" w:pos="214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term “Expenses” shall be broadly and reasonably construed and shall include, without limitation, all direct and indirect costs of any type or nature whatsoever (including, without limitation, all attorneys’ fees and related disbursements, expert witness fees, appeal bonds, other out-of-pocket costs and reasonable compensation for time spent by Indemnitee for which Indemnitee is not otherwise compensated by the Company or any third party), actually and reasonably incurred by Indemnitee in connection with either the investigation, defense or appeal of an action, suit or proceeding or establishing or enforcing a right to indemnification under this Agreement, Section 145 of the DGCL or otherwise.</w:t>
      </w:r>
    </w:p>
    <w:p>
      <w:pPr>
        <w:jc w:val="both"/>
        <w:ind w:firstLine="1305"/>
        <w:spacing w:after="0" w:line="297" w:lineRule="auto"/>
        <w:tabs>
          <w:tab w:leader="none" w:pos="215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term “Judgments” shall be broadly construed and shall include, without limitation, all direct and indirect payments of any type or nature whatsoever (including, without limitation, all penalties and amounts required to be forfeited or reimbursed to the Company, as well as any penalties or excise taxes assessed on a person with respect to an employee benefit plan).</w:t>
      </w:r>
    </w:p>
    <w:p>
      <w:pPr>
        <w:spacing w:after="0" w:line="1" w:lineRule="exact"/>
        <w:rPr>
          <w:rFonts w:ascii="Arial" w:cs="Arial" w:eastAsia="Arial" w:hAnsi="Arial"/>
          <w:sz w:val="18"/>
          <w:szCs w:val="18"/>
          <w:color w:val="auto"/>
        </w:rPr>
      </w:pPr>
    </w:p>
    <w:p>
      <w:pPr>
        <w:jc w:val="both"/>
        <w:ind w:firstLine="1305"/>
        <w:spacing w:after="0" w:line="297" w:lineRule="auto"/>
        <w:tabs>
          <w:tab w:leader="none" w:pos="214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term “Company” shall include, without limitation and in addition to the resulting corporation in any business combination to which the Company is a party,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shall stand in the same position under the provisions of this Agreement with respect to the resulting or surviving corporation as he or she would have with respect to such constituent corporation if its separate existence had continued.</w:t>
      </w:r>
    </w:p>
    <w:p>
      <w:pPr>
        <w:spacing w:after="0" w:line="3" w:lineRule="exact"/>
        <w:rPr>
          <w:rFonts w:ascii="Arial" w:cs="Arial" w:eastAsia="Arial" w:hAnsi="Arial"/>
          <w:sz w:val="18"/>
          <w:szCs w:val="18"/>
          <w:color w:val="auto"/>
        </w:rPr>
      </w:pPr>
    </w:p>
    <w:p>
      <w:pPr>
        <w:ind w:left="2140" w:hanging="835"/>
        <w:spacing w:after="0"/>
        <w:tabs>
          <w:tab w:leader="none" w:pos="21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term “other enterprises” shall include, without limitation, employee benefit plans.</w:t>
      </w:r>
    </w:p>
    <w:p>
      <w:pPr>
        <w:spacing w:after="0" w:line="49" w:lineRule="exact"/>
        <w:rPr>
          <w:rFonts w:ascii="Arial" w:cs="Arial" w:eastAsia="Arial" w:hAnsi="Arial"/>
          <w:sz w:val="18"/>
          <w:szCs w:val="18"/>
          <w:color w:val="auto"/>
        </w:rPr>
      </w:pPr>
    </w:p>
    <w:p>
      <w:pPr>
        <w:jc w:val="both"/>
        <w:ind w:firstLine="1305"/>
        <w:spacing w:after="0" w:line="297" w:lineRule="auto"/>
        <w:tabs>
          <w:tab w:leader="none" w:pos="215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term “Service at the Request of the Company” shall include, without limitation, any service as a director, officer, employee or agent of the Company that imposes duties on, or involves services by, such director, officer, employee or agent with respect to an employee benefit plan, its participants or beneficiaries.</w:t>
      </w:r>
    </w:p>
    <w:p>
      <w:pPr>
        <w:spacing w:after="0" w:line="1" w:lineRule="exact"/>
        <w:rPr>
          <w:rFonts w:ascii="Arial" w:cs="Arial" w:eastAsia="Arial" w:hAnsi="Arial"/>
          <w:sz w:val="18"/>
          <w:szCs w:val="18"/>
          <w:color w:val="auto"/>
        </w:rPr>
      </w:pPr>
    </w:p>
    <w:p>
      <w:pPr>
        <w:jc w:val="both"/>
        <w:ind w:firstLine="1305"/>
        <w:spacing w:after="0" w:line="297" w:lineRule="auto"/>
        <w:tabs>
          <w:tab w:leader="none" w:pos="215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Agreement.</w:t>
      </w:r>
    </w:p>
    <w:p>
      <w:pPr>
        <w:spacing w:after="0" w:line="1" w:lineRule="exact"/>
        <w:rPr>
          <w:rFonts w:ascii="Arial" w:cs="Arial" w:eastAsia="Arial" w:hAnsi="Arial"/>
          <w:sz w:val="18"/>
          <w:szCs w:val="18"/>
          <w:color w:val="auto"/>
        </w:rPr>
      </w:pPr>
    </w:p>
    <w:p>
      <w:pPr>
        <w:jc w:val="both"/>
        <w:ind w:firstLine="1305"/>
        <w:spacing w:after="0" w:line="311" w:lineRule="auto"/>
        <w:tabs>
          <w:tab w:leader="none" w:pos="211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term “Independent Counsel” means a law firm, or a member of a law firm, that is experienced in matters of corporation law and trial work, and neither presently is, nor in the past five years has been, retained to represent: (i) the Company or Indemnitee in any matter material to either such party (other than as Independent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52" w:right="239" w:bottom="1440" w:gutter="0" w:footer="0" w:header="0"/>
        </w:sectPr>
      </w:pPr>
    </w:p>
    <w:bookmarkStart w:id="280" w:name="page281"/>
    <w:bookmarkEnd w:id="280"/>
    <w:p>
      <w:pPr>
        <w:jc w:val="both"/>
        <w:spacing w:after="0" w:line="297" w:lineRule="auto"/>
        <w:rPr>
          <w:sz w:val="20"/>
          <w:szCs w:val="20"/>
          <w:color w:val="auto"/>
        </w:rPr>
      </w:pPr>
      <w:r>
        <w:rPr>
          <w:rFonts w:ascii="Arial" w:cs="Arial" w:eastAsia="Arial" w:hAnsi="Arial"/>
          <w:sz w:val="18"/>
          <w:szCs w:val="18"/>
          <w:color w:val="auto"/>
        </w:rPr>
        <w:t>Counsel under this Agreement or similar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 w:lineRule="exact"/>
        <w:rPr>
          <w:sz w:val="20"/>
          <w:szCs w:val="20"/>
          <w:color w:val="auto"/>
        </w:rPr>
      </w:pPr>
    </w:p>
    <w:p>
      <w:pPr>
        <w:jc w:val="both"/>
        <w:ind w:firstLine="1305"/>
        <w:spacing w:after="0" w:line="334" w:lineRule="auto"/>
        <w:tabs>
          <w:tab w:leader="none" w:pos="211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 “Change in Control” of the Company shall be deemed to have occurred if (i) any individual, entity, or group (within the meaning of Section 13(d)(3) or 14(d)(2) of the Securities Exchange Act of 1934 (the “Exchange Act”)) other than a trustee or other fiduciary holding securities under an employee benefit plan of the Company, is or becomes the beneficial owner (as such term is used in Rule 13d-3 under the Exchange Act) of securities of the Company representing 30 percent or more of the combined voting power of the Company; (ii) the following individuals cease for any reason to constitute a majority of the number of directors then serving: individuals who, as of the date of this Agreement,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stockholders was approved or recommended by a vote of at least two-thirds of the directors then still in office who either were directors on the date of this Agreement, or whose appointment, election or nomination for election was previously so approved or recommended; (iii) there is consummated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30 percent or more of the combined voting power of the Company’s then outstanding securities; or (iv) the Company’s stockholders approve a plan of complete liquidation or dissolution of the Company or there is consummated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w:t>
      </w:r>
    </w:p>
    <w:p>
      <w:pPr>
        <w:spacing w:after="0" w:line="10" w:lineRule="exact"/>
        <w:rPr>
          <w:rFonts w:ascii="Arial" w:cs="Arial" w:eastAsia="Arial" w:hAnsi="Arial"/>
          <w:sz w:val="16"/>
          <w:szCs w:val="16"/>
          <w:color w:val="auto"/>
        </w:rPr>
      </w:pPr>
    </w:p>
    <w:p>
      <w:pPr>
        <w:ind w:firstLine="648"/>
        <w:spacing w:after="0" w:line="297" w:lineRule="auto"/>
        <w:rPr>
          <w:rFonts w:ascii="Arial" w:cs="Arial" w:eastAsia="Arial" w:hAnsi="Arial"/>
          <w:sz w:val="16"/>
          <w:szCs w:val="16"/>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 Notwithstanding any other provision herein to the contrary, the Company shall not be obligated pursuant to this Agreement:</w:t>
      </w:r>
    </w:p>
    <w:p>
      <w:pPr>
        <w:spacing w:after="0" w:line="1" w:lineRule="exact"/>
        <w:rPr>
          <w:sz w:val="20"/>
          <w:szCs w:val="20"/>
          <w:color w:val="auto"/>
        </w:rPr>
      </w:pPr>
    </w:p>
    <w:p>
      <w:pPr>
        <w:jc w:val="both"/>
        <w:ind w:firstLine="1305"/>
        <w:spacing w:after="0" w:line="297" w:lineRule="auto"/>
        <w:tabs>
          <w:tab w:leader="none" w:pos="214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Claims Initiated by Indemnitee</w:t>
      </w:r>
      <w:r>
        <w:rPr>
          <w:rFonts w:ascii="Arial" w:cs="Arial" w:eastAsia="Arial" w:hAnsi="Arial"/>
          <w:sz w:val="18"/>
          <w:szCs w:val="18"/>
          <w:color w:val="auto"/>
        </w:rPr>
        <w:t>. To indemnify Indemnitee for Judgments or advance Expenses to Indemnitee with respect to an action, suit or proceeding (or part thereof) initiated by Indemnitee, including by way of cross-claim, counter-claim or the like, except with respect to an action, suit or proceeding brought to establish or enforce a right to indemnification (which shall be governed by the provisions of Section 6 and Section 9(b) of this Agreement) or a compulsory counter-claim, unless such action, suit or proceeding (or part thereof) was authorized to by a majority vote of the disinterested directors.</w:t>
      </w:r>
    </w:p>
    <w:p>
      <w:pPr>
        <w:spacing w:after="0" w:line="2" w:lineRule="exact"/>
        <w:rPr>
          <w:rFonts w:ascii="Arial" w:cs="Arial" w:eastAsia="Arial" w:hAnsi="Arial"/>
          <w:sz w:val="18"/>
          <w:szCs w:val="18"/>
          <w:color w:val="auto"/>
        </w:rPr>
      </w:pPr>
    </w:p>
    <w:p>
      <w:pPr>
        <w:jc w:val="both"/>
        <w:ind w:firstLine="1305"/>
        <w:spacing w:after="0" w:line="334" w:lineRule="auto"/>
        <w:tabs>
          <w:tab w:leader="none" w:pos="2155"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Action for Indemnification</w:t>
      </w:r>
      <w:r>
        <w:rPr>
          <w:rFonts w:ascii="Arial" w:cs="Arial" w:eastAsia="Arial" w:hAnsi="Arial"/>
          <w:sz w:val="16"/>
          <w:szCs w:val="16"/>
          <w:color w:val="auto"/>
        </w:rPr>
        <w:t>. To indemnify Indemnitee for any Expenses incurred by Indemnitee with respect to any action, suit or proceeding instituted by Indemnitee to enforce or interpret this Agreement, unless Indemnitee is successful in establishing Indemnitee’s right to indemnification in such action, suit or proceeding, in whole or in part, or unless and to the extent that the court in such action, suit or proceeding shall determine that, despite Indemnitee’s failure to establish his or her right to indemnification, Indemnitee is entitled to indemnity for such Expenses; provided, however, that nothing in this Section 9(b) is intended to limit the Company’s obligation with respect to the advancement of Expenses to Indemnitee in connection with any such action, suit or proceeding instituted by Indemnitee to enforce or interpret this Agreement, as provided in Section 6 hereof.</w:t>
      </w:r>
    </w:p>
    <w:p>
      <w:pPr>
        <w:spacing w:after="0" w:line="3" w:lineRule="exact"/>
        <w:rPr>
          <w:rFonts w:ascii="Arial" w:cs="Arial" w:eastAsia="Arial" w:hAnsi="Arial"/>
          <w:sz w:val="16"/>
          <w:szCs w:val="16"/>
          <w:color w:val="auto"/>
        </w:rPr>
      </w:pPr>
    </w:p>
    <w:p>
      <w:pPr>
        <w:jc w:val="both"/>
        <w:ind w:firstLine="1305"/>
        <w:spacing w:after="0" w:line="297" w:lineRule="auto"/>
        <w:tabs>
          <w:tab w:leader="none" w:pos="214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Section 16 Violations</w:t>
      </w:r>
      <w:r>
        <w:rPr>
          <w:rFonts w:ascii="Arial" w:cs="Arial" w:eastAsia="Arial" w:hAnsi="Arial"/>
          <w:sz w:val="18"/>
          <w:szCs w:val="18"/>
          <w:color w:val="auto"/>
        </w:rPr>
        <w:t>. To indemnify Indemnitee for Judgments or advance Expenses to Indemnitee for payment or an accounting of profits arising from the purchase or sale by Indemnitee of securities in violation of Section 16(b) of the Securities Exchange Act of 1934, as amended, or any similar successor statute.</w:t>
      </w:r>
    </w:p>
    <w:p>
      <w:pPr>
        <w:spacing w:after="0" w:line="1" w:lineRule="exact"/>
        <w:rPr>
          <w:rFonts w:ascii="Arial" w:cs="Arial" w:eastAsia="Arial" w:hAnsi="Arial"/>
          <w:sz w:val="18"/>
          <w:szCs w:val="18"/>
          <w:color w:val="auto"/>
        </w:rPr>
      </w:pPr>
    </w:p>
    <w:p>
      <w:pPr>
        <w:jc w:val="both"/>
        <w:ind w:firstLine="1305"/>
        <w:spacing w:after="0" w:line="354" w:lineRule="auto"/>
        <w:tabs>
          <w:tab w:leader="none" w:pos="2155"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Non-compete and Non-disclosure</w:t>
      </w:r>
      <w:r>
        <w:rPr>
          <w:rFonts w:ascii="Arial" w:cs="Arial" w:eastAsia="Arial" w:hAnsi="Arial"/>
          <w:sz w:val="16"/>
          <w:szCs w:val="16"/>
          <w:color w:val="auto"/>
        </w:rPr>
        <w:t>. To indemnify Indemnitee for Judgments or advance Expenses to Indemnitee in connection with proceedings or claims involving the enforcement of non-compete and/or non-disclosure agreements or the non-compete and/or non-disclosure provisions of employment, consulting or similar agreements to which Indemnitee may be a party with the Company, the Company’s parent or any subsidiary of the Company or, at the Company’s instance, with any other foreign or domestic corporation, partnership, joint venture, trust or other enterprise.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52" w:right="239" w:bottom="1440" w:gutter="0" w:footer="0" w:header="0"/>
        </w:sectPr>
      </w:pPr>
    </w:p>
    <w:bookmarkStart w:id="281" w:name="page282"/>
    <w:bookmarkEnd w:id="281"/>
    <w:p>
      <w:pPr>
        <w:jc w:val="both"/>
        <w:ind w:firstLine="1305"/>
        <w:spacing w:after="0" w:line="297" w:lineRule="auto"/>
        <w:tabs>
          <w:tab w:leader="none" w:pos="214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To indemnify Indemnitee for Judgments as a consequence of any action involving reimbursement of the Company by the Indemnitee of any bonus or other incentive-based or equity-based compensation or of any profits realized by the Indemnitee from the sale of securities of the Company, as required in each case under the federal securities laws or stock exchange requirements (including, but not limited to,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w:t>
      </w:r>
    </w:p>
    <w:p>
      <w:pPr>
        <w:spacing w:after="0" w:line="2" w:lineRule="exact"/>
        <w:rPr>
          <w:rFonts w:ascii="Arial" w:cs="Arial" w:eastAsia="Arial" w:hAnsi="Arial"/>
          <w:sz w:val="18"/>
          <w:szCs w:val="18"/>
          <w:color w:val="auto"/>
        </w:rPr>
      </w:pPr>
    </w:p>
    <w:p>
      <w:pPr>
        <w:jc w:val="both"/>
        <w:ind w:right="20" w:firstLine="1305"/>
        <w:spacing w:after="0" w:line="297" w:lineRule="auto"/>
        <w:tabs>
          <w:tab w:leader="none" w:pos="2125"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Fraud or Personal Profit</w:t>
      </w:r>
      <w:r>
        <w:rPr>
          <w:rFonts w:ascii="Arial" w:cs="Arial" w:eastAsia="Arial" w:hAnsi="Arial"/>
          <w:sz w:val="18"/>
          <w:szCs w:val="18"/>
          <w:color w:val="auto"/>
        </w:rPr>
        <w:t>. To indemnify Indemnitee for Judgments or advance Expenses to Indemnitee if it is proved by final judgment in a court of law or other final adjudication that Indemnitee was guilty of fraud or gained any personal profit or advantage to which Indemnitee was not legally entitled.</w:t>
      </w:r>
    </w:p>
    <w:p>
      <w:pPr>
        <w:spacing w:after="0" w:line="1" w:lineRule="exact"/>
        <w:rPr>
          <w:rFonts w:ascii="Arial" w:cs="Arial" w:eastAsia="Arial" w:hAnsi="Arial"/>
          <w:sz w:val="18"/>
          <w:szCs w:val="18"/>
          <w:color w:val="auto"/>
        </w:rPr>
      </w:pPr>
    </w:p>
    <w:p>
      <w:pPr>
        <w:jc w:val="both"/>
        <w:ind w:firstLine="1305"/>
        <w:spacing w:after="0" w:line="297" w:lineRule="auto"/>
        <w:tabs>
          <w:tab w:leader="none" w:pos="2155"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Prohibited Payment</w:t>
      </w:r>
      <w:r>
        <w:rPr>
          <w:rFonts w:ascii="Arial" w:cs="Arial" w:eastAsia="Arial" w:hAnsi="Arial"/>
          <w:sz w:val="18"/>
          <w:szCs w:val="18"/>
          <w:color w:val="auto"/>
        </w:rPr>
        <w:t>. To indemnify Indemnitee for Judgments or advance Expenses to Indemnitee for any Judgment that the Company is prohibited by applicable law from paying as indemnity, provided, however, nothing herein shall be deemed to restrict the ability of Indemnitee to obtain benefits under any insurance policy or policies or the Company’s obligations under Section 7 to support Indemnitee’s efforts to obtain such insurance benefits from the insurer(s).</w:t>
      </w:r>
    </w:p>
    <w:p>
      <w:pPr>
        <w:spacing w:after="0" w:line="1" w:lineRule="exact"/>
        <w:rPr>
          <w:rFonts w:ascii="Arial" w:cs="Arial" w:eastAsia="Arial" w:hAnsi="Arial"/>
          <w:sz w:val="18"/>
          <w:szCs w:val="18"/>
          <w:color w:val="auto"/>
        </w:rPr>
      </w:pPr>
    </w:p>
    <w:p>
      <w:pPr>
        <w:jc w:val="both"/>
        <w:ind w:firstLine="1305"/>
        <w:spacing w:after="0" w:line="315" w:lineRule="auto"/>
        <w:tabs>
          <w:tab w:leader="none" w:pos="2155"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Payment by Insurer</w:t>
      </w:r>
      <w:r>
        <w:rPr>
          <w:rFonts w:ascii="Arial" w:cs="Arial" w:eastAsia="Arial" w:hAnsi="Arial"/>
          <w:sz w:val="17"/>
          <w:szCs w:val="17"/>
          <w:color w:val="auto"/>
        </w:rPr>
        <w:t>. To indemnify Indemnitee for Judgments or advance Expenses to Indemnitee to the extent that Indemnitee is reimbursed pursuant to any such insurance as may exist for Indemnitee’s benefit, including but not limited to insurance for directors, officers, employees or agents of the Company or for other persons for Service at the Request of the Company. Notwithstanding the availability of such other insurance, Indemnitee also may claim advancement of Expenses and indemnification from the Company pursuant to this Agreement by assigning to the Company any claims under such insurance if and to the extent Indemnitee is paid by the Company. Indemnitee shall reimburse the Company for any sums Indemnitee receives as indemnification from other sources to the extent of any amount paid to Indemnitee for that purpose by the Company.</w:t>
      </w:r>
    </w:p>
    <w:p>
      <w:pPr>
        <w:jc w:val="both"/>
        <w:ind w:firstLine="648"/>
        <w:spacing w:after="0" w:line="29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Certain Settlement Provisions</w:t>
      </w:r>
      <w:r>
        <w:rPr>
          <w:rFonts w:ascii="Arial" w:cs="Arial" w:eastAsia="Arial" w:hAnsi="Arial"/>
          <w:sz w:val="18"/>
          <w:szCs w:val="18"/>
          <w:color w:val="auto"/>
        </w:rPr>
        <w:t>. The Company shall have no obligation to indemnify Indemnitee under this Agreement for amounts paid in settlement of any action, suit or proceeding without the Company’s prior written consent, which shall not be unreasonably withheld. The Company shall not settle any action, suit or proceeding in any manner that would impose any fine, penalty or other obligation or limitation on Indemnitee without Indemnitee’s prior written consent, which shall not be unreasonably withheld.</w:t>
      </w:r>
    </w:p>
    <w:p>
      <w:pPr>
        <w:spacing w:after="0" w:line="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Savings Clause</w:t>
      </w:r>
      <w:r>
        <w:rPr>
          <w:rFonts w:ascii="Arial" w:cs="Arial" w:eastAsia="Arial" w:hAnsi="Arial"/>
          <w:sz w:val="18"/>
          <w:szCs w:val="18"/>
          <w:color w:val="auto"/>
        </w:rPr>
        <w:t>. If any provision or provisions of this Agreement shall be invalidated on any ground by any court of competent jurisdiction, then the Company shall nevertheless indemnify Indemnitee as to Expenses and Judgments in any action, suit or proceeding, whether civil, criminal, administrative or investigative, including an action by or in the right of the Company, to the full extent permitted by any applicable portion of this Agreement that shall not have been invalidated and to the full extent permitted by applicable law.</w:t>
      </w:r>
    </w:p>
    <w:p>
      <w:pPr>
        <w:spacing w:after="0" w:line="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Contribution</w:t>
      </w:r>
      <w:r>
        <w:rPr>
          <w:rFonts w:ascii="Arial" w:cs="Arial" w:eastAsia="Arial" w:hAnsi="Arial"/>
          <w:sz w:val="17"/>
          <w:szCs w:val="17"/>
          <w:color w:val="auto"/>
        </w:rPr>
        <w:t>. In order to provide for just and equitable contribution in circumstances in which the indemnification provided for herein is held by a court of competent jurisdiction to be unavailable to Indemnitee in whole or in part, including by reason of applicable law or public policy, it is agreed that, in such event, in lieu of indemnification, the Company shall, to the fullest extent permitted by law, contribute to the payment of Indemnitee’s Expenses and Judgments in any action, suit or proceeding, whether civil, criminal, administrative or investigative, in connection with any claim relating to a claim for indemnification under this Agreement. Such contribution payment shall be in the proportion deemed by any court of competent jurisdiction in which the proceeding is brought as fair and reasonable in light of all of the circumstances of such action, suit or proceeding in order to reflect</w:t>
      </w:r>
    </w:p>
    <w:p>
      <w:pPr>
        <w:jc w:val="both"/>
        <w:ind w:firstLine="8"/>
        <w:spacing w:after="0" w:line="297" w:lineRule="auto"/>
        <w:tabs>
          <w:tab w:leader="none" w:pos="24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relative benefits received by the Company and Indemnitee as a result of the event(s) and/or transaction(s) giving cause to such action, suit or proceeding and/or (ii) the relative fault of the Company (and its directors, officers, employees and agents) and Indemnitee in connection with such event(s) and/or transaction(s), taking into account, among other things, contributions by other directors and officers of the Company or others pursuant to indemnification agreements or otherwise. Without limiting the generality of the foregoing, the contribution contemplated by this Section 12 shall not be required where such holding by the court is due to (i) the failure of Indemnitee to meet the standard of conduct set forth in Section 2 hereof, or (ii) any limitation on indemnification set forth in Section 7(e), 9 or 10 hereof.</w:t>
      </w:r>
    </w:p>
    <w:p>
      <w:pPr>
        <w:spacing w:after="0" w:line="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Form and Delivery of Communications</w:t>
      </w:r>
      <w:r>
        <w:rPr>
          <w:rFonts w:ascii="Arial" w:cs="Arial" w:eastAsia="Arial" w:hAnsi="Arial"/>
          <w:sz w:val="18"/>
          <w:szCs w:val="18"/>
          <w:color w:val="auto"/>
        </w:rPr>
        <w:t>. Any notice, request or other communication required or permitted to be given to the parties under this Agreement shall be in writing and either delivered in person or sent by e-mail, overnight mail or courier service, or certified or registered mail, return receipt requested, postage prepaid, to the parties at the following addresses (or at such other addresses for a party as shall be specified by like notice):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52" w:right="239" w:bottom="1440" w:gutter="0" w:footer="0" w:header="0"/>
        </w:sectPr>
      </w:pPr>
    </w:p>
    <w:bookmarkStart w:id="282" w:name="page283"/>
    <w:bookmarkEnd w:id="282"/>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QEP Resources, Inc.</w:t>
      </w:r>
    </w:p>
    <w:p>
      <w:pPr>
        <w:ind w:left="1300"/>
        <w:spacing w:after="0" w:line="201" w:lineRule="auto"/>
        <w:rPr>
          <w:sz w:val="20"/>
          <w:szCs w:val="20"/>
          <w:color w:val="auto"/>
        </w:rPr>
      </w:pPr>
      <w:r>
        <w:rPr>
          <w:rFonts w:ascii="Arial" w:cs="Arial" w:eastAsia="Arial" w:hAnsi="Arial"/>
          <w:sz w:val="18"/>
          <w:szCs w:val="18"/>
          <w:color w:val="auto"/>
        </w:rPr>
        <w:t>1050 17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Suite 500</w:t>
      </w:r>
    </w:p>
    <w:p>
      <w:pPr>
        <w:ind w:left="1300"/>
        <w:spacing w:after="0"/>
        <w:rPr>
          <w:sz w:val="20"/>
          <w:szCs w:val="20"/>
          <w:color w:val="auto"/>
        </w:rPr>
      </w:pPr>
      <w:r>
        <w:rPr>
          <w:rFonts w:ascii="Arial" w:cs="Arial" w:eastAsia="Arial" w:hAnsi="Arial"/>
          <w:sz w:val="18"/>
          <w:szCs w:val="18"/>
          <w:color w:val="auto"/>
        </w:rPr>
        <w:t>Denver, Colorado 80205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Indemnitee: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w:t>
      </w:r>
    </w:p>
    <w:p>
      <w:pPr>
        <w:spacing w:after="0" w:line="238" w:lineRule="exact"/>
        <w:rPr>
          <w:sz w:val="20"/>
          <w:szCs w:val="20"/>
          <w:color w:val="auto"/>
        </w:rPr>
      </w:pPr>
    </w:p>
    <w:p>
      <w:pPr>
        <w:jc w:val="both"/>
        <w:ind w:left="660" w:right="20" w:firstLine="648"/>
        <w:spacing w:after="0" w:line="29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Subsequent Legislation</w:t>
      </w:r>
      <w:r>
        <w:rPr>
          <w:rFonts w:ascii="Arial" w:cs="Arial" w:eastAsia="Arial" w:hAnsi="Arial"/>
          <w:sz w:val="18"/>
          <w:szCs w:val="18"/>
          <w:color w:val="auto"/>
        </w:rPr>
        <w:t>. If the DGCL is amended after adoption of this Agreement to expand further the indemnification permitted to directors or officers, then the Company shall indemnify Indemnitee to the fullest extent permitted by the DGCL, as so amended.</w:t>
      </w:r>
    </w:p>
    <w:p>
      <w:pPr>
        <w:spacing w:after="0" w:line="1"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Nonexclusivity</w:t>
      </w:r>
      <w:r>
        <w:rPr>
          <w:rFonts w:ascii="Arial" w:cs="Arial" w:eastAsia="Arial" w:hAnsi="Arial"/>
          <w:sz w:val="16"/>
          <w:szCs w:val="16"/>
          <w:color w:val="auto"/>
        </w:rPr>
        <w:t>. The provisions for indemnification and advancement of Expenses set forth in this Agreement shall not</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be deemed exclusive of any other rights which Indemnitee may have under any provision of law, the Company’s Certificate of Incorporation or Bylaws, or from action taken by a majority vote of the Company’s shareholders or disinterested directors, other agreements or otherwise. Indemnitee’s rights hereunder shall continue after Indemnitee has ceased acting as an agent of the Company and shall inure to the benefit of the heirs, executors and administrators of Indemnitee. However, no amendment or alteration of the Company’s Certificate of Incorporation or Bylaws or any other agreement entered into after the date hereof shall adversely affect the rights provided to Indemnitee under this Agreement.</w:t>
      </w:r>
    </w:p>
    <w:p>
      <w:pPr>
        <w:spacing w:after="0" w:line="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Enforcement</w:t>
      </w:r>
      <w:r>
        <w:rPr>
          <w:rFonts w:ascii="Arial" w:cs="Arial" w:eastAsia="Arial" w:hAnsi="Arial"/>
          <w:sz w:val="17"/>
          <w:szCs w:val="17"/>
          <w:color w:val="auto"/>
        </w:rPr>
        <w:t>. The Company shall be precluded from asserting in any judicial proceeding that the procedures and presumptions of this Agreement are not valid, binding and enforceable. The Company agrees that its execution of this Agreement shall constitute a stipulation by which it shall be irrevocably bound in any court of competent jurisdiction in which a proceeding by Indemnitee for enforcement of his or her rights hereunder shall have been commenced, continued or appealed, that its obligations set forth in this Agreement are unique and special, and that failure of the Company to comply with the provisions of this Agreement will cause irreparable and irremediable injury to Indemnitee, for which a remedy at law will be inadequate. As a result, in addition to any other right or remedy Indemnitee may have at law or in equity with respect to breach of this Agreement, Indemnitee shall be entitled to injunctive or mandatory relief directing specific performance by the Company of its obligations under this Agreement.</w:t>
      </w:r>
    </w:p>
    <w:p>
      <w:pPr>
        <w:jc w:val="both"/>
        <w:ind w:firstLine="648"/>
        <w:spacing w:after="0" w:line="29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Interpretation of Agreement</w:t>
      </w:r>
      <w:r>
        <w:rPr>
          <w:rFonts w:ascii="Arial" w:cs="Arial" w:eastAsia="Arial" w:hAnsi="Arial"/>
          <w:sz w:val="18"/>
          <w:szCs w:val="18"/>
          <w:color w:val="auto"/>
        </w:rPr>
        <w:t>. It is understood that the parties hereto intend this Agreement to be interpreted and enforced so as to provide indemnification to Indemnitee to the fullest extent now or hereafter permitted by law. This Agreement is intended to be retroactive and to apply to events occurring prior to the date of this Agreement.</w:t>
      </w:r>
    </w:p>
    <w:p>
      <w:pPr>
        <w:spacing w:after="0" w:line="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spacing w:after="0" w:line="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nor shall such waiver constitute a continuing waiver.</w:t>
      </w:r>
    </w:p>
    <w:p>
      <w:pPr>
        <w:spacing w:after="0" w:line="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Successor and Assigns</w:t>
      </w:r>
      <w:r>
        <w:rPr>
          <w:rFonts w:ascii="Arial" w:cs="Arial" w:eastAsia="Arial" w:hAnsi="Arial"/>
          <w:sz w:val="18"/>
          <w:szCs w:val="18"/>
          <w:color w:val="auto"/>
        </w:rPr>
        <w:t>. All of the terms and provisions of this Agreement shall be binding upon, shall inure to the benefit of and shall be enforceable by the parties hereto and their respective successors, assigns, heirs, executors, administrators and legal representatives. The Company shall require and cause any direct or indirect successor (whether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Service of Process and Venue</w:t>
      </w:r>
      <w:r>
        <w:rPr>
          <w:rFonts w:ascii="Arial" w:cs="Arial" w:eastAsia="Arial" w:hAnsi="Arial"/>
          <w:sz w:val="18"/>
          <w:szCs w:val="18"/>
          <w:color w:val="auto"/>
        </w:rPr>
        <w:t xml:space="preserve">. Except with respect to any arbitration commenced by Indemnitee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the Company and Indemnitee hereby irrevocably and unconditionally: (a) agree that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25" w:right="239" w:bottom="1440" w:gutter="0" w:footer="0" w:header="0"/>
        </w:sectPr>
      </w:pPr>
    </w:p>
    <w:bookmarkStart w:id="283" w:name="page284"/>
    <w:bookmarkEnd w:id="283"/>
    <w:p>
      <w:pPr>
        <w:jc w:val="both"/>
        <w:spacing w:after="0" w:line="334" w:lineRule="auto"/>
        <w:rPr>
          <w:sz w:val="20"/>
          <w:szCs w:val="20"/>
          <w:color w:val="auto"/>
        </w:rPr>
      </w:pPr>
      <w:r>
        <w:rPr>
          <w:rFonts w:ascii="Arial" w:cs="Arial" w:eastAsia="Arial" w:hAnsi="Arial"/>
          <w:sz w:val="16"/>
          <w:szCs w:val="16"/>
          <w:color w:val="auto"/>
        </w:rPr>
        <w:t>any action or proceeding arising out of or in connection with this Agreement shall be brought only in the Delaware Chancery Court, and not in any other state or federal court in the United States of America or any court in any other country; (b) consent to submit to the exclusive jurisdiction of the Delaware Chancery Court for purposes of any action or proceeding arising out of or in connection with this Agreement; (c) waive any objection to the laying of venue of any such action or proceeding in the Delaware Chancery Court; and (d) waive, and agree not to plead or to make, any claim that any such action or proceeding brought in the Delaware Chancery Court has been brought in an improper or inconvenient forum, or is subject (in whole or in part) to a jury trial.</w:t>
      </w:r>
    </w:p>
    <w:p>
      <w:pPr>
        <w:spacing w:after="0" w:line="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exclusively by and construed according to the laws of the State of Delaware, as applied to contracts between Delaware residents entered into and to be performed entirely within Delaware. If a court of competent jurisdiction shall make a final determination that the provisions of the law of any state other than Delaware govern indemnification by the Company of its officers and directors, then the indemnification provided under this Agreement shall in all instances be enforceable to the fullest extent permitted under such law, notwithstanding any provision of this Agreement to the contrary.</w:t>
      </w:r>
    </w:p>
    <w:tbl>
      <w:tblPr>
        <w:tblLayout w:type="fixed"/>
        <w:tblInd w:w="0" w:type="dxa"/>
        <w:tblCellMar>
          <w:top w:w="0" w:type="dxa"/>
          <w:left w:w="0" w:type="dxa"/>
          <w:bottom w:w="0" w:type="dxa"/>
          <w:right w:w="0" w:type="dxa"/>
        </w:tblCellMar>
      </w:tblPr>
      <w:tr>
        <w:trPr>
          <w:trHeight w:val="192"/>
        </w:trPr>
        <w:tc>
          <w:tcPr>
            <w:tcW w:w="2760" w:type="dxa"/>
            <w:vAlign w:val="bottom"/>
          </w:tcPr>
          <w:p>
            <w:pPr>
              <w:ind w:left="660"/>
              <w:spacing w:after="0" w:line="192" w:lineRule="exact"/>
              <w:rPr>
                <w:sz w:val="20"/>
                <w:szCs w:val="20"/>
                <w:color w:val="auto"/>
              </w:rPr>
            </w:pPr>
            <w:r>
              <w:rPr>
                <w:rFonts w:ascii="Arial" w:cs="Arial" w:eastAsia="Arial" w:hAnsi="Arial"/>
                <w:sz w:val="18"/>
                <w:szCs w:val="18"/>
                <w:color w:val="auto"/>
              </w:rPr>
              <w:t>Section 23.</w:t>
            </w:r>
          </w:p>
        </w:tc>
        <w:tc>
          <w:tcPr>
            <w:tcW w:w="8660" w:type="dxa"/>
            <w:vAlign w:val="bottom"/>
            <w:gridSpan w:val="3"/>
          </w:tcPr>
          <w:p>
            <w:pPr>
              <w:spacing w:after="0" w:line="192" w:lineRule="exact"/>
              <w:rPr>
                <w:sz w:val="20"/>
                <w:szCs w:val="20"/>
                <w:color w:val="auto"/>
              </w:rPr>
            </w:pPr>
            <w:r>
              <w:rPr>
                <w:rFonts w:ascii="Arial" w:cs="Arial" w:eastAsia="Arial" w:hAnsi="Arial"/>
                <w:sz w:val="18"/>
                <w:szCs w:val="18"/>
                <w:color w:val="auto"/>
                <w:w w:val="93"/>
              </w:rPr>
              <w:t>Employment or Board Rights. Nothing in this Agreement is intended to create in Indemnitee any right to employment</w:t>
            </w:r>
          </w:p>
        </w:tc>
      </w:tr>
      <w:tr>
        <w:trPr>
          <w:trHeight w:val="20"/>
        </w:trPr>
        <w:tc>
          <w:tcPr>
            <w:tcW w:w="2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77"/>
        </w:trPr>
        <w:tc>
          <w:tcPr>
            <w:tcW w:w="11420" w:type="dxa"/>
            <w:vAlign w:val="bottom"/>
            <w:gridSpan w:val="4"/>
          </w:tcPr>
          <w:p>
            <w:pPr>
              <w:spacing w:after="0"/>
              <w:rPr>
                <w:sz w:val="20"/>
                <w:szCs w:val="20"/>
                <w:color w:val="auto"/>
              </w:rPr>
            </w:pPr>
            <w:r>
              <w:rPr>
                <w:rFonts w:ascii="Arial" w:cs="Arial" w:eastAsia="Arial" w:hAnsi="Arial"/>
                <w:sz w:val="18"/>
                <w:szCs w:val="18"/>
                <w:color w:val="auto"/>
              </w:rPr>
              <w:t>or continued employment or right to continued service on the Board of Directors.</w:t>
            </w:r>
          </w:p>
        </w:tc>
      </w:tr>
      <w:tr>
        <w:trPr>
          <w:trHeight w:val="216"/>
        </w:trPr>
        <w:tc>
          <w:tcPr>
            <w:tcW w:w="2760" w:type="dxa"/>
            <w:vAlign w:val="bottom"/>
          </w:tcPr>
          <w:p>
            <w:pPr>
              <w:ind w:left="660"/>
              <w:spacing w:after="0"/>
              <w:rPr>
                <w:sz w:val="20"/>
                <w:szCs w:val="20"/>
                <w:color w:val="auto"/>
              </w:rPr>
            </w:pPr>
            <w:r>
              <w:rPr>
                <w:rFonts w:ascii="Arial" w:cs="Arial" w:eastAsia="Arial" w:hAnsi="Arial"/>
                <w:sz w:val="18"/>
                <w:szCs w:val="18"/>
                <w:color w:val="auto"/>
              </w:rPr>
              <w:t>Section 24.</w:t>
            </w:r>
          </w:p>
        </w:tc>
        <w:tc>
          <w:tcPr>
            <w:tcW w:w="8660" w:type="dxa"/>
            <w:vAlign w:val="bottom"/>
            <w:gridSpan w:val="3"/>
          </w:tcPr>
          <w:p>
            <w:pPr>
              <w:spacing w:after="0"/>
              <w:rPr>
                <w:sz w:val="20"/>
                <w:szCs w:val="20"/>
                <w:color w:val="auto"/>
              </w:rPr>
            </w:pPr>
            <w:r>
              <w:rPr>
                <w:rFonts w:ascii="Arial" w:cs="Arial" w:eastAsia="Arial" w:hAnsi="Arial"/>
                <w:sz w:val="18"/>
                <w:szCs w:val="18"/>
                <w:color w:val="auto"/>
                <w:w w:val="92"/>
              </w:rPr>
              <w:t>Counterparts. This Agreement may be executed in two or more counterparts, each of which shall be deemed to be an</w:t>
            </w:r>
          </w:p>
        </w:tc>
      </w:tr>
      <w:tr>
        <w:trPr>
          <w:trHeight w:val="20"/>
        </w:trPr>
        <w:tc>
          <w:tcPr>
            <w:tcW w:w="2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original and all of which together shall be deemed to be one and the same instrument, notwithstanding that both parties are not signatories to the original or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same counterpart.</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40" w:type="dxa"/>
            <w:vAlign w:val="bottom"/>
          </w:tcPr>
          <w:p>
            <w:pPr>
              <w:spacing w:after="0"/>
              <w:rPr>
                <w:sz w:val="20"/>
                <w:szCs w:val="20"/>
                <w:color w:val="auto"/>
              </w:rPr>
            </w:pPr>
          </w:p>
        </w:tc>
      </w:tr>
      <w:tr>
        <w:trPr>
          <w:trHeight w:val="216"/>
        </w:trPr>
        <w:tc>
          <w:tcPr>
            <w:tcW w:w="2800" w:type="dxa"/>
            <w:vAlign w:val="bottom"/>
          </w:tcPr>
          <w:p>
            <w:pPr>
              <w:ind w:left="660"/>
              <w:spacing w:after="0"/>
              <w:rPr>
                <w:sz w:val="20"/>
                <w:szCs w:val="20"/>
                <w:color w:val="auto"/>
              </w:rPr>
            </w:pPr>
            <w:r>
              <w:rPr>
                <w:rFonts w:ascii="Arial" w:cs="Arial" w:eastAsia="Arial" w:hAnsi="Arial"/>
                <w:sz w:val="18"/>
                <w:szCs w:val="18"/>
                <w:color w:val="auto"/>
              </w:rPr>
              <w:t>Section 25.</w:t>
            </w:r>
          </w:p>
        </w:tc>
        <w:tc>
          <w:tcPr>
            <w:tcW w:w="8620" w:type="dxa"/>
            <w:vAlign w:val="bottom"/>
            <w:gridSpan w:val="3"/>
          </w:tcPr>
          <w:p>
            <w:pPr>
              <w:jc w:val="right"/>
              <w:spacing w:after="0"/>
              <w:rPr>
                <w:sz w:val="20"/>
                <w:szCs w:val="20"/>
                <w:color w:val="auto"/>
              </w:rPr>
            </w:pPr>
            <w:r>
              <w:rPr>
                <w:rFonts w:ascii="Arial" w:cs="Arial" w:eastAsia="Arial" w:hAnsi="Arial"/>
                <w:sz w:val="18"/>
                <w:szCs w:val="18"/>
                <w:color w:val="auto"/>
                <w:w w:val="91"/>
              </w:rPr>
              <w:t>Headings. The section and subsection headings contained in this Agreement are for reference purposes only and shall</w:t>
            </w:r>
          </w:p>
        </w:tc>
      </w:tr>
      <w:tr>
        <w:trPr>
          <w:trHeight w:val="20"/>
        </w:trPr>
        <w:tc>
          <w:tcPr>
            <w:tcW w:w="28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77"/>
        </w:trPr>
        <w:tc>
          <w:tcPr>
            <w:tcW w:w="11420" w:type="dxa"/>
            <w:vAlign w:val="bottom"/>
            <w:gridSpan w:val="4"/>
          </w:tcPr>
          <w:p>
            <w:pPr>
              <w:spacing w:after="0"/>
              <w:rPr>
                <w:sz w:val="20"/>
                <w:szCs w:val="20"/>
                <w:color w:val="auto"/>
              </w:rPr>
            </w:pPr>
            <w:r>
              <w:rPr>
                <w:rFonts w:ascii="Arial" w:cs="Arial" w:eastAsia="Arial" w:hAnsi="Arial"/>
                <w:sz w:val="18"/>
                <w:szCs w:val="18"/>
                <w:color w:val="auto"/>
              </w:rPr>
              <w:t>not affect in any way the meaning or interpretation of this Agreement.</w:t>
            </w:r>
          </w:p>
        </w:tc>
      </w:tr>
      <w:tr>
        <w:trPr>
          <w:trHeight w:val="216"/>
        </w:trPr>
        <w:tc>
          <w:tcPr>
            <w:tcW w:w="2800" w:type="dxa"/>
            <w:vAlign w:val="bottom"/>
          </w:tcPr>
          <w:p>
            <w:pPr>
              <w:ind w:left="660"/>
              <w:spacing w:after="0"/>
              <w:rPr>
                <w:sz w:val="20"/>
                <w:szCs w:val="20"/>
                <w:color w:val="auto"/>
              </w:rPr>
            </w:pPr>
            <w:r>
              <w:rPr>
                <w:rFonts w:ascii="Arial" w:cs="Arial" w:eastAsia="Arial" w:hAnsi="Arial"/>
                <w:sz w:val="18"/>
                <w:szCs w:val="18"/>
                <w:color w:val="auto"/>
              </w:rPr>
              <w:t>Section 26.</w:t>
            </w:r>
          </w:p>
        </w:tc>
        <w:tc>
          <w:tcPr>
            <w:tcW w:w="8620" w:type="dxa"/>
            <w:vAlign w:val="bottom"/>
            <w:gridSpan w:val="3"/>
          </w:tcPr>
          <w:p>
            <w:pPr>
              <w:jc w:val="right"/>
              <w:spacing w:after="0"/>
              <w:rPr>
                <w:sz w:val="20"/>
                <w:szCs w:val="20"/>
                <w:color w:val="auto"/>
              </w:rPr>
            </w:pPr>
            <w:r>
              <w:rPr>
                <w:rFonts w:ascii="Arial" w:cs="Arial" w:eastAsia="Arial" w:hAnsi="Arial"/>
                <w:sz w:val="18"/>
                <w:szCs w:val="18"/>
                <w:color w:val="auto"/>
                <w:w w:val="99"/>
              </w:rPr>
              <w:t>Disclosure. In certain instances, applicable law (including applicable federal law that may preempt or override</w:t>
            </w:r>
          </w:p>
        </w:tc>
      </w:tr>
      <w:tr>
        <w:trPr>
          <w:trHeight w:val="20"/>
        </w:trPr>
        <w:tc>
          <w:tcPr>
            <w:tcW w:w="2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applicable state law) or public policy may prohibit the Company from indemnifying the directors and officers of the Company under this Agreement or otherwise. For example, the U.S. Securities and Exchange Commission has taken the position that indemnification of directors, officers and controlling persons of the Company for liabilities arising under federal securities laws is against public policy and, therefore, unenforceable. The Company has undertaken or may be required in the future to undertake with the Securities and Exchange Commission to submit the question of indemnification to a court in certain circumstances for a determination of the Company’s right under public policy to indemnify Indemnitee. In addition, federal law prohibits indemnification for certain violations of the Employee Retirement Income Security Act of 1974, as amended.</w:t>
      </w:r>
    </w:p>
    <w:p>
      <w:pPr>
        <w:jc w:val="both"/>
        <w:ind w:firstLine="648"/>
        <w:spacing w:after="0" w:line="311"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Rights Continued</w:t>
      </w:r>
      <w:r>
        <w:rPr>
          <w:rFonts w:ascii="Arial" w:cs="Arial" w:eastAsia="Arial" w:hAnsi="Arial"/>
          <w:sz w:val="18"/>
          <w:szCs w:val="18"/>
          <w:color w:val="auto"/>
        </w:rPr>
        <w:t>. The rights of indemnification and to receive advancement of Expenses as provided by this Agreement shall continue as to Indemnitee even though Indemnitee may have ceased to be a director or officer of the Company and shall inure to the benefit of Indemnitee’s personal or legal representatives, executors, administrators, successors, heirs, distributees, devisees and legatees.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and delivered to be effective as of the date first above written.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QEP RESOURCES,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INDEMNITEE:</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52"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 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1"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 Richard J. Doleshek</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Executive Vice President, Chief Financial Officer and Treasurer</w:t>
      </w:r>
    </w:p>
    <w:p>
      <w:pPr>
        <w:sectPr>
          <w:pgSz w:w="11900" w:h="16838" w:orient="portrait"/>
          <w:cols w:equalWidth="0" w:num="1">
            <w:col w:w="11420"/>
          </w:cols>
          <w:pgMar w:left="240" w:top="580"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this report of QEP Resources, Inc. (the Company) on Form 10-Q for the period ended September 30, 2013, as filed with the Securities and Exchange Commission on the date hereof (the Report), Charles B. Stanley, Chairman,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660" w:hanging="328"/>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November 5, 2013</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November 5, 2013</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EE1348"/>
    <w:multiLevelType w:val="hybridMultilevel"/>
    <w:lvl w:ilvl="0">
      <w:lvlJc w:val="left"/>
      <w:lvlText w:val="☒"/>
      <w:numFmt w:val="bullet"/>
      <w:start w:val="1"/>
    </w:lvl>
  </w:abstractNum>
  <w:abstractNum w:abstractNumId="1">
    <w:nsid w:val="4427069A"/>
    <w:multiLevelType w:val="hybridMultilevel"/>
    <w:lvl w:ilvl="0">
      <w:lvlJc w:val="left"/>
      <w:lvlText w:val="o"/>
      <w:numFmt w:val="bullet"/>
      <w:start w:val="1"/>
    </w:lvl>
  </w:abstractNum>
  <w:abstractNum w:abstractNumId="2">
    <w:nsid w:val="B37E80A"/>
    <w:multiLevelType w:val="hybridMultilevel"/>
    <w:lvl w:ilvl="0">
      <w:lvlJc w:val="left"/>
      <w:lvlText w:val="(%1)"/>
      <w:numFmt w:val="decimal"/>
      <w:start w:val="1"/>
    </w:lvl>
  </w:abstractNum>
  <w:abstractNum w:abstractNumId="3">
    <w:nsid w:val="2157F6BC"/>
    <w:multiLevelType w:val="hybridMultilevel"/>
    <w:lvl w:ilvl="0">
      <w:lvlJc w:val="left"/>
      <w:lvlText w:val="•"/>
      <w:numFmt w:val="bullet"/>
      <w:start w:val="1"/>
    </w:lvl>
  </w:abstractNum>
  <w:abstractNum w:abstractNumId="4">
    <w:nsid w:val="704E1DD5"/>
    <w:multiLevelType w:val="hybridMultilevel"/>
    <w:lvl w:ilvl="0">
      <w:lvlJc w:val="left"/>
      <w:lvlText w:val="•"/>
      <w:numFmt w:val="bullet"/>
      <w:start w:val="1"/>
    </w:lvl>
    <w:lvl w:ilvl="1">
      <w:lvlJc w:val="left"/>
      <w:lvlText w:val="(%2)"/>
      <w:numFmt w:val="lowerLetter"/>
      <w:start w:val="2"/>
    </w:lvl>
  </w:abstractNum>
  <w:abstractNum w:abstractNumId="5">
    <w:nsid w:val="57D2F10E"/>
    <w:multiLevelType w:val="hybridMultilevel"/>
    <w:lvl w:ilvl="0">
      <w:lvlJc w:val="left"/>
      <w:lvlText w:val="•"/>
      <w:numFmt w:val="bullet"/>
      <w:start w:val="1"/>
    </w:lvl>
  </w:abstractNum>
  <w:abstractNum w:abstractNumId="6">
    <w:nsid w:val="BFFAE18"/>
    <w:multiLevelType w:val="hybridMultilevel"/>
    <w:lvl w:ilvl="0">
      <w:lvlJc w:val="left"/>
      <w:lvlText w:val="(%1)"/>
      <w:numFmt w:val="decimal"/>
      <w:start w:val="1"/>
    </w:lvl>
  </w:abstractNum>
  <w:abstractNum w:abstractNumId="7">
    <w:nsid w:val="E3E47A8"/>
    <w:multiLevelType w:val="hybridMultilevel"/>
    <w:lvl w:ilvl="0">
      <w:lvlJc w:val="left"/>
      <w:lvlText w:val="(%1)"/>
      <w:numFmt w:val="decimal"/>
      <w:start w:val="1"/>
    </w:lvl>
  </w:abstractNum>
  <w:abstractNum w:abstractNumId="8">
    <w:nsid w:val="2E48F044"/>
    <w:multiLevelType w:val="hybridMultilevel"/>
    <w:lvl w:ilvl="0">
      <w:lvlJc w:val="left"/>
      <w:lvlText w:val="(%1)"/>
      <w:numFmt w:val="decimal"/>
      <w:start w:val="1"/>
    </w:lvl>
  </w:abstractNum>
  <w:abstractNum w:abstractNumId="9">
    <w:nsid w:val="49D0FEAC"/>
    <w:multiLevelType w:val="hybridMultilevel"/>
    <w:lvl w:ilvl="0">
      <w:lvlJc w:val="left"/>
      <w:lvlText w:val="•"/>
      <w:numFmt w:val="bullet"/>
      <w:start w:val="1"/>
    </w:lvl>
  </w:abstractNum>
  <w:abstractNum w:abstractNumId="10">
    <w:nsid w:val="4BEE5A5B"/>
    <w:multiLevelType w:val="hybridMultilevel"/>
    <w:lvl w:ilvl="0">
      <w:lvlJc w:val="left"/>
      <w:lvlText w:val="•"/>
      <w:numFmt w:val="bullet"/>
      <w:start w:val="1"/>
    </w:lvl>
  </w:abstractNum>
  <w:abstractNum w:abstractNumId="11">
    <w:nsid w:val="5551B9F3"/>
    <w:multiLevelType w:val="hybridMultilevel"/>
    <w:lvl w:ilvl="0">
      <w:lvlJc w:val="left"/>
      <w:lvlText w:val="(%1)"/>
      <w:numFmt w:val="decimal"/>
      <w:start w:val="1"/>
    </w:lvl>
  </w:abstractNum>
  <w:abstractNum w:abstractNumId="12">
    <w:nsid w:val="24F6AB8E"/>
    <w:multiLevelType w:val="hybridMultilevel"/>
    <w:lvl w:ilvl="0">
      <w:lvlJc w:val="left"/>
      <w:lvlText w:val="(%1)"/>
      <w:numFmt w:val="decimal"/>
      <w:start w:val="1"/>
    </w:lvl>
  </w:abstractNum>
  <w:abstractNum w:abstractNumId="13">
    <w:nsid w:val="634C574C"/>
    <w:multiLevelType w:val="hybridMultilevel"/>
    <w:lvl w:ilvl="0">
      <w:lvlJc w:val="left"/>
      <w:lvlText w:val="(%1)"/>
      <w:numFmt w:val="decimal"/>
      <w:start w:val="1"/>
    </w:lvl>
  </w:abstractNum>
  <w:abstractNum w:abstractNumId="14">
    <w:nsid w:val="24E99DD7"/>
    <w:multiLevelType w:val="hybridMultilevel"/>
    <w:lvl w:ilvl="0">
      <w:lvlJc w:val="left"/>
      <w:lvlText w:val="(%1)"/>
      <w:numFmt w:val="decimal"/>
      <w:start w:val="1"/>
    </w:lvl>
  </w:abstractNum>
  <w:abstractNum w:abstractNumId="15">
    <w:nsid w:val="2A31B62D"/>
    <w:multiLevelType w:val="hybridMultilevel"/>
    <w:lvl w:ilvl="0">
      <w:lvlJc w:val="left"/>
      <w:lvlText w:val="(%1)"/>
      <w:numFmt w:val="decimal"/>
      <w:start w:val="1"/>
    </w:lvl>
  </w:abstractNum>
  <w:abstractNum w:abstractNumId="16">
    <w:nsid w:val="1849C29B"/>
    <w:multiLevelType w:val="hybridMultilevel"/>
    <w:lvl w:ilvl="0">
      <w:lvlJc w:val="left"/>
      <w:lvlText w:val="•"/>
      <w:numFmt w:val="bullet"/>
      <w:start w:val="1"/>
    </w:lvl>
  </w:abstractNum>
  <w:abstractNum w:abstractNumId="17">
    <w:nsid w:val="7DFF9D09"/>
    <w:multiLevelType w:val="hybridMultilevel"/>
    <w:lvl w:ilvl="0">
      <w:lvlJc w:val="left"/>
      <w:lvlText w:val="(%1)"/>
      <w:numFmt w:val="decimal"/>
      <w:start w:val="1"/>
    </w:lvl>
  </w:abstractNum>
  <w:abstractNum w:abstractNumId="18">
    <w:nsid w:val="754342"/>
    <w:multiLevelType w:val="hybridMultilevel"/>
    <w:lvl w:ilvl="0">
      <w:lvlJc w:val="left"/>
      <w:lvlText w:val="•"/>
      <w:numFmt w:val="bullet"/>
      <w:start w:val="1"/>
    </w:lvl>
  </w:abstractNum>
  <w:abstractNum w:abstractNumId="19">
    <w:nsid w:val="69E7F3E5"/>
    <w:multiLevelType w:val="hybridMultilevel"/>
    <w:lvl w:ilvl="0">
      <w:lvlJc w:val="left"/>
      <w:lvlText w:val="•"/>
      <w:numFmt w:val="bullet"/>
      <w:start w:val="1"/>
    </w:lvl>
  </w:abstractNum>
  <w:abstractNum w:abstractNumId="20">
    <w:nsid w:val="2A6DE806"/>
    <w:multiLevelType w:val="hybridMultilevel"/>
    <w:lvl w:ilvl="0">
      <w:lvlJc w:val="left"/>
      <w:lvlText w:val="•"/>
      <w:numFmt w:val="bullet"/>
      <w:start w:val="1"/>
    </w:lvl>
  </w:abstractNum>
  <w:abstractNum w:abstractNumId="21">
    <w:nsid w:val="1816F8C4"/>
    <w:multiLevelType w:val="hybridMultilevel"/>
    <w:lvl w:ilvl="0">
      <w:lvlJc w:val="left"/>
      <w:lvlText w:val="(%1)"/>
      <w:numFmt w:val="lowerLetter"/>
      <w:start w:val="1"/>
    </w:lvl>
  </w:abstractNum>
  <w:abstractNum w:abstractNumId="22">
    <w:nsid w:val="37DF2233"/>
    <w:multiLevelType w:val="hybridMultilevel"/>
    <w:lvl w:ilvl="0">
      <w:lvlJc w:val="left"/>
      <w:lvlText w:val="(%1)"/>
      <w:numFmt w:val="lowerLetter"/>
      <w:start w:val="5"/>
    </w:lvl>
  </w:abstractNum>
  <w:abstractNum w:abstractNumId="23">
    <w:nsid w:val="7AB49DAF"/>
    <w:multiLevelType w:val="hybridMultilevel"/>
    <w:lvl w:ilvl="0">
      <w:lvlJc w:val="left"/>
      <w:lvlText w:val="(%1)"/>
      <w:numFmt w:val="lowerLetter"/>
      <w:start w:val="1"/>
    </w:lvl>
  </w:abstractNum>
  <w:abstractNum w:abstractNumId="24">
    <w:nsid w:val="759F82CD"/>
    <w:multiLevelType w:val="hybridMultilevel"/>
    <w:lvl w:ilvl="0">
      <w:lvlJc w:val="left"/>
      <w:lvlText w:val="(%1)"/>
      <w:numFmt w:val="lowerLetter"/>
      <w:start w:val="35"/>
    </w:lvl>
  </w:abstractNum>
  <w:abstractNum w:abstractNumId="25">
    <w:nsid w:val="61E74EA3"/>
    <w:multiLevelType w:val="hybridMultilevel"/>
    <w:lvl w:ilvl="0">
      <w:lvlJc w:val="left"/>
      <w:lvlText w:val="(%1)"/>
      <w:numFmt w:val="lowerRoman"/>
      <w:start w:val="4"/>
    </w:lvl>
  </w:abstractNum>
  <w:abstractNum w:abstractNumId="26">
    <w:nsid w:val="597B4D84"/>
    <w:multiLevelType w:val="hybridMultilevel"/>
    <w:lvl w:ilvl="0">
      <w:lvlJc w:val="left"/>
      <w:lvlText w:val="(%1)"/>
      <w:numFmt w:val="lowerRoman"/>
      <w:start w:val="1"/>
    </w:lvl>
  </w:abstractNum>
  <w:abstractNum w:abstractNumId="27">
    <w:nsid w:val="F819E7F"/>
    <w:multiLevelType w:val="hybridMultilevel"/>
    <w:lvl w:ilvl="0">
      <w:lvlJc w:val="left"/>
      <w:lvlText w:val="(%1)"/>
      <w:numFmt w:val="decimal"/>
      <w:start w:val="1"/>
    </w:lvl>
  </w:abstractNum>
  <w:abstractNum w:abstractNumId="28">
    <w:nsid w:val="57C7D42D"/>
    <w:multiLevelType w:val="hybridMultilevel"/>
    <w:lvl w:ilvl="0">
      <w:lvlJc w:val="left"/>
      <w:lvlText w:val="(%1)"/>
      <w:numFmt w:val="decimal"/>
      <w:start w:val="3"/>
    </w:lvl>
  </w:abstractNum>
  <w:abstractNum w:abstractNumId="29">
    <w:nsid w:val="312167AD"/>
    <w:multiLevelType w:val="hybridMultilevel"/>
    <w:lvl w:ilvl="0">
      <w:lvlJc w:val="left"/>
      <w:lvlText w:val="(%1)"/>
      <w:numFmt w:val="lowerLetter"/>
      <w:start w:val="2"/>
    </w:lvl>
  </w:abstractNum>
  <w:abstractNum w:abstractNumId="30">
    <w:nsid w:val="631B64D4"/>
    <w:multiLevelType w:val="hybridMultilevel"/>
    <w:lvl w:ilvl="0">
      <w:lvlJc w:val="left"/>
      <w:lvlText w:val="(%1)"/>
      <w:numFmt w:val="lowerLetter"/>
      <w:start w:val="4"/>
    </w:lvl>
  </w:abstractNum>
  <w:abstractNum w:abstractNumId="31">
    <w:nsid w:val="78B5E776"/>
    <w:multiLevelType w:val="hybridMultilevel"/>
    <w:lvl w:ilvl="0">
      <w:lvlJc w:val="left"/>
      <w:lvlText w:val="(%1)"/>
      <w:numFmt w:val="lowerLetter"/>
      <w:start w:val="4"/>
    </w:lvl>
  </w:abstractNum>
  <w:abstractNum w:abstractNumId="32">
    <w:nsid w:val="75486E47"/>
    <w:multiLevelType w:val="hybridMultilevel"/>
    <w:lvl w:ilvl="0">
      <w:lvlJc w:val="left"/>
      <w:lvlText w:val="(%1)"/>
      <w:numFmt w:val="lowerLetter"/>
      <w:start w:val="2"/>
    </w:lvl>
  </w:abstractNum>
  <w:abstractNum w:abstractNumId="33">
    <w:nsid w:val="6E534CDE"/>
    <w:multiLevelType w:val="hybridMultilevel"/>
    <w:lvl w:ilvl="0">
      <w:lvlJc w:val="left"/>
      <w:lvlText w:val="(%1)"/>
      <w:numFmt w:val="lowerLetter"/>
      <w:start w:val="25"/>
    </w:lvl>
  </w:abstractNum>
  <w:abstractNum w:abstractNumId="34">
    <w:nsid w:val="1A0DDE32"/>
    <w:multiLevelType w:val="hybridMultilevel"/>
    <w:lvl w:ilvl="0">
      <w:lvlJc w:val="left"/>
      <w:lvlText w:val="(%1)"/>
      <w:numFmt w:val="lowerLetter"/>
      <w:start w:val="1"/>
    </w:lvl>
  </w:abstractNum>
  <w:abstractNum w:abstractNumId="35">
    <w:nsid w:val="65968C1C"/>
    <w:multiLevelType w:val="hybridMultilevel"/>
    <w:lvl w:ilvl="0">
      <w:lvlJc w:val="left"/>
      <w:lvlText w:val="(%1)"/>
      <w:numFmt w:val="lowerLetter"/>
      <w:start w:val="1"/>
    </w:lvl>
  </w:abstractNum>
  <w:abstractNum w:abstractNumId="36">
    <w:nsid w:val="46263DEC"/>
    <w:multiLevelType w:val="hybridMultilevel"/>
    <w:lvl w:ilvl="0">
      <w:lvlJc w:val="left"/>
      <w:lvlText w:val="(%1)"/>
      <w:numFmt w:val="lowerLetter"/>
      <w:start w:val="5"/>
    </w:lvl>
  </w:abstractNum>
  <w:abstractNum w:abstractNumId="37">
    <w:nsid w:val="260D8C4A"/>
    <w:multiLevelType w:val="hybridMultilevel"/>
    <w:lvl w:ilvl="0">
      <w:lvlJc w:val="left"/>
      <w:lvlText w:val="(%1)"/>
      <w:numFmt w:val="lowerRoman"/>
      <w:start w:val="1"/>
    </w:lvl>
  </w:abstractNum>
  <w:abstractNum w:abstractNumId="38">
    <w:nsid w:val="73D4D3C4"/>
    <w:multiLevelType w:val="hybridMultilevel"/>
    <w:lvl w:ilvl="0">
      <w:lvlJc w:val="left"/>
      <w:lvlText w:val="(%1)"/>
      <w:numFmt w:val="lowerRoman"/>
      <w:start w:val="1"/>
    </w:lvl>
  </w:abstractNum>
  <w:abstractNum w:abstractNumId="39">
    <w:nsid w:val="746F2E30"/>
    <w:multiLevelType w:val="hybridMultilevel"/>
    <w:lvl w:ilvl="0">
      <w:lvlJc w:val="left"/>
      <w:lvlText w:val="(%1)"/>
      <w:numFmt w:val="lowerRoman"/>
      <w:start w:val="2"/>
    </w:lvl>
  </w:abstractNum>
  <w:abstractNum w:abstractNumId="40">
    <w:nsid w:val="6FDE8AF6"/>
    <w:multiLevelType w:val="hybridMultilevel"/>
    <w:lvl w:ilvl="0">
      <w:lvlJc w:val="left"/>
      <w:lvlText w:val="(%1)"/>
      <w:numFmt w:val="lowerLetter"/>
      <w:start w:val="1"/>
    </w:lvl>
    <w:lvl w:ilvl="1">
      <w:lvlJc w:val="left"/>
      <w:lvlText w:val="(%2)"/>
      <w:numFmt w:val="lowerLetter"/>
      <w:start w:val="9"/>
    </w:lvl>
  </w:abstractNum>
  <w:abstractNum w:abstractNumId="41">
    <w:nsid w:val="3FC32E20"/>
    <w:multiLevelType w:val="hybridMultilevel"/>
    <w:lvl w:ilvl="0">
      <w:lvlJc w:val="left"/>
      <w:lvlText w:val="(%1)"/>
      <w:numFmt w:val="lowerRoman"/>
      <w:start w:val="2"/>
    </w:lvl>
  </w:abstractNum>
  <w:abstractNum w:abstractNumId="42">
    <w:nsid w:val="49C0E823"/>
    <w:multiLevelType w:val="hybridMultilevel"/>
    <w:lvl w:ilvl="0">
      <w:lvlJc w:val="left"/>
      <w:lvlText w:val="(%1)"/>
      <w:numFmt w:val="lowerLetter"/>
      <w:start w:val="2"/>
    </w:lvl>
  </w:abstractNum>
  <w:abstractNum w:abstractNumId="43">
    <w:nsid w:val="14D53685"/>
    <w:multiLevelType w:val="hybridMultilevel"/>
    <w:lvl w:ilvl="0">
      <w:lvlJc w:val="left"/>
      <w:lvlText w:val="(%1)"/>
      <w:numFmt w:val="lowerLetter"/>
      <w:start w:val="1"/>
    </w:lvl>
  </w:abstractNum>
  <w:abstractNum w:abstractNumId="44">
    <w:nsid w:val="230F856C"/>
    <w:multiLevelType w:val="hybridMultilevel"/>
    <w:lvl w:ilvl="0">
      <w:lvlJc w:val="left"/>
      <w:lvlText w:val="(%1)"/>
      <w:numFmt w:val="lowerLetter"/>
      <w:start w:val="2"/>
    </w:lvl>
  </w:abstractNum>
  <w:abstractNum w:abstractNumId="45">
    <w:nsid w:val="6EAA85FB"/>
    <w:multiLevelType w:val="hybridMultilevel"/>
    <w:lvl w:ilvl="0">
      <w:lvlJc w:val="left"/>
      <w:lvlText w:val="(%1)"/>
      <w:numFmt w:val="lowerLetter"/>
      <w:start w:val="1"/>
    </w:lvl>
  </w:abstractNum>
  <w:abstractNum w:abstractNumId="46">
    <w:nsid w:val="3F06ECB2"/>
    <w:multiLevelType w:val="hybridMultilevel"/>
    <w:lvl w:ilvl="0">
      <w:lvlJc w:val="left"/>
      <w:lvlText w:val="(%1)"/>
      <w:numFmt w:val="lowerRoman"/>
      <w:start w:val="2"/>
    </w:lvl>
  </w:abstractNum>
  <w:abstractNum w:abstractNumId="47">
    <w:nsid w:val="3B594807"/>
    <w:multiLevelType w:val="hybridMultilevel"/>
    <w:lvl w:ilvl="0">
      <w:lvlJc w:val="left"/>
      <w:lvlText w:val="(%1)"/>
      <w:numFmt w:val="lowerLetter"/>
      <w:start w:val="6"/>
    </w:lvl>
  </w:abstractNum>
  <w:abstractNum w:abstractNumId="48">
    <w:nsid w:val="6CAA2304"/>
    <w:multiLevelType w:val="hybridMultilevel"/>
    <w:lvl w:ilvl="0">
      <w:lvlJc w:val="left"/>
      <w:lvlText w:val="%1"/>
      <w:numFmt w:val="lowerLetter"/>
      <w:start w:val="1"/>
    </w:lvl>
    <w:lvl w:ilvl="1">
      <w:lvlJc w:val="left"/>
      <w:lvlText w:val="(%2)"/>
      <w:numFmt w:val="lowerLetter"/>
      <w:start w:val="13"/>
    </w:lvl>
  </w:abstractNum>
  <w:abstractNum w:abstractNumId="49">
    <w:nsid w:val="3F7C2FF4"/>
    <w:multiLevelType w:val="hybridMultilevel"/>
    <w:lvl w:ilvl="0">
      <w:lvlJc w:val="left"/>
      <w:lvlText w:val="(%1)"/>
      <w:numFmt w:val="lowerLetter"/>
      <w:start w:val="1"/>
    </w:lvl>
    <w:lvl w:ilvl="1">
      <w:lvlJc w:val="left"/>
      <w:lvlText w:val="%2"/>
      <w:numFmt w:val="lowerLetter"/>
      <w:start w:val="1"/>
    </w:lvl>
  </w:abstractNum>
  <w:abstractNum w:abstractNumId="50">
    <w:nsid w:val="25413BEC"/>
    <w:multiLevelType w:val="hybridMultilevel"/>
    <w:lvl w:ilvl="0">
      <w:lvlJc w:val="left"/>
      <w:lvlText w:val="(%1)"/>
      <w:numFmt w:val="lowerLetter"/>
      <w:start w:val="2"/>
    </w:lvl>
  </w:abstractNum>
  <w:abstractNum w:abstractNumId="51">
    <w:nsid w:val="17180B0B"/>
    <w:multiLevelType w:val="hybridMultilevel"/>
    <w:lvl w:ilvl="0">
      <w:lvlJc w:val="left"/>
      <w:lvlText w:val="(%1)"/>
      <w:numFmt w:val="lowerLetter"/>
      <w:start w:val="1"/>
    </w:lvl>
    <w:lvl w:ilvl="1">
      <w:lvlJc w:val="left"/>
      <w:lvlText w:val="(%2)"/>
      <w:numFmt w:val="lowerRoman"/>
      <w:start w:val="2"/>
    </w:lvl>
  </w:abstractNum>
  <w:abstractNum w:abstractNumId="52">
    <w:nsid w:val="579328B9"/>
    <w:multiLevelType w:val="hybridMultilevel"/>
    <w:lvl w:ilvl="0">
      <w:lvlJc w:val="left"/>
      <w:lvlText w:val="%1"/>
      <w:numFmt w:val="lowerLetter"/>
      <w:start w:val="1"/>
    </w:lvl>
    <w:lvl w:ilvl="1">
      <w:lvlJc w:val="left"/>
      <w:lvlText w:val="(%2)"/>
      <w:numFmt w:val="lowerLetter"/>
      <w:start w:val="22"/>
    </w:lvl>
  </w:abstractNum>
  <w:abstractNum w:abstractNumId="53">
    <w:nsid w:val="5D205E20"/>
    <w:multiLevelType w:val="hybridMultilevel"/>
    <w:lvl w:ilvl="0">
      <w:lvlJc w:val="left"/>
      <w:lvlText w:val="(%1)"/>
      <w:numFmt w:val="lowerLetter"/>
      <w:start w:val="3"/>
    </w:lvl>
    <w:lvl w:ilvl="1">
      <w:lvlJc w:val="left"/>
      <w:lvlText w:val="%2"/>
      <w:numFmt w:val="lowerLetter"/>
      <w:start w:val="1"/>
    </w:lvl>
  </w:abstractNum>
  <w:abstractNum w:abstractNumId="54">
    <w:nsid w:val="11CCA8BA"/>
    <w:multiLevelType w:val="hybridMultilevel"/>
    <w:lvl w:ilvl="0">
      <w:lvlJc w:val="left"/>
      <w:lvlText w:val="(%1)"/>
      <w:numFmt w:val="lowerLetter"/>
      <w:start w:val="1"/>
    </w:lvl>
  </w:abstractNum>
  <w:abstractNum w:abstractNumId="55">
    <w:nsid w:val="4D32AB86"/>
    <w:multiLevelType w:val="hybridMultilevel"/>
    <w:lvl w:ilvl="0">
      <w:lvlJc w:val="left"/>
      <w:lvlText w:val="(%1)"/>
      <w:numFmt w:val="lowerLetter"/>
      <w:start w:val="2"/>
    </w:lvl>
  </w:abstractNum>
  <w:abstractNum w:abstractNumId="56">
    <w:nsid w:val="3F07ACC3"/>
    <w:multiLevelType w:val="hybridMultilevel"/>
    <w:lvl w:ilvl="0">
      <w:lvlJc w:val="left"/>
      <w:lvlText w:val="%1"/>
      <w:numFmt w:val="lowerLetter"/>
      <w:start w:val="1"/>
    </w:lvl>
    <w:lvl w:ilvl="1">
      <w:lvlJc w:val="left"/>
      <w:lvlText w:val="(%2)"/>
      <w:numFmt w:val="lowerLetter"/>
      <w:start w:val="1"/>
    </w:lvl>
  </w:abstractNum>
  <w:abstractNum w:abstractNumId="57">
    <w:nsid w:val="6B47F63E"/>
    <w:multiLevelType w:val="hybridMultilevel"/>
    <w:lvl w:ilvl="0">
      <w:lvlJc w:val="left"/>
      <w:lvlText w:val="(%1)"/>
      <w:numFmt w:val="lowerLetter"/>
      <w:start w:val="9"/>
    </w:lvl>
    <w:lvl w:ilvl="1">
      <w:lvlJc w:val="left"/>
      <w:lvlText w:val="%2"/>
      <w:numFmt w:val="lowerLetter"/>
      <w:start w:val="1"/>
    </w:lvl>
  </w:abstractNum>
  <w:abstractNum w:abstractNumId="58">
    <w:nsid w:val="5CB44A05"/>
    <w:multiLevelType w:val="hybridMultilevel"/>
    <w:lvl w:ilvl="0">
      <w:lvlJc w:val="left"/>
      <w:lvlText w:val="(%1)"/>
      <w:numFmt w:val="lowerLetter"/>
      <w:start w:val="2"/>
    </w:lvl>
  </w:abstractNum>
  <w:abstractNum w:abstractNumId="59">
    <w:nsid w:val="16CF80F1"/>
    <w:multiLevelType w:val="hybridMultilevel"/>
    <w:lvl w:ilvl="0">
      <w:lvlJc w:val="left"/>
      <w:lvlText w:val="(%1)"/>
      <w:numFmt w:val="lowerLetter"/>
      <w:start w:val="1"/>
    </w:lvl>
    <w:lvl w:ilvl="1">
      <w:lvlJc w:val="left"/>
      <w:lvlText w:val="(%2)"/>
      <w:numFmt w:val="lowerLetter"/>
      <w:start w:val="9"/>
    </w:lvl>
  </w:abstractNum>
  <w:abstractNum w:abstractNumId="60">
    <w:nsid w:val="1C695DEC"/>
    <w:multiLevelType w:val="hybridMultilevel"/>
    <w:lvl w:ilvl="0">
      <w:lvlJc w:val="left"/>
      <w:lvlText w:val="(%1)"/>
      <w:numFmt w:val="lowerRoman"/>
      <w:start w:val="2"/>
    </w:lvl>
    <w:lvl w:ilvl="1">
      <w:lvlJc w:val="left"/>
      <w:lvlText w:val="(%2)"/>
      <w:numFmt w:val="upperLetter"/>
      <w:start w:val="1"/>
    </w:lvl>
  </w:abstractNum>
  <w:abstractNum w:abstractNumId="61">
    <w:nsid w:val="3FCFAED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62">
    <w:nsid w:val="F85686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3">
    <w:nsid w:val="11B1CC3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
    <w:nsid w:val="2E22FBB7"/>
    <w:multiLevelType w:val="hybridMultilevel"/>
    <w:lvl w:ilvl="0">
      <w:lvlJc w:val="left"/>
      <w:lvlText w:val="(%1)"/>
      <w:numFmt w:val="lowerRoman"/>
      <w:start w:val="3"/>
    </w:lvl>
  </w:abstractNum>
  <w:abstractNum w:abstractNumId="65">
    <w:nsid w:val="29934699"/>
    <w:multiLevelType w:val="hybridMultilevel"/>
    <w:lvl w:ilvl="0">
      <w:lvlJc w:val="left"/>
      <w:lvlText w:val="(%1)"/>
      <w:numFmt w:val="lowerLetter"/>
      <w:start w:val="3"/>
    </w:lvl>
    <w:lvl w:ilvl="1">
      <w:lvlJc w:val="left"/>
      <w:lvlText w:val="(%2)"/>
      <w:numFmt w:val="lowerRoman"/>
      <w:start w:val="1"/>
    </w:lvl>
  </w:abstractNum>
  <w:abstractNum w:abstractNumId="66">
    <w:nsid w:val="77485850"/>
    <w:multiLevelType w:val="hybridMultilevel"/>
    <w:lvl w:ilvl="0">
      <w:lvlJc w:val="left"/>
      <w:lvlText w:val="%1"/>
      <w:numFmt w:val="lowerLetter"/>
      <w:start w:val="1"/>
    </w:lvl>
    <w:lvl w:ilvl="1">
      <w:lvlJc w:val="left"/>
      <w:lvlText w:val="(%2)"/>
      <w:numFmt w:val="lowerRoman"/>
      <w:start w:val="6"/>
    </w:lvl>
  </w:abstractNum>
  <w:abstractNum w:abstractNumId="67">
    <w:nsid w:val="744939A3"/>
    <w:multiLevelType w:val="hybridMultilevel"/>
    <w:lvl w:ilvl="0">
      <w:lvlJc w:val="left"/>
      <w:lvlText w:val="(%1)"/>
      <w:numFmt w:val="lowerLetter"/>
      <w:start w:val="4"/>
    </w:lvl>
    <w:lvl w:ilvl="1">
      <w:lvlJc w:val="left"/>
      <w:lvlText w:val="(%2)"/>
      <w:numFmt w:val="lowerRoman"/>
      <w:start w:val="1"/>
    </w:lvl>
  </w:abstractNum>
  <w:abstractNum w:abstractNumId="68">
    <w:nsid w:val="4FA0D2E3"/>
    <w:multiLevelType w:val="hybridMultilevel"/>
    <w:lvl w:ilvl="0">
      <w:lvlJc w:val="left"/>
      <w:lvlText w:val="(%1)"/>
      <w:numFmt w:val="lowerRoman"/>
      <w:start w:val="4"/>
    </w:lvl>
  </w:abstractNum>
  <w:abstractNum w:abstractNumId="69">
    <w:nsid w:val="6B1D2C14"/>
    <w:multiLevelType w:val="hybridMultilevel"/>
    <w:lvl w:ilvl="0">
      <w:lvlJc w:val="left"/>
      <w:lvlText w:val="(%1)"/>
      <w:numFmt w:val="lowerRoman"/>
      <w:start w:val="5"/>
    </w:lvl>
  </w:abstractNum>
  <w:abstractNum w:abstractNumId="70">
    <w:nsid w:val="68B867D3"/>
    <w:multiLevelType w:val="hybridMultilevel"/>
    <w:lvl w:ilvl="0">
      <w:lvlJc w:val="left"/>
      <w:lvlText w:val="(%1)"/>
      <w:numFmt w:val="lowerLetter"/>
      <w:start w:val="6"/>
    </w:lvl>
  </w:abstractNum>
  <w:abstractNum w:abstractNumId="71">
    <w:nsid w:val="3F7F5DD9"/>
    <w:multiLevelType w:val="hybridMultilevel"/>
    <w:lvl w:ilvl="0">
      <w:lvlJc w:val="left"/>
      <w:lvlText w:val="(%1)"/>
      <w:numFmt w:val="lowerLetter"/>
      <w:start w:val="7"/>
    </w:lvl>
    <w:lvl w:ilvl="1">
      <w:lvlJc w:val="left"/>
      <w:lvlText w:val="(%2)"/>
      <w:numFmt w:val="lowerRoman"/>
      <w:start w:val="1"/>
    </w:lvl>
  </w:abstractNum>
  <w:abstractNum w:abstractNumId="72">
    <w:nsid w:val="2AE05A34"/>
    <w:multiLevelType w:val="hybridMultilevel"/>
    <w:lvl w:ilvl="0">
      <w:lvlJc w:val="left"/>
      <w:lvlText w:val="(%1)"/>
      <w:numFmt w:val="lowerLetter"/>
      <w:start w:val="10"/>
    </w:lvl>
  </w:abstractNum>
  <w:abstractNum w:abstractNumId="73">
    <w:nsid w:val="32794FF7"/>
    <w:multiLevelType w:val="hybridMultilevel"/>
    <w:lvl w:ilvl="0">
      <w:lvlJc w:val="left"/>
      <w:lvlText w:val="(%1)"/>
      <w:numFmt w:val="lowerLetter"/>
      <w:start w:val="1"/>
    </w:lvl>
  </w:abstractNum>
  <w:abstractNum w:abstractNumId="74">
    <w:nsid w:val="5454945E"/>
    <w:multiLevelType w:val="hybridMultilevel"/>
    <w:lvl w:ilvl="0">
      <w:lvlJc w:val="left"/>
      <w:lvlText w:val="(%1)"/>
      <w:numFmt w:val="lowerLetter"/>
      <w:start w:val="2"/>
    </w:lvl>
    <w:lvl w:ilvl="1">
      <w:lvlJc w:val="left"/>
      <w:lvlText w:val="(%2)"/>
      <w:numFmt w:val="lowerRoman"/>
      <w:start w:val="1"/>
    </w:lvl>
  </w:abstractNum>
  <w:abstractNum w:abstractNumId="75">
    <w:nsid w:val="4DEFDFA0"/>
    <w:multiLevelType w:val="hybridMultilevel"/>
    <w:lvl w:ilvl="0">
      <w:lvlJc w:val="left"/>
      <w:lvlText w:val="%1"/>
      <w:numFmt w:val="lowerLetter"/>
      <w:start w:val="1"/>
    </w:lvl>
    <w:lvl w:ilvl="1">
      <w:lvlJc w:val="left"/>
      <w:lvlText w:val="(%2)"/>
      <w:numFmt w:val="lowerRoman"/>
      <w:start w:val="4"/>
    </w:lvl>
  </w:abstractNum>
  <w:abstractNum w:abstractNumId="76">
    <w:nsid w:val="2123D5F2"/>
    <w:multiLevelType w:val="hybridMultilevel"/>
    <w:lvl w:ilvl="0">
      <w:lvlJc w:val="left"/>
      <w:lvlText w:val="(%1)"/>
      <w:numFmt w:val="lowerLetter"/>
      <w:start w:val="4"/>
    </w:lvl>
    <w:lvl w:ilvl="1">
      <w:lvlJc w:val="left"/>
      <w:lvlText w:val="(%2)"/>
      <w:numFmt w:val="lowerRoman"/>
      <w:start w:val="1"/>
    </w:lvl>
  </w:abstractNum>
  <w:abstractNum w:abstractNumId="77">
    <w:nsid w:val="135B8110"/>
    <w:multiLevelType w:val="hybridMultilevel"/>
    <w:lvl w:ilvl="0">
      <w:lvlJc w:val="left"/>
      <w:lvlText w:val="(%1)"/>
      <w:numFmt w:val="lowerLetter"/>
      <w:start w:val="1"/>
    </w:lvl>
    <w:lvl w:ilvl="1">
      <w:lvlJc w:val="left"/>
      <w:lvlText w:val="(%2)"/>
      <w:numFmt w:val="lowerRoman"/>
      <w:start w:val="1"/>
    </w:lvl>
  </w:abstractNum>
  <w:abstractNum w:abstractNumId="78">
    <w:nsid w:val="94927A8"/>
    <w:multiLevelType w:val="hybridMultilevel"/>
    <w:lvl w:ilvl="0">
      <w:lvlJc w:val="left"/>
      <w:lvlText w:val="(%1)"/>
      <w:numFmt w:val="lowerRoman"/>
      <w:start w:val="3"/>
    </w:lvl>
  </w:abstractNum>
  <w:abstractNum w:abstractNumId="79">
    <w:nsid w:val="DCDF8F6"/>
    <w:multiLevelType w:val="hybridMultilevel"/>
    <w:lvl w:ilvl="0">
      <w:lvlJc w:val="left"/>
      <w:lvlText w:val="(%1)"/>
      <w:numFmt w:val="lowerLetter"/>
      <w:start w:val="1"/>
    </w:lvl>
  </w:abstractNum>
  <w:abstractNum w:abstractNumId="80">
    <w:nsid w:val="52D7B105"/>
    <w:multiLevelType w:val="hybridMultilevel"/>
    <w:lvl w:ilvl="0">
      <w:lvlJc w:val="left"/>
      <w:lvlText w:val="(%1)"/>
      <w:numFmt w:val="lowerLetter"/>
      <w:start w:val="2"/>
    </w:lvl>
    <w:lvl w:ilvl="1">
      <w:lvlJc w:val="left"/>
      <w:lvlText w:val="(%2)"/>
      <w:numFmt w:val="lowerRoman"/>
      <w:start w:val="2"/>
    </w:lvl>
  </w:abstractNum>
  <w:abstractNum w:abstractNumId="81">
    <w:nsid w:val="2E8A6394"/>
    <w:multiLevelType w:val="hybridMultilevel"/>
    <w:lvl w:ilvl="0">
      <w:lvlJc w:val="left"/>
      <w:lvlText w:val="(%1)"/>
      <w:numFmt w:val="lowerLetter"/>
      <w:start w:val="1"/>
    </w:lvl>
  </w:abstractNum>
  <w:abstractNum w:abstractNumId="82">
    <w:nsid w:val="24E60401"/>
    <w:multiLevelType w:val="hybridMultilevel"/>
    <w:lvl w:ilvl="0">
      <w:lvlJc w:val="left"/>
      <w:lvlText w:val="(%1)"/>
      <w:numFmt w:val="lowerLetter"/>
      <w:start w:val="2"/>
    </w:lvl>
    <w:lvl w:ilvl="1">
      <w:lvlJc w:val="left"/>
      <w:lvlText w:val="(%2)"/>
      <w:numFmt w:val="lowerRoman"/>
      <w:start w:val="1"/>
    </w:lvl>
  </w:abstractNum>
  <w:abstractNum w:abstractNumId="83">
    <w:nsid w:val="2A6AD9BE"/>
    <w:multiLevelType w:val="hybridMultilevel"/>
    <w:lvl w:ilvl="0">
      <w:lvlJc w:val="left"/>
      <w:lvlText w:val="(%1)"/>
      <w:numFmt w:val="lowerLetter"/>
      <w:start w:val="1"/>
    </w:lvl>
  </w:abstractNum>
  <w:abstractNum w:abstractNumId="84">
    <w:nsid w:val="BAAC1B4"/>
    <w:multiLevelType w:val="hybridMultilevel"/>
    <w:lvl w:ilvl="0">
      <w:lvlJc w:val="left"/>
      <w:lvlText w:val="(%1)"/>
      <w:numFmt w:val="lowerLetter"/>
      <w:start w:val="1"/>
    </w:lvl>
  </w:abstractNum>
  <w:abstractNum w:abstractNumId="85">
    <w:nsid w:val="36B2ACBC"/>
    <w:multiLevelType w:val="hybridMultilevel"/>
    <w:lvl w:ilvl="0">
      <w:lvlJc w:val="left"/>
      <w:lvlText w:val="(%1)"/>
      <w:numFmt w:val="lowerLetter"/>
      <w:start w:val="2"/>
    </w:lvl>
  </w:abstractNum>
  <w:abstractNum w:abstractNumId="86">
    <w:nsid w:val="779D8544"/>
    <w:multiLevelType w:val="hybridMultilevel"/>
    <w:lvl w:ilvl="0">
      <w:lvlJc w:val="left"/>
      <w:lvlText w:val="(%1)"/>
      <w:numFmt w:val="lowerLetter"/>
      <w:start w:val="1"/>
    </w:lvl>
    <w:lvl w:ilvl="1">
      <w:lvlJc w:val="left"/>
      <w:lvlText w:val="(%2)"/>
      <w:numFmt w:val="lowerLetter"/>
      <w:start w:val="35"/>
    </w:lvl>
  </w:abstractNum>
  <w:abstractNum w:abstractNumId="87">
    <w:nsid w:val="4AB26E78"/>
    <w:multiLevelType w:val="hybridMultilevel"/>
    <w:lvl w:ilvl="0">
      <w:lvlJc w:val="left"/>
      <w:lvlText w:val="(%1)"/>
      <w:numFmt w:val="lowerLetter"/>
      <w:start w:val="4"/>
    </w:lvl>
  </w:abstractNum>
  <w:abstractNum w:abstractNumId="88">
    <w:nsid w:val="21FAA2FA"/>
    <w:multiLevelType w:val="hybridMultilevel"/>
    <w:lvl w:ilvl="0">
      <w:lvlJc w:val="left"/>
      <w:lvlText w:val="(%1)"/>
      <w:numFmt w:val="lowerLetter"/>
      <w:start w:val="6"/>
    </w:lvl>
  </w:abstractNum>
  <w:abstractNum w:abstractNumId="89">
    <w:nsid w:val="5451CF49"/>
    <w:multiLevelType w:val="hybridMultilevel"/>
    <w:lvl w:ilvl="0">
      <w:lvlJc w:val="left"/>
      <w:lvlText w:val="(%1)"/>
      <w:numFmt w:val="lowerRoman"/>
      <w:start w:val="1"/>
    </w:lvl>
  </w:abstractNum>
  <w:abstractNum w:abstractNumId="90">
    <w:nsid w:val="6181EF69"/>
    <w:multiLevelType w:val="hybridMultilevel"/>
    <w:lvl w:ilvl="0">
      <w:lvlJc w:val="left"/>
      <w:lvlText w:val="(%1)"/>
      <w:numFmt w:val="lowerLetter"/>
      <w:start w:val="1"/>
    </w:lvl>
  </w:abstractNum>
  <w:abstractNum w:abstractNumId="91">
    <w:nsid w:val="3E6400E6"/>
    <w:multiLevelType w:val="hybridMultilevel"/>
    <w:lvl w:ilvl="0">
      <w:lvlJc w:val="left"/>
      <w:lvlText w:val="(%1)"/>
      <w:numFmt w:val="lowerLetter"/>
      <w:start w:val="1"/>
    </w:lvl>
  </w:abstractNum>
  <w:abstractNum w:abstractNumId="92">
    <w:nsid w:val="14217E2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3">
    <w:nsid w:val="710757D0"/>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94">
    <w:nsid w:val="5015CD1A"/>
    <w:multiLevelType w:val="hybridMultilevel"/>
    <w:lvl w:ilvl="0">
      <w:lvlJc w:val="left"/>
      <w:lvlText w:val="(%1)"/>
      <w:numFmt w:val="lowerRoman"/>
      <w:start w:val="2"/>
    </w:lvl>
  </w:abstractNum>
  <w:abstractNum w:abstractNumId="95">
    <w:nsid w:val="424479DA"/>
    <w:multiLevelType w:val="hybridMultilevel"/>
    <w:lvl w:ilvl="0">
      <w:lvlJc w:val="left"/>
      <w:lvlText w:val="(%1)"/>
      <w:numFmt w:val="lowerLetter"/>
      <w:start w:val="4"/>
    </w:lvl>
  </w:abstractNum>
  <w:abstractNum w:abstractNumId="96">
    <w:nsid w:val="1A9A9E69"/>
    <w:multiLevelType w:val="hybridMultilevel"/>
    <w:lvl w:ilvl="0">
      <w:lvlJc w:val="left"/>
      <w:lvlText w:val="(%1)"/>
      <w:numFmt w:val="lowerLetter"/>
      <w:start w:val="1"/>
    </w:lvl>
  </w:abstractNum>
  <w:abstractNum w:abstractNumId="97">
    <w:nsid w:val="475E256A"/>
    <w:multiLevelType w:val="hybridMultilevel"/>
    <w:lvl w:ilvl="0">
      <w:lvlJc w:val="left"/>
      <w:lvlText w:val="(%1)"/>
      <w:numFmt w:val="lowerLetter"/>
      <w:start w:val="3"/>
    </w:lvl>
  </w:abstractNum>
  <w:abstractNum w:abstractNumId="98">
    <w:nsid w:val="368DB37E"/>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99">
    <w:nsid w:val="6A3B714C"/>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abstractNum>
  <w:abstractNum w:abstractNumId="100">
    <w:nsid w:val="327B517E"/>
    <w:multiLevelType w:val="hybridMultilevel"/>
    <w:lvl w:ilvl="0">
      <w:lvlJc w:val="left"/>
      <w:lvlText w:val="(%1)"/>
      <w:numFmt w:val="lowerRoman"/>
      <w:start w:val="10"/>
    </w:lvl>
    <w:lvl w:ilvl="1">
      <w:lvlJc w:val="left"/>
      <w:lvlText w:val="(%2)"/>
      <w:numFmt w:val="upperLetter"/>
      <w:start w:val="2"/>
    </w:lvl>
    <w:lvl w:ilvl="2">
      <w:lvlJc w:val="left"/>
      <w:lvlText w:val="(%3)"/>
      <w:numFmt w:val="lowerRoman"/>
      <w:start w:val="4"/>
    </w:lvl>
  </w:abstractNum>
  <w:abstractNum w:abstractNumId="101">
    <w:nsid w:val="1F461B51"/>
    <w:multiLevelType w:val="hybridMultilevel"/>
    <w:lvl w:ilvl="0">
      <w:lvlJc w:val="left"/>
      <w:lvlText w:val="%1"/>
      <w:numFmt w:val="lowerLetter"/>
      <w:start w:val="1"/>
    </w:lvl>
    <w:lvl w:ilvl="1">
      <w:lvlJc w:val="left"/>
      <w:lvlText w:val="(%2)"/>
      <w:numFmt w:val="lowerLetter"/>
      <w:start w:val="8"/>
    </w:lvl>
  </w:abstractNum>
  <w:abstractNum w:abstractNumId="102">
    <w:nsid w:val="29BACF25"/>
    <w:multiLevelType w:val="hybridMultilevel"/>
    <w:lvl w:ilvl="0">
      <w:lvlJc w:val="left"/>
      <w:lvlText w:val="(%1)"/>
      <w:numFmt w:val="lowerLetter"/>
      <w:start w:val="8"/>
    </w:lvl>
    <w:lvl w:ilvl="1">
      <w:lvlJc w:val="left"/>
      <w:lvlText w:val="(%2)"/>
      <w:numFmt w:val="lowerLetter"/>
      <w:start w:val="9"/>
    </w:lvl>
  </w:abstractNum>
  <w:abstractNum w:abstractNumId="103">
    <w:nsid w:val="5D5BABB3"/>
    <w:multiLevelType w:val="hybridMultilevel"/>
    <w:lvl w:ilvl="0">
      <w:lvlJc w:val="left"/>
      <w:lvlText w:val="(%1)"/>
      <w:numFmt w:val="lowerLetter"/>
      <w:start w:val="1"/>
    </w:lvl>
  </w:abstractNum>
  <w:abstractNum w:abstractNumId="104">
    <w:nsid w:val="51BF6B48"/>
    <w:multiLevelType w:val="hybridMultilevel"/>
    <w:lvl w:ilvl="0">
      <w:lvlJc w:val="left"/>
      <w:lvlText w:val="(%1)"/>
      <w:numFmt w:val="lowerLetter"/>
      <w:start w:val="2"/>
    </w:lvl>
  </w:abstractNum>
  <w:abstractNum w:abstractNumId="105">
    <w:nsid w:val="7E0F6384"/>
    <w:multiLevelType w:val="hybridMultilevel"/>
    <w:lvl w:ilvl="0">
      <w:lvlJc w:val="left"/>
      <w:lvlText w:val="(%1)"/>
      <w:numFmt w:val="lowerLetter"/>
      <w:start w:val="1"/>
    </w:lvl>
    <w:lvl w:ilvl="1">
      <w:lvlJc w:val="left"/>
      <w:lvlText w:val="(%2)"/>
      <w:numFmt w:val="lowerRoman"/>
      <w:start w:val="1"/>
    </w:lvl>
  </w:abstractNum>
  <w:abstractNum w:abstractNumId="106">
    <w:nsid w:val="2B4B8B53"/>
    <w:multiLevelType w:val="hybridMultilevel"/>
    <w:lvl w:ilvl="0">
      <w:lvlJc w:val="left"/>
      <w:lvlText w:val="(%1)"/>
      <w:numFmt w:val="lowerLetter"/>
      <w:start w:val="2"/>
    </w:lvl>
  </w:abstractNum>
  <w:abstractNum w:abstractNumId="107">
    <w:nsid w:val="72E3413A"/>
    <w:multiLevelType w:val="hybridMultilevel"/>
    <w:lvl w:ilvl="0">
      <w:lvlJc w:val="left"/>
      <w:lvlText w:val="(%1)"/>
      <w:numFmt w:val="lowerLetter"/>
      <w:start w:val="1"/>
    </w:lvl>
  </w:abstractNum>
  <w:abstractNum w:abstractNumId="108">
    <w:nsid w:val="116AE494"/>
    <w:multiLevelType w:val="hybridMultilevel"/>
    <w:lvl w:ilvl="0">
      <w:lvlJc w:val="left"/>
      <w:lvlText w:val="(%1)"/>
      <w:numFmt w:val="lowerLetter"/>
      <w:start w:val="1"/>
    </w:lvl>
  </w:abstractNum>
  <w:abstractNum w:abstractNumId="109">
    <w:nsid w:val="3494B2FB"/>
    <w:multiLevelType w:val="hybridMultilevel"/>
    <w:lvl w:ilvl="0">
      <w:lvlJc w:val="left"/>
      <w:lvlText w:val="(%1)"/>
      <w:numFmt w:val="lowerLetter"/>
      <w:start w:val="1"/>
    </w:lvl>
  </w:abstractNum>
  <w:abstractNum w:abstractNumId="110">
    <w:nsid w:val="B13A31"/>
    <w:multiLevelType w:val="hybridMultilevel"/>
    <w:lvl w:ilvl="0">
      <w:lvlJc w:val="left"/>
      <w:lvlText w:val="%1"/>
      <w:numFmt w:val="lowerLetter"/>
      <w:start w:val="1"/>
    </w:lvl>
    <w:lvl w:ilvl="1">
      <w:lvlJc w:val="left"/>
      <w:lvlText w:val="(%2)"/>
      <w:numFmt w:val="lowerRoman"/>
      <w:start w:val="1"/>
    </w:lvl>
  </w:abstractNum>
  <w:abstractNum w:abstractNumId="111">
    <w:nsid w:val="64429599"/>
    <w:multiLevelType w:val="hybridMultilevel"/>
    <w:lvl w:ilvl="0">
      <w:lvlJc w:val="left"/>
      <w:lvlText w:val="(%1)"/>
      <w:numFmt w:val="lowerLetter"/>
      <w:start w:val="2"/>
    </w:lvl>
    <w:lvl w:ilvl="1">
      <w:lvlJc w:val="left"/>
      <w:lvlText w:val="%2"/>
      <w:numFmt w:val="lowerRoman"/>
      <w:start w:val="1"/>
    </w:lvl>
  </w:abstractNum>
  <w:abstractNum w:abstractNumId="112">
    <w:nsid w:val="631F1690"/>
    <w:multiLevelType w:val="hybridMultilevel"/>
    <w:lvl w:ilvl="0">
      <w:lvlJc w:val="left"/>
      <w:lvlText w:val="(%1)"/>
      <w:numFmt w:val="lowerLetter"/>
      <w:start w:val="1"/>
    </w:lvl>
  </w:abstractNum>
  <w:abstractNum w:abstractNumId="113">
    <w:nsid w:val="25973E32"/>
    <w:multiLevelType w:val="hybridMultilevel"/>
    <w:lvl w:ilvl="0">
      <w:lvlJc w:val="left"/>
      <w:lvlText w:val="(%1)"/>
      <w:numFmt w:val="lowerRoman"/>
      <w:start w:val="1"/>
    </w:lvl>
    <w:lvl w:ilvl="1">
      <w:lvlJc w:val="left"/>
      <w:lvlText w:val="(%2)"/>
      <w:numFmt w:val="upperLetter"/>
      <w:start w:val="1"/>
    </w:lvl>
  </w:abstractNum>
  <w:abstractNum w:abstractNumId="114">
    <w:nsid w:val="EAD6F5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15">
    <w:nsid w:val="6EC9D84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upperLetter"/>
      <w:start w:val="5"/>
    </w:lvl>
  </w:abstractNum>
  <w:abstractNum w:abstractNumId="116">
    <w:nsid w:val="5C49EAEE"/>
    <w:multiLevelType w:val="hybridMultilevel"/>
    <w:lvl w:ilvl="0">
      <w:lvlJc w:val="left"/>
      <w:lvlText w:val="(%1)"/>
      <w:numFmt w:val="lowerLetter"/>
      <w:start w:val="3"/>
    </w:lvl>
  </w:abstractNum>
  <w:abstractNum w:abstractNumId="117">
    <w:nsid w:val="64AF49B"/>
    <w:multiLevelType w:val="hybridMultilevel"/>
    <w:lvl w:ilvl="0">
      <w:lvlJc w:val="left"/>
      <w:lvlText w:val="(%1)"/>
      <w:numFmt w:val="lowerLetter"/>
      <w:start w:val="1"/>
    </w:lvl>
  </w:abstractNum>
  <w:abstractNum w:abstractNumId="118">
    <w:nsid w:val="397C46BC"/>
    <w:multiLevelType w:val="hybridMultilevel"/>
    <w:lvl w:ilvl="0">
      <w:lvlJc w:val="left"/>
      <w:lvlText w:val="(%1)"/>
      <w:numFmt w:val="lowerLetter"/>
      <w:start w:val="1"/>
    </w:lvl>
  </w:abstractNum>
  <w:abstractNum w:abstractNumId="119">
    <w:nsid w:val="7E448DE9"/>
    <w:multiLevelType w:val="hybridMultilevel"/>
    <w:lvl w:ilvl="0">
      <w:lvlJc w:val="left"/>
      <w:lvlText w:val="(%1)"/>
      <w:numFmt w:val="lowerLetter"/>
      <w:start w:val="2"/>
    </w:lvl>
  </w:abstractNum>
  <w:abstractNum w:abstractNumId="120">
    <w:nsid w:val="5A9CC3E5"/>
    <w:multiLevelType w:val="hybridMultilevel"/>
    <w:lvl w:ilvl="0">
      <w:lvlJc w:val="left"/>
      <w:lvlText w:val="(%1)"/>
      <w:numFmt w:val="lowerLetter"/>
      <w:start w:val="1"/>
    </w:lvl>
  </w:abstractNum>
  <w:abstractNum w:abstractNumId="121">
    <w:nsid w:val="1AFE3625"/>
    <w:multiLevelType w:val="hybridMultilevel"/>
    <w:lvl w:ilvl="0">
      <w:lvlJc w:val="left"/>
      <w:lvlText w:val="(%1)"/>
      <w:numFmt w:val="upperLetter"/>
      <w:start w:val="3"/>
    </w:lvl>
  </w:abstractNum>
  <w:abstractNum w:abstractNumId="122">
    <w:nsid w:val="3CA88ECF"/>
    <w:multiLevelType w:val="hybridMultilevel"/>
    <w:lvl w:ilvl="0">
      <w:lvlJc w:val="left"/>
      <w:lvlText w:val="(%1)"/>
      <w:numFmt w:val="lowerLetter"/>
      <w:start w:val="1"/>
    </w:lvl>
  </w:abstractNum>
  <w:abstractNum w:abstractNumId="123">
    <w:nsid w:val="6EBE4208"/>
    <w:multiLevelType w:val="hybridMultilevel"/>
    <w:lvl w:ilvl="0">
      <w:lvlJc w:val="left"/>
      <w:lvlText w:val="(%1)"/>
      <w:numFmt w:val="lowerLetter"/>
      <w:start w:val="3"/>
    </w:lvl>
    <w:lvl w:ilvl="1">
      <w:lvlJc w:val="left"/>
      <w:lvlText w:val="(%2)"/>
      <w:numFmt w:val="lowerRoman"/>
      <w:start w:val="1"/>
    </w:lvl>
  </w:abstractNum>
  <w:abstractNum w:abstractNumId="124">
    <w:nsid w:val="C058DF5"/>
    <w:multiLevelType w:val="hybridMultilevel"/>
    <w:lvl w:ilvl="0">
      <w:lvlJc w:val="left"/>
      <w:lvlText w:val="(%1)"/>
      <w:numFmt w:val="lowerLetter"/>
      <w:start w:val="25"/>
    </w:lvl>
  </w:abstractNum>
  <w:abstractNum w:abstractNumId="125">
    <w:nsid w:val="CBE5BE9"/>
    <w:multiLevelType w:val="hybridMultilevel"/>
    <w:lvl w:ilvl="0">
      <w:lvlJc w:val="left"/>
      <w:lvlText w:val="(%1)"/>
      <w:numFmt w:val="lowerLetter"/>
      <w:start w:val="1"/>
    </w:lvl>
  </w:abstractNum>
  <w:abstractNum w:abstractNumId="126">
    <w:nsid w:val="3102BBE2"/>
    <w:multiLevelType w:val="hybridMultilevel"/>
    <w:lvl w:ilvl="0">
      <w:lvlJc w:val="left"/>
      <w:lvlText w:val="(%1)"/>
      <w:numFmt w:val="lowerLetter"/>
      <w:start w:val="1"/>
    </w:lvl>
  </w:abstractNum>
  <w:abstractNum w:abstractNumId="127">
    <w:nsid w:val="26A02C5E"/>
    <w:multiLevelType w:val="hybridMultilevel"/>
    <w:lvl w:ilvl="0">
      <w:lvlJc w:val="left"/>
      <w:lvlText w:val="(%1)"/>
      <w:numFmt w:val="lowerLetter"/>
      <w:start w:val="1"/>
    </w:lvl>
  </w:abstractNum>
  <w:abstractNum w:abstractNumId="128">
    <w:nsid w:val="541C8153"/>
    <w:multiLevelType w:val="hybridMultilevel"/>
    <w:lvl w:ilvl="0">
      <w:lvlJc w:val="left"/>
      <w:lvlText w:val="(%1)"/>
      <w:numFmt w:val="lowerLetter"/>
      <w:start w:val="5"/>
    </w:lvl>
  </w:abstractNum>
  <w:abstractNum w:abstractNumId="129">
    <w:nsid w:val="67906F60"/>
    <w:multiLevelType w:val="hybridMultilevel"/>
    <w:lvl w:ilvl="0">
      <w:lvlJc w:val="left"/>
      <w:lvlText w:val="(%1)"/>
      <w:numFmt w:val="lowerLetter"/>
      <w:start w:val="1"/>
    </w:lvl>
  </w:abstractNum>
  <w:abstractNum w:abstractNumId="130">
    <w:nsid w:val="10DB9DAA"/>
    <w:multiLevelType w:val="hybridMultilevel"/>
    <w:lvl w:ilvl="0">
      <w:lvlJc w:val="left"/>
      <w:lvlText w:val="(%1)"/>
      <w:numFmt w:val="lowerLetter"/>
      <w:start w:val="1"/>
    </w:lvl>
  </w:abstractNum>
  <w:abstractNum w:abstractNumId="131">
    <w:nsid w:val="697D2D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32">
    <w:nsid w:val="6D68AB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33">
    <w:nsid w:val="3A966CD0"/>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34">
    <w:nsid w:val="63F37E85"/>
    <w:multiLevelType w:val="hybridMultilevel"/>
    <w:lvl w:ilvl="0">
      <w:lvlJc w:val="left"/>
      <w:lvlText w:val="(%1)"/>
      <w:numFmt w:val="lowerLetter"/>
      <w:start w:val="3"/>
    </w:lvl>
  </w:abstractNum>
  <w:abstractNum w:abstractNumId="135">
    <w:nsid w:val="5895F5FA"/>
    <w:multiLevelType w:val="hybridMultilevel"/>
    <w:lvl w:ilvl="0">
      <w:lvlJc w:val="left"/>
      <w:lvlText w:val="%1"/>
      <w:numFmt w:val="upperLetter"/>
      <w:start w:val="1"/>
    </w:lvl>
    <w:lvl w:ilvl="1">
      <w:lvlJc w:val="left"/>
      <w:lvlText w:val="(%2)"/>
      <w:numFmt w:val="lowerLetter"/>
      <w:start w:val="1"/>
    </w:lvl>
  </w:abstractNum>
  <w:abstractNum w:abstractNumId="136">
    <w:nsid w:val="38A5D054"/>
    <w:multiLevelType w:val="hybridMultilevel"/>
    <w:lvl w:ilvl="0">
      <w:lvlJc w:val="left"/>
      <w:lvlText w:val="(%1)"/>
      <w:numFmt w:val="upperLetter"/>
      <w:start w:val="1"/>
    </w:lvl>
    <w:lvl w:ilvl="1">
      <w:lvlJc w:val="left"/>
      <w:lvlText w:val="%2"/>
      <w:numFmt w:val="lowerLetter"/>
      <w:start w:val="1"/>
    </w:lvl>
  </w:abstractNum>
  <w:abstractNum w:abstractNumId="137">
    <w:nsid w:val="F3F09D8"/>
    <w:multiLevelType w:val="hybridMultilevel"/>
    <w:lvl w:ilvl="0">
      <w:lvlJc w:val="left"/>
      <w:lvlText w:val="(%1)"/>
      <w:numFmt w:val="upperLetter"/>
      <w:start w:val="3"/>
    </w:lvl>
    <w:lvl w:ilvl="1">
      <w:lvlJc w:val="left"/>
      <w:lvlText w:val="%2"/>
      <w:numFmt w:val="lowerLetter"/>
      <w:start w:val="1"/>
    </w:lvl>
  </w:abstractNum>
  <w:abstractNum w:abstractNumId="138">
    <w:nsid w:val="4B793735"/>
    <w:multiLevelType w:val="hybridMultilevel"/>
    <w:lvl w:ilvl="0">
      <w:lvlJc w:val="left"/>
      <w:lvlText w:val="(%1)"/>
      <w:numFmt w:val="lowerLetter"/>
      <w:start w:val="6"/>
    </w:lvl>
  </w:abstractNum>
  <w:abstractNum w:abstractNumId="139">
    <w:nsid w:val="4A10B4E8"/>
    <w:multiLevelType w:val="hybridMultilevel"/>
    <w:lvl w:ilvl="0">
      <w:lvlJc w:val="left"/>
      <w:lvlText w:val="(%1)"/>
      <w:numFmt w:val="lowerLetter"/>
      <w:start w:val="1"/>
    </w:lvl>
    <w:lvl w:ilvl="1">
      <w:lvlJc w:val="left"/>
      <w:lvlText w:val="(%2)"/>
      <w:numFmt w:val="lowerRoman"/>
      <w:start w:val="1"/>
    </w:lvl>
  </w:abstractNum>
  <w:abstractNum w:abstractNumId="140">
    <w:nsid w:val="43D3BCD4"/>
    <w:multiLevelType w:val="hybridMultilevel"/>
    <w:lvl w:ilvl="0">
      <w:lvlJc w:val="left"/>
      <w:lvlText w:val="(%1)"/>
      <w:numFmt w:val="lowerLetter"/>
      <w:start w:val="1"/>
    </w:lvl>
    <w:lvl w:ilvl="1">
      <w:lvlJc w:val="left"/>
      <w:lvlText w:val="(%2)"/>
      <w:numFmt w:val="lowerRoman"/>
      <w:start w:val="1"/>
    </w:lvl>
  </w:abstractNum>
  <w:abstractNum w:abstractNumId="141">
    <w:nsid w:val="4C2A7166"/>
    <w:multiLevelType w:val="hybridMultilevel"/>
    <w:lvl w:ilvl="0">
      <w:lvlJc w:val="left"/>
      <w:lvlText w:val="(%1)"/>
      <w:numFmt w:val="lowerRoman"/>
      <w:start w:val="10"/>
    </w:lvl>
  </w:abstractNum>
  <w:abstractNum w:abstractNumId="142">
    <w:nsid w:val="2E534A82"/>
    <w:multiLevelType w:val="hybridMultilevel"/>
    <w:lvl w:ilvl="0">
      <w:lvlJc w:val="left"/>
      <w:lvlText w:val="(%1)"/>
      <w:numFmt w:val="lowerRoman"/>
      <w:start w:val="9"/>
    </w:lvl>
  </w:abstractNum>
  <w:abstractNum w:abstractNumId="143">
    <w:nsid w:val="26F2D364"/>
    <w:multiLevelType w:val="hybridMultilevel"/>
    <w:lvl w:ilvl="0">
      <w:lvlJc w:val="left"/>
      <w:lvlText w:val="(%1)"/>
      <w:numFmt w:val="lowerLetter"/>
      <w:start w:val="1"/>
    </w:lvl>
  </w:abstractNum>
  <w:abstractNum w:abstractNumId="144">
    <w:nsid w:val="71C1AF98"/>
    <w:multiLevelType w:val="hybridMultilevel"/>
    <w:lvl w:ilvl="0">
      <w:lvlJc w:val="left"/>
      <w:lvlText w:val="(%1)"/>
      <w:numFmt w:val="lowerLetter"/>
      <w:start w:val="4"/>
    </w:lvl>
  </w:abstractNum>
  <w:abstractNum w:abstractNumId="145">
    <w:nsid w:val="3D00B9D9"/>
    <w:multiLevelType w:val="hybridMultilevel"/>
    <w:lvl w:ilvl="0">
      <w:lvlJc w:val="left"/>
      <w:lvlText w:val="(%1)"/>
      <w:numFmt w:val="lowerLetter"/>
      <w:start w:val="1"/>
    </w:lvl>
  </w:abstractNum>
  <w:abstractNum w:abstractNumId="146">
    <w:nsid w:val="15BCABA8"/>
    <w:multiLevelType w:val="hybridMultilevel"/>
    <w:lvl w:ilvl="0">
      <w:lvlJc w:val="left"/>
      <w:lvlText w:val="(%1)"/>
      <w:numFmt w:val="lowerLetter"/>
      <w:start w:val="1"/>
    </w:lvl>
  </w:abstractNum>
  <w:abstractNum w:abstractNumId="147">
    <w:nsid w:val="4E0B9A87"/>
    <w:multiLevelType w:val="hybridMultilevel"/>
    <w:lvl w:ilvl="0">
      <w:lvlJc w:val="left"/>
      <w:lvlText w:val="(%1)"/>
      <w:numFmt w:val="lowerLetter"/>
      <w:start w:val="1"/>
    </w:lvl>
  </w:abstractNum>
  <w:abstractNum w:abstractNumId="148">
    <w:nsid w:val="434BAE75"/>
    <w:multiLevelType w:val="hybridMultilevel"/>
    <w:lvl w:ilvl="0">
      <w:lvlJc w:val="left"/>
      <w:lvlText w:val="(%1)"/>
      <w:numFmt w:val="lowerLetter"/>
      <w:start w:val="1"/>
    </w:lvl>
    <w:lvl w:ilvl="1">
      <w:lvlJc w:val="left"/>
      <w:lvlText w:val="(%2)"/>
      <w:numFmt w:val="lowerRoman"/>
      <w:start w:val="1"/>
    </w:lvl>
  </w:abstractNum>
  <w:abstractNum w:abstractNumId="149">
    <w:nsid w:val="4F38F265"/>
    <w:multiLevelType w:val="hybridMultilevel"/>
    <w:lvl w:ilvl="0">
      <w:lvlJc w:val="left"/>
      <w:lvlText w:val="%1"/>
      <w:numFmt w:val="upperLetter"/>
      <w:start w:val="1"/>
    </w:lvl>
    <w:lvl w:ilvl="1">
      <w:lvlJc w:val="left"/>
      <w:lvlText w:val="(%2)"/>
      <w:numFmt w:val="lowerLetter"/>
      <w:start w:val="1"/>
    </w:lvl>
  </w:abstractNum>
  <w:abstractNum w:abstractNumId="150">
    <w:nsid w:val="4C502870"/>
    <w:multiLevelType w:val="hybridMultilevel"/>
    <w:lvl w:ilvl="0">
      <w:lvlJc w:val="left"/>
      <w:lvlText w:val="(%1)"/>
      <w:numFmt w:val="upperLetter"/>
      <w:start w:val="2"/>
    </w:lvl>
    <w:lvl w:ilvl="1">
      <w:lvlJc w:val="left"/>
      <w:lvlText w:val="%2"/>
      <w:numFmt w:val="lowerLetter"/>
      <w:start w:val="1"/>
    </w:lvl>
  </w:abstractNum>
  <w:abstractNum w:abstractNumId="151">
    <w:nsid w:val="1DE8725A"/>
    <w:multiLevelType w:val="hybridMultilevel"/>
    <w:lvl w:ilvl="0">
      <w:lvlJc w:val="left"/>
      <w:lvlText w:val="(%1)"/>
      <w:numFmt w:val="lowerLetter"/>
      <w:start w:val="7"/>
    </w:lvl>
    <w:lvl w:ilvl="1">
      <w:lvlJc w:val="left"/>
      <w:lvlText w:val="(%2)"/>
      <w:numFmt w:val="lowerRoman"/>
      <w:start w:val="1"/>
    </w:lvl>
  </w:abstractNum>
  <w:abstractNum w:abstractNumId="152">
    <w:nsid w:val="6A37288A"/>
    <w:multiLevelType w:val="hybridMultilevel"/>
    <w:lvl w:ilvl="0">
      <w:lvlJc w:val="left"/>
      <w:lvlText w:val="(%1)"/>
      <w:numFmt w:val="lowerLetter"/>
      <w:start w:val="12"/>
    </w:lvl>
  </w:abstractNum>
  <w:abstractNum w:abstractNumId="153">
    <w:nsid w:val="8F8B73F"/>
    <w:multiLevelType w:val="hybridMultilevel"/>
    <w:lvl w:ilvl="0">
      <w:lvlJc w:val="left"/>
      <w:lvlText w:val="(%1)"/>
      <w:numFmt w:val="lowerLetter"/>
      <w:start w:val="1"/>
    </w:lvl>
  </w:abstractNum>
  <w:abstractNum w:abstractNumId="154">
    <w:nsid w:val="CA6B462"/>
    <w:multiLevelType w:val="hybridMultilevel"/>
    <w:lvl w:ilvl="0">
      <w:lvlJc w:val="left"/>
      <w:lvlText w:val="(%1)"/>
      <w:numFmt w:val="lowerLetter"/>
      <w:start w:val="1"/>
    </w:lvl>
  </w:abstractNum>
  <w:abstractNum w:abstractNumId="155">
    <w:nsid w:val="763CB680"/>
    <w:multiLevelType w:val="hybridMultilevel"/>
    <w:lvl w:ilvl="0">
      <w:lvlJc w:val="left"/>
      <w:lvlText w:val="(%1)"/>
      <w:numFmt w:val="lowerLetter"/>
      <w:start w:val="2"/>
    </w:lvl>
  </w:abstractNum>
  <w:abstractNum w:abstractNumId="156">
    <w:nsid w:val="15B71329"/>
    <w:multiLevelType w:val="hybridMultilevel"/>
    <w:lvl w:ilvl="0">
      <w:lvlJc w:val="left"/>
      <w:lvlText w:val="(%1)"/>
      <w:numFmt w:val="lowerLetter"/>
      <w:start w:val="1"/>
    </w:lvl>
  </w:abstractNum>
  <w:abstractNum w:abstractNumId="157">
    <w:nsid w:val="3DA97044"/>
    <w:multiLevelType w:val="hybridMultilevel"/>
    <w:lvl w:ilvl="0">
      <w:lvlJc w:val="left"/>
      <w:lvlText w:val="(%1)"/>
      <w:numFmt w:val="lowerLetter"/>
      <w:start w:val="2"/>
    </w:lvl>
  </w:abstractNum>
  <w:abstractNum w:abstractNumId="158">
    <w:nsid w:val="1CDCE2DE"/>
    <w:multiLevelType w:val="hybridMultilevel"/>
    <w:lvl w:ilvl="0">
      <w:lvlJc w:val="left"/>
      <w:lvlText w:val="(%1)"/>
      <w:numFmt w:val="lowerLetter"/>
      <w:start w:val="1"/>
    </w:lvl>
  </w:abstractNum>
  <w:abstractNum w:abstractNumId="159">
    <w:nsid w:val="69D3947C"/>
    <w:multiLevelType w:val="hybridMultilevel"/>
    <w:lvl w:ilvl="0">
      <w:lvlJc w:val="left"/>
      <w:lvlText w:val="(%1)"/>
      <w:numFmt w:val="lowerLetter"/>
      <w:start w:val="1"/>
    </w:lvl>
  </w:abstractNum>
  <w:abstractNum w:abstractNumId="160">
    <w:nsid w:val="2539DFA5"/>
    <w:multiLevelType w:val="hybridMultilevel"/>
    <w:lvl w:ilvl="0">
      <w:lvlJc w:val="left"/>
      <w:lvlText w:val="(%1)"/>
      <w:numFmt w:val="lowerLetter"/>
      <w:start w:val="1"/>
    </w:lvl>
  </w:abstractNum>
  <w:abstractNum w:abstractNumId="161">
    <w:nsid w:val="2DB88089"/>
    <w:multiLevelType w:val="hybridMultilevel"/>
    <w:lvl w:ilvl="0">
      <w:lvlJc w:val="left"/>
      <w:lvlText w:val="(%1)"/>
      <w:numFmt w:val="lowerLetter"/>
      <w:start w:val="2"/>
    </w:lvl>
    <w:lvl w:ilvl="1">
      <w:lvlJc w:val="left"/>
      <w:lvlText w:val="(%2)"/>
      <w:numFmt w:val="lowerRoman"/>
      <w:start w:val="1"/>
    </w:lvl>
  </w:abstractNum>
  <w:abstractNum w:abstractNumId="162">
    <w:nsid w:val="706B674E"/>
    <w:multiLevelType w:val="hybridMultilevel"/>
    <w:lvl w:ilvl="0">
      <w:lvlJc w:val="left"/>
      <w:lvlText w:val="(%1)"/>
      <w:numFmt w:val="lowerLetter"/>
      <w:start w:val="3"/>
    </w:lvl>
  </w:abstractNum>
  <w:abstractNum w:abstractNumId="163">
    <w:nsid w:val="2C106A57"/>
    <w:multiLevelType w:val="hybridMultilevel"/>
    <w:lvl w:ilvl="0">
      <w:lvlJc w:val="left"/>
      <w:lvlText w:val="(%1)"/>
      <w:numFmt w:val="lowerLetter"/>
      <w:start w:val="1"/>
    </w:lvl>
  </w:abstractNum>
  <w:abstractNum w:abstractNumId="164">
    <w:nsid w:val="684EED59"/>
    <w:multiLevelType w:val="hybridMultilevel"/>
    <w:lvl w:ilvl="0">
      <w:lvlJc w:val="left"/>
      <w:lvlText w:val="(%1)"/>
      <w:numFmt w:val="lowerLetter"/>
      <w:start w:val="3"/>
    </w:lvl>
  </w:abstractNum>
  <w:abstractNum w:abstractNumId="165">
    <w:nsid w:val="545EE5D3"/>
    <w:multiLevelType w:val="hybridMultilevel"/>
    <w:lvl w:ilvl="0">
      <w:lvlJc w:val="left"/>
      <w:lvlText w:val="(%1)"/>
      <w:numFmt w:val="lowerLetter"/>
      <w:start w:val="1"/>
    </w:lvl>
  </w:abstractNum>
  <w:abstractNum w:abstractNumId="166">
    <w:nsid w:val="4A66051"/>
    <w:multiLevelType w:val="hybridMultilevel"/>
    <w:lvl w:ilvl="0">
      <w:lvlJc w:val="left"/>
      <w:lvlText w:val="(%1)"/>
      <w:numFmt w:val="lowerLetter"/>
      <w:start w:val="1"/>
    </w:lvl>
    <w:lvl w:ilvl="1">
      <w:lvlJc w:val="left"/>
      <w:lvlText w:val="(%2)"/>
      <w:numFmt w:val="lowerRoman"/>
      <w:start w:val="1"/>
    </w:lvl>
  </w:abstractNum>
  <w:abstractNum w:abstractNumId="167">
    <w:nsid w:val="20F4BDAD"/>
    <w:multiLevelType w:val="hybridMultilevel"/>
    <w:lvl w:ilvl="0">
      <w:lvlJc w:val="left"/>
      <w:lvlText w:val="(%1)"/>
      <w:numFmt w:val="lowerLetter"/>
      <w:start w:val="2"/>
    </w:lvl>
  </w:abstractNum>
  <w:abstractNum w:abstractNumId="168">
    <w:nsid w:val="639DEFAC"/>
    <w:multiLevelType w:val="hybridMultilevel"/>
    <w:lvl w:ilvl="0">
      <w:lvlJc w:val="left"/>
      <w:lvlText w:val="(%1)"/>
      <w:numFmt w:val="lowerLetter"/>
      <w:start w:val="3"/>
    </w:lvl>
    <w:lvl w:ilvl="1">
      <w:lvlJc w:val="left"/>
      <w:lvlText w:val="(%2)"/>
      <w:numFmt w:val="lowerRoman"/>
      <w:start w:val="1"/>
    </w:lvl>
  </w:abstractNum>
  <w:abstractNum w:abstractNumId="169">
    <w:nsid w:val="501F9786"/>
    <w:multiLevelType w:val="hybridMultilevel"/>
    <w:lvl w:ilvl="0">
      <w:lvlJc w:val="left"/>
      <w:lvlText w:val="(%1)"/>
      <w:numFmt w:val="lowerLetter"/>
      <w:start w:val="4"/>
    </w:lvl>
  </w:abstractNum>
  <w:abstractNum w:abstractNumId="170">
    <w:nsid w:val="6B057295"/>
    <w:multiLevelType w:val="hybridMultilevel"/>
    <w:lvl w:ilvl="0">
      <w:lvlJc w:val="left"/>
      <w:lvlText w:val="%1"/>
      <w:numFmt w:val="lowerLetter"/>
      <w:start w:val="1"/>
    </w:lvl>
    <w:lvl w:ilvl="1">
      <w:lvlJc w:val="left"/>
      <w:lvlText w:val="(%2)"/>
      <w:numFmt w:val="lowerLetter"/>
      <w:start w:val="1"/>
    </w:lvl>
  </w:abstractNum>
  <w:abstractNum w:abstractNumId="171">
    <w:nsid w:val="2771AC80"/>
    <w:multiLevelType w:val="hybridMultilevel"/>
    <w:lvl w:ilvl="0">
      <w:lvlJc w:val="left"/>
      <w:lvlText w:val="(%1)"/>
      <w:numFmt w:val="lowerLetter"/>
      <w:start w:val="25"/>
    </w:lvl>
    <w:lvl w:ilvl="1">
      <w:lvlJc w:val="left"/>
      <w:lvlText w:val="%2"/>
      <w:numFmt w:val="lowerLetter"/>
      <w:start w:val="1"/>
    </w:lvl>
  </w:abstractNum>
  <w:abstractNum w:abstractNumId="172">
    <w:nsid w:val="1C4A08EC"/>
    <w:multiLevelType w:val="hybridMultilevel"/>
    <w:lvl w:ilvl="0">
      <w:lvlJc w:val="left"/>
      <w:lvlText w:val="%1"/>
      <w:numFmt w:val="lowerLetter"/>
      <w:start w:val="1"/>
    </w:lvl>
    <w:lvl w:ilvl="1">
      <w:lvlJc w:val="left"/>
      <w:lvlText w:val="(%2)"/>
      <w:numFmt w:val="lowerLetter"/>
      <w:start w:val="3"/>
    </w:lvl>
  </w:abstractNum>
  <w:abstractNum w:abstractNumId="173">
    <w:nsid w:val="1958BD17"/>
    <w:multiLevelType w:val="hybridMultilevel"/>
    <w:lvl w:ilvl="0">
      <w:lvlJc w:val="left"/>
      <w:lvlText w:val="(%1)"/>
      <w:numFmt w:val="lowerLetter"/>
      <w:start w:val="2"/>
    </w:lvl>
    <w:lvl w:ilvl="1">
      <w:lvlJc w:val="left"/>
      <w:lvlText w:val="(%2)"/>
      <w:numFmt w:val="lowerLetter"/>
      <w:start w:val="4"/>
    </w:lvl>
  </w:abstractNum>
  <w:abstractNum w:abstractNumId="174">
    <w:nsid w:val="4E647FE4"/>
    <w:multiLevelType w:val="hybridMultilevel"/>
    <w:lvl w:ilvl="0">
      <w:lvlJc w:val="left"/>
      <w:lvlText w:val="(%1)"/>
      <w:numFmt w:val="lowerLetter"/>
      <w:start w:val="2"/>
    </w:lvl>
    <w:lvl w:ilvl="1">
      <w:lvlJc w:val="left"/>
      <w:lvlText w:val="(%2)"/>
      <w:numFmt w:val="lowerLetter"/>
      <w:start w:val="5"/>
    </w:lvl>
  </w:abstractNum>
  <w:abstractNum w:abstractNumId="175">
    <w:nsid w:val="E0BB88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6">
    <w:nsid w:val="565976F1"/>
    <w:multiLevelType w:val="hybridMultilevel"/>
    <w:lvl w:ilvl="0">
      <w:lvlJc w:val="left"/>
      <w:lvlText w:val="(%1)"/>
      <w:numFmt w:val="lowerRoman"/>
      <w:start w:val="2"/>
    </w:lvl>
    <w:lvl w:ilvl="1">
      <w:lvlJc w:val="left"/>
      <w:lvlText w:val="(%2)"/>
      <w:numFmt w:val="upperLetter"/>
      <w:start w:val="1"/>
    </w:lvl>
  </w:abstractNum>
  <w:abstractNum w:abstractNumId="177">
    <w:nsid w:val="64212B8C"/>
    <w:multiLevelType w:val="hybridMultilevel"/>
    <w:lvl w:ilvl="0">
      <w:lvlJc w:val="left"/>
      <w:lvlText w:val="(%1)"/>
      <w:numFmt w:val="lowerLetter"/>
      <w:start w:val="3"/>
    </w:lvl>
  </w:abstractNum>
  <w:abstractNum w:abstractNumId="178">
    <w:nsid w:val="5C17530C"/>
    <w:multiLevelType w:val="hybridMultilevel"/>
    <w:lvl w:ilvl="0">
      <w:lvlJc w:val="left"/>
      <w:lvlText w:val="(%1)"/>
      <w:numFmt w:val="lowerLetter"/>
      <w:start w:val="5"/>
    </w:lvl>
  </w:abstractNum>
  <w:abstractNum w:abstractNumId="179">
    <w:nsid w:val="19A52566"/>
    <w:multiLevelType w:val="hybridMultilevel"/>
    <w:lvl w:ilvl="0">
      <w:lvlJc w:val="left"/>
      <w:lvlText w:val="(%1)"/>
      <w:numFmt w:val="lowerRoman"/>
      <w:start w:val="1"/>
    </w:lvl>
  </w:abstractNum>
  <w:abstractNum w:abstractNumId="180">
    <w:nsid w:val="335A1DF1"/>
    <w:multiLevelType w:val="hybridMultilevel"/>
    <w:lvl w:ilvl="0">
      <w:lvlJc w:val="left"/>
      <w:lvlText w:val="(%1)"/>
      <w:numFmt w:val="lowerLetter"/>
      <w:start w:val="6"/>
    </w:lvl>
  </w:abstractNum>
  <w:abstractNum w:abstractNumId="181">
    <w:nsid w:val="28677B7C"/>
    <w:multiLevelType w:val="hybridMultilevel"/>
    <w:lvl w:ilvl="0">
      <w:lvlJc w:val="left"/>
      <w:lvlText w:val="(%1)"/>
      <w:numFmt w:val="lowerLetter"/>
      <w:start w:val="3"/>
    </w:lvl>
  </w:abstractNum>
  <w:abstractNum w:abstractNumId="182">
    <w:nsid w:val="378D97C0"/>
    <w:multiLevelType w:val="hybridMultilevel"/>
    <w:lvl w:ilvl="0">
      <w:lvlJc w:val="left"/>
      <w:lvlText w:val="(%1)"/>
      <w:numFmt w:val="lowerRoman"/>
      <w:start w:val="10"/>
    </w:lvl>
  </w:abstractNum>
  <w:abstractNum w:abstractNumId="183">
    <w:nsid w:val="1D91467C"/>
    <w:multiLevelType w:val="hybridMultilevel"/>
    <w:lvl w:ilvl="0">
      <w:lvlJc w:val="left"/>
      <w:lvlText w:val="(%1)"/>
      <w:numFmt w:val="lowerLetter"/>
      <w:start w:val="1"/>
    </w:lvl>
  </w:abstractNum>
  <w:abstractNum w:abstractNumId="184">
    <w:nsid w:val="316032BB"/>
    <w:multiLevelType w:val="hybridMultilevel"/>
    <w:lvl w:ilvl="0">
      <w:lvlJc w:val="left"/>
      <w:lvlText w:val="(%1)"/>
      <w:numFmt w:val="lowerLetter"/>
      <w:start w:val="4"/>
    </w:lvl>
  </w:abstractNum>
  <w:abstractNum w:abstractNumId="185">
    <w:nsid w:val="44344C22"/>
    <w:multiLevelType w:val="hybridMultilevel"/>
    <w:lvl w:ilvl="0">
      <w:lvlJc w:val="left"/>
      <w:lvlText w:val="(%1)"/>
      <w:numFmt w:val="lowerRoman"/>
      <w:start w:val="2"/>
    </w:lvl>
  </w:abstractNum>
  <w:abstractNum w:abstractNumId="186">
    <w:nsid w:val="13CDFCFC"/>
    <w:multiLevelType w:val="hybridMultilevel"/>
    <w:lvl w:ilvl="0">
      <w:lvlJc w:val="left"/>
      <w:lvlText w:val="%1."/>
      <w:numFmt w:val="lowerLetter"/>
      <w:start w:val="1"/>
    </w:lvl>
    <w:lvl w:ilvl="1">
      <w:lvlJc w:val="left"/>
      <w:lvlText w:val="•"/>
      <w:numFmt w:val="bullet"/>
      <w:start w:val="1"/>
    </w:lvl>
  </w:abstractNum>
  <w:abstractNum w:abstractNumId="187">
    <w:nsid w:val="471745E4"/>
    <w:multiLevelType w:val="hybridMultilevel"/>
    <w:lvl w:ilvl="0">
      <w:lvlJc w:val="left"/>
      <w:lvlText w:val="2"/>
      <w:numFmt w:val="bullet"/>
      <w:start w:val="1"/>
    </w:lvl>
  </w:abstractNum>
  <w:abstractNum w:abstractNumId="188">
    <w:nsid w:val="1DDBC66"/>
    <w:multiLevelType w:val="hybridMultilevel"/>
    <w:lvl w:ilvl="0">
      <w:lvlJc w:val="left"/>
      <w:lvlText w:val="$"/>
      <w:numFmt w:val="bullet"/>
      <w:start w:val="1"/>
    </w:lvl>
  </w:abstractNum>
  <w:abstractNum w:abstractNumId="189">
    <w:nsid w:val="30AADFDA"/>
    <w:multiLevelType w:val="hybridMultilevel"/>
    <w:lvl w:ilvl="0">
      <w:lvlJc w:val="left"/>
      <w:lvlText w:val="4"/>
      <w:numFmt w:val="bullet"/>
      <w:start w:val="1"/>
    </w:lvl>
  </w:abstractNum>
  <w:abstractNum w:abstractNumId="190">
    <w:nsid w:val="30EADA61"/>
    <w:multiLevelType w:val="hybridMultilevel"/>
    <w:lvl w:ilvl="0">
      <w:lvlJc w:val="left"/>
      <w:lvlText w:val="1"/>
      <w:numFmt w:val="bullet"/>
      <w:start w:val="1"/>
    </w:lvl>
  </w:abstractNum>
  <w:abstractNum w:abstractNumId="191">
    <w:nsid w:val="27179C0B"/>
    <w:multiLevelType w:val="hybridMultilevel"/>
    <w:lvl w:ilvl="0">
      <w:lvlJc w:val="left"/>
      <w:lvlText w:val="2"/>
      <w:numFmt w:val="bullet"/>
      <w:start w:val="1"/>
    </w:lvl>
  </w:abstractNum>
  <w:abstractNum w:abstractNumId="192">
    <w:nsid w:val="5E636063"/>
    <w:multiLevelType w:val="hybridMultilevel"/>
    <w:lvl w:ilvl="0">
      <w:lvlJc w:val="left"/>
      <w:lvlText w:val="$"/>
      <w:numFmt w:val="bullet"/>
      <w:start w:val="1"/>
    </w:lvl>
  </w:abstractNum>
  <w:abstractNum w:abstractNumId="193">
    <w:nsid w:val="215641AF"/>
    <w:multiLevelType w:val="hybridMultilevel"/>
    <w:lvl w:ilvl="0">
      <w:lvlJc w:val="left"/>
      <w:lvlText w:val="3"/>
      <w:numFmt w:val="bullet"/>
      <w:start w:val="1"/>
    </w:lvl>
  </w:abstractNum>
  <w:abstractNum w:abstractNumId="194">
    <w:nsid w:val="53280662"/>
    <w:multiLevelType w:val="hybridMultilevel"/>
    <w:lvl w:ilvl="0">
      <w:lvlJc w:val="left"/>
      <w:lvlText w:val="%1."/>
      <w:numFmt w:val="decimal"/>
      <w:start w:val="1"/>
    </w:lvl>
  </w:abstractNum>
  <w:abstractNum w:abstractNumId="195">
    <w:nsid w:val="46B24DBC"/>
    <w:multiLevelType w:val="hybridMultilevel"/>
    <w:lvl w:ilvl="0">
      <w:lvlJc w:val="left"/>
      <w:lvlText w:val="%1."/>
      <w:numFmt w:val="decimal"/>
      <w:start w:val="2"/>
    </w:lvl>
  </w:abstractNum>
  <w:abstractNum w:abstractNumId="196">
    <w:nsid w:val="75B52783"/>
    <w:multiLevelType w:val="hybridMultilevel"/>
    <w:lvl w:ilvl="0">
      <w:lvlJc w:val="left"/>
      <w:lvlText w:val="%1."/>
      <w:numFmt w:val="decimal"/>
      <w:start w:val="4"/>
    </w:lvl>
  </w:abstractNum>
  <w:abstractNum w:abstractNumId="197">
    <w:nsid w:val="57CE66B4"/>
    <w:multiLevelType w:val="hybridMultilevel"/>
    <w:lvl w:ilvl="0">
      <w:lvlJc w:val="left"/>
      <w:lvlText w:val="(%1)"/>
      <w:numFmt w:val="lowerRoman"/>
      <w:start w:val="1"/>
    </w:lvl>
  </w:abstractNum>
  <w:abstractNum w:abstractNumId="198">
    <w:nsid w:val="67A70B69"/>
    <w:multiLevelType w:val="hybridMultilevel"/>
    <w:lvl w:ilvl="0">
      <w:lvlJc w:val="left"/>
      <w:lvlText w:val="%1."/>
      <w:numFmt w:val="decimal"/>
      <w:start w:val="1"/>
    </w:lvl>
  </w:abstractNum>
  <w:abstractNum w:abstractNumId="199">
    <w:nsid w:val="5953172F"/>
    <w:multiLevelType w:val="hybridMultilevel"/>
    <w:lvl w:ilvl="0">
      <w:lvlJc w:val="left"/>
      <w:lvlText w:val="%1."/>
      <w:numFmt w:val="decimal"/>
      <w:start w:val="3"/>
    </w:lvl>
  </w:abstractNum>
  <w:abstractNum w:abstractNumId="200">
    <w:nsid w:val="27EDFE3A"/>
    <w:multiLevelType w:val="hybridMultilevel"/>
    <w:lvl w:ilvl="0">
      <w:lvlJc w:val="left"/>
      <w:lvlText w:val="%1."/>
      <w:numFmt w:val="decimal"/>
      <w:start w:val="1"/>
    </w:lvl>
  </w:abstractNum>
  <w:abstractNum w:abstractNumId="201">
    <w:nsid w:val="52AC7DFF"/>
    <w:multiLevelType w:val="hybridMultilevel"/>
    <w:lvl w:ilvl="0">
      <w:lvlJc w:val="left"/>
      <w:lvlText w:val="(%1)"/>
      <w:numFmt w:val="lowerRoman"/>
      <w:start w:val="3"/>
    </w:lvl>
  </w:abstractNum>
  <w:abstractNum w:abstractNumId="202">
    <w:nsid w:val="C4C3AF"/>
    <w:multiLevelType w:val="hybridMultilevel"/>
    <w:lvl w:ilvl="0">
      <w:lvlJc w:val="left"/>
      <w:lvlText w:val="%1."/>
      <w:numFmt w:val="decimal"/>
      <w:start w:val="2"/>
    </w:lvl>
  </w:abstractNum>
  <w:abstractNum w:abstractNumId="203">
    <w:nsid w:val="44380727"/>
    <w:multiLevelType w:val="hybridMultilevel"/>
    <w:lvl w:ilvl="0">
      <w:lvlJc w:val="left"/>
      <w:lvlText w:val="(%1)"/>
      <w:numFmt w:val="lowerRoman"/>
      <w:start w:val="3"/>
    </w:lvl>
  </w:abstractNum>
  <w:abstractNum w:abstractNumId="204">
    <w:nsid w:val="6C053B16"/>
    <w:multiLevelType w:val="hybridMultilevel"/>
    <w:lvl w:ilvl="0">
      <w:lvlJc w:val="left"/>
      <w:lvlText w:val="(%1)"/>
      <w:numFmt w:val="lowerRoman"/>
      <w:start w:val="1"/>
    </w:lvl>
  </w:abstractNum>
  <w:abstractNum w:abstractNumId="205">
    <w:nsid w:val="4F294393"/>
    <w:multiLevelType w:val="hybridMultilevel"/>
    <w:lvl w:ilvl="0">
      <w:lvlJc w:val="left"/>
      <w:lvlText w:val="(%1)"/>
      <w:numFmt w:val="lowerLetter"/>
      <w:start w:val="1"/>
    </w:lvl>
  </w:abstractNum>
  <w:abstractNum w:abstractNumId="206">
    <w:nsid w:val="5243BFAC"/>
    <w:multiLevelType w:val="hybridMultilevel"/>
    <w:lvl w:ilvl="0">
      <w:lvlJc w:val="left"/>
      <w:lvlText w:val="(%1)"/>
      <w:numFmt w:val="lowerLetter"/>
      <w:start w:val="1"/>
    </w:lvl>
  </w:abstractNum>
  <w:abstractNum w:abstractNumId="207">
    <w:nsid w:val="425EB207"/>
    <w:multiLevelType w:val="hybridMultilevel"/>
    <w:lvl w:ilvl="0">
      <w:lvlJc w:val="left"/>
      <w:lvlText w:val="(%1)"/>
      <w:numFmt w:val="lowerLetter"/>
      <w:start w:val="2"/>
    </w:lvl>
    <w:lvl w:ilvl="1">
      <w:lvlJc w:val="left"/>
      <w:lvlText w:val="(%2)"/>
      <w:numFmt w:val="lowerRoman"/>
      <w:start w:val="1"/>
    </w:lvl>
  </w:abstractNum>
  <w:abstractNum w:abstractNumId="208">
    <w:nsid w:val="334A6F1F"/>
    <w:multiLevelType w:val="hybridMultilevel"/>
    <w:lvl w:ilvl="0">
      <w:lvlJc w:val="left"/>
      <w:lvlText w:val="(%1)"/>
      <w:numFmt w:val="lowerLetter"/>
      <w:start w:val="1"/>
    </w:lvl>
    <w:lvl w:ilvl="1">
      <w:lvlJc w:val="left"/>
      <w:lvlText w:val="(%2)"/>
      <w:numFmt w:val="lowerRoman"/>
      <w:start w:val="1"/>
    </w:lvl>
  </w:abstractNum>
  <w:abstractNum w:abstractNumId="209">
    <w:nsid w:val="2E5B12B8"/>
    <w:multiLevelType w:val="hybridMultilevel"/>
    <w:lvl w:ilvl="0">
      <w:lvlJc w:val="left"/>
      <w:lvlText w:val="(%1)"/>
      <w:numFmt w:val="lowerLetter"/>
      <w:start w:val="2"/>
    </w:lvl>
  </w:abstractNum>
  <w:abstractNum w:abstractNumId="210">
    <w:nsid w:val="5C03D76D"/>
    <w:multiLevelType w:val="hybridMultilevel"/>
    <w:lvl w:ilvl="0">
      <w:lvlJc w:val="left"/>
      <w:lvlText w:val="%1"/>
      <w:numFmt w:val="lowerLetter"/>
      <w:start w:val="1"/>
    </w:lvl>
    <w:lvl w:ilvl="1">
      <w:lvlJc w:val="left"/>
      <w:lvlText w:val="(%2)"/>
      <w:numFmt w:val="lowerLetter"/>
      <w:start w:val="35"/>
    </w:lvl>
  </w:abstractNum>
  <w:abstractNum w:abstractNumId="211">
    <w:nsid w:val="66A48D11"/>
    <w:multiLevelType w:val="hybridMultilevel"/>
    <w:lvl w:ilvl="0">
      <w:lvlJc w:val="left"/>
      <w:lvlText w:val="(%1)"/>
      <w:numFmt w:val="lowerLetter"/>
      <w:start w:val="3"/>
    </w:lvl>
    <w:lvl w:ilvl="1">
      <w:lvlJc w:val="left"/>
      <w:lvlText w:val="(%2)"/>
      <w:numFmt w:val="lowerLetter"/>
      <w:start w:val="9"/>
    </w:lvl>
  </w:abstractNum>
  <w:abstractNum w:abstractNumId="212">
    <w:nsid w:val="56C28E34"/>
    <w:multiLevelType w:val="hybridMultilevel"/>
    <w:lvl w:ilvl="0">
      <w:lvlJc w:val="left"/>
      <w:lvlText w:val="%1"/>
      <w:numFmt w:val="lowerLetter"/>
      <w:start w:val="1"/>
    </w:lvl>
    <w:lvl w:ilvl="1">
      <w:lvlJc w:val="left"/>
      <w:lvlText w:val="(%2)"/>
      <w:numFmt w:val="lowerLetter"/>
      <w:start w:val="35"/>
    </w:lvl>
  </w:abstractNum>
  <w:abstractNum w:abstractNumId="213">
    <w:nsid w:val="13916F2D"/>
    <w:multiLevelType w:val="hybridMultilevel"/>
    <w:lvl w:ilvl="0">
      <w:lvlJc w:val="left"/>
      <w:lvlText w:val="(%1)"/>
      <w:numFmt w:val="lowerRoman"/>
      <w:start w:val="3"/>
    </w:lvl>
    <w:lvl w:ilvl="1">
      <w:lvlJc w:val="left"/>
      <w:lvlText w:val="(%2)"/>
      <w:numFmt w:val="upperLetter"/>
      <w:start w:val="1"/>
    </w:lvl>
  </w:abstractNum>
  <w:abstractNum w:abstractNumId="214">
    <w:nsid w:val="435D38D"/>
    <w:multiLevelType w:val="hybridMultilevel"/>
    <w:lvl w:ilvl="0">
      <w:lvlJc w:val="left"/>
      <w:lvlText w:val="(%1)"/>
      <w:numFmt w:val="lowerLetter"/>
      <w:start w:val="1"/>
    </w:lvl>
  </w:abstractNum>
  <w:abstractNum w:abstractNumId="215">
    <w:nsid w:val="822C0EF"/>
    <w:multiLevelType w:val="hybridMultilevel"/>
    <w:lvl w:ilvl="0">
      <w:lvlJc w:val="left"/>
      <w:lvlText w:val="(%1)"/>
      <w:numFmt w:val="lowerLetter"/>
      <w:start w:val="2"/>
    </w:lvl>
    <w:lvl w:ilvl="1">
      <w:lvlJc w:val="left"/>
      <w:lvlText w:val="(%2)"/>
      <w:numFmt w:val="lowerRoman"/>
      <w:start w:val="1"/>
    </w:lvl>
  </w:abstractNum>
  <w:abstractNum w:abstractNumId="216">
    <w:nsid w:val="57C5BB4F"/>
    <w:multiLevelType w:val="hybridMultilevel"/>
    <w:lvl w:ilvl="0">
      <w:lvlJc w:val="left"/>
      <w:lvlText w:val="(%1)"/>
      <w:numFmt w:val="lowerLetter"/>
      <w:start w:val="1"/>
    </w:lvl>
  </w:abstractNum>
  <w:abstractNum w:abstractNumId="217">
    <w:nsid w:val="1803D089"/>
    <w:multiLevelType w:val="hybridMultilevel"/>
    <w:lvl w:ilvl="0">
      <w:lvlJc w:val="left"/>
      <w:lvlText w:val="(%1)"/>
      <w:numFmt w:val="lowerLetter"/>
      <w:start w:val="4"/>
    </w:lvl>
  </w:abstractNum>
  <w:abstractNum w:abstractNumId="218">
    <w:nsid w:val="4F3A06D4"/>
    <w:multiLevelType w:val="hybridMultilevel"/>
    <w:lvl w:ilvl="0">
      <w:lvlJc w:val="left"/>
      <w:lvlText w:val="(%1)"/>
      <w:numFmt w:val="lowerLetter"/>
      <w:start w:val="11"/>
    </w:lvl>
  </w:abstractNum>
  <w:abstractNum w:abstractNumId="219">
    <w:nsid w:val="59A377B6"/>
    <w:multiLevelType w:val="hybridMultilevel"/>
    <w:lvl w:ilvl="0">
      <w:lvlJc w:val="left"/>
      <w:lvlText w:val="%1."/>
      <w:numFmt w:val="decimal"/>
      <w:start w:val="2"/>
    </w:lvl>
    <w:lvl w:ilvl="1">
      <w:lvlJc w:val="left"/>
      <w:lvlText w:val="(%2)"/>
      <w:numFmt w:val="lowerLetter"/>
      <w:start w:val="1"/>
    </w:lvl>
  </w:abstractNum>
  <w:abstractNum w:abstractNumId="220">
    <w:nsid w:val="48AEB063"/>
    <w:multiLevelType w:val="hybridMultilevel"/>
    <w:lvl w:ilvl="0">
      <w:lvlJc w:val="left"/>
      <w:lvlText w:val="%1"/>
      <w:numFmt w:val="decimal"/>
      <w:start w:val="1"/>
    </w:lvl>
    <w:lvl w:ilvl="1">
      <w:lvlJc w:val="left"/>
      <w:lvlText w:val="(%2)"/>
      <w:numFmt w:val="lowerLetter"/>
      <w:start w:val="4"/>
    </w:lvl>
  </w:abstractNum>
  <w:abstractNum w:abstractNumId="221">
    <w:nsid w:val="24E135"/>
    <w:multiLevelType w:val="hybridMultilevel"/>
    <w:lvl w:ilvl="0">
      <w:lvlJc w:val="left"/>
      <w:lvlText w:val="%1."/>
      <w:numFmt w:val="decimal"/>
      <w:start w:val="5"/>
    </w:lvl>
    <w:lvl w:ilvl="1">
      <w:lvlJc w:val="left"/>
      <w:lvlText w:val="(%2)"/>
      <w:numFmt w:val="lowerLetter"/>
      <w:start w:val="1"/>
    </w:lvl>
  </w:abstractNum>
  <w:abstractNum w:abstractNumId="222">
    <w:nsid w:val="BB13C1"/>
    <w:multiLevelType w:val="hybridMultilevel"/>
    <w:lvl w:ilvl="0">
      <w:lvlJc w:val="left"/>
      <w:lvlText w:val="%1."/>
      <w:numFmt w:val="decimal"/>
      <w:start w:val="10"/>
    </w:lvl>
  </w:abstractNum>
  <w:abstractNum w:abstractNumId="223">
    <w:nsid w:val="271210C7"/>
    <w:multiLevelType w:val="hybridMultilevel"/>
    <w:lvl w:ilvl="0">
      <w:lvlJc w:val="left"/>
      <w:lvlText w:val="%1."/>
      <w:numFmt w:val="decimal"/>
      <w:start w:val="18"/>
    </w:lvl>
  </w:abstractNum>
  <w:abstractNum w:abstractNumId="224">
    <w:nsid w:val="217B22E4"/>
    <w:multiLevelType w:val="hybridMultilevel"/>
    <w:lvl w:ilvl="0">
      <w:lvlJc w:val="left"/>
      <w:lvlText w:val="%1."/>
      <w:numFmt w:val="decimal"/>
      <w:start w:val="1"/>
    </w:lvl>
  </w:abstractNum>
  <w:abstractNum w:abstractNumId="225">
    <w:nsid w:val="53E31A24"/>
    <w:multiLevelType w:val="hybridMultilevel"/>
    <w:lvl w:ilvl="0">
      <w:lvlJc w:val="left"/>
      <w:lvlText w:val="(%1)"/>
      <w:numFmt w:val="lowerLetter"/>
      <w:start w:val="1"/>
    </w:lvl>
  </w:abstractNum>
  <w:abstractNum w:abstractNumId="226">
    <w:nsid w:val="6DC45E83"/>
    <w:multiLevelType w:val="hybridMultilevel"/>
    <w:lvl w:ilvl="0">
      <w:lvlJc w:val="left"/>
      <w:lvlText w:val="(%1)"/>
      <w:numFmt w:val="lowerLetter"/>
      <w:start w:val="3"/>
    </w:lvl>
  </w:abstractNum>
  <w:abstractNum w:abstractNumId="227">
    <w:nsid w:val="17304A67"/>
    <w:multiLevelType w:val="hybridMultilevel"/>
    <w:lvl w:ilvl="0">
      <w:lvlJc w:val="left"/>
      <w:lvlText w:val="(%1)"/>
      <w:numFmt w:val="lowerLetter"/>
      <w:start w:val="1"/>
    </w:lvl>
    <w:lvl w:ilvl="1">
      <w:lvlJc w:val="left"/>
      <w:lvlText w:val="(%2)"/>
      <w:numFmt w:val="lowerRoman"/>
      <w:start w:val="1"/>
    </w:lvl>
  </w:abstractNum>
  <w:abstractNum w:abstractNumId="228">
    <w:nsid w:val="2BB180D8"/>
    <w:multiLevelType w:val="hybridMultilevel"/>
    <w:lvl w:ilvl="0">
      <w:lvlJc w:val="left"/>
      <w:lvlText w:val="(%1)"/>
      <w:numFmt w:val="lowerRoman"/>
      <w:start w:val="3"/>
    </w:lvl>
  </w:abstractNum>
  <w:abstractNum w:abstractNumId="229">
    <w:nsid w:val="556B69ED"/>
    <w:multiLevelType w:val="hybridMultilevel"/>
    <w:lvl w:ilvl="0">
      <w:lvlJc w:val="left"/>
      <w:lvlText w:val="(%1)"/>
      <w:numFmt w:val="lowerLetter"/>
      <w:start w:val="2"/>
    </w:lvl>
    <w:lvl w:ilvl="1">
      <w:lvlJc w:val="left"/>
      <w:lvlText w:val="(%2)"/>
      <w:numFmt w:val="lowerRoman"/>
      <w:start w:val="1"/>
    </w:lvl>
  </w:abstractNum>
  <w:abstractNum w:abstractNumId="230">
    <w:nsid w:val="70836196"/>
    <w:multiLevelType w:val="hybridMultilevel"/>
    <w:lvl w:ilvl="0">
      <w:lvlJc w:val="left"/>
      <w:lvlText w:val="(%1)"/>
      <w:numFmt w:val="lowerLetter"/>
      <w:start w:val="2"/>
    </w:lvl>
  </w:abstractNum>
  <w:abstractNum w:abstractNumId="231">
    <w:nsid w:val="539F7F12"/>
    <w:multiLevelType w:val="hybridMultilevel"/>
    <w:lvl w:ilvl="0">
      <w:lvlJc w:val="left"/>
      <w:lvlText w:val="(%1)"/>
      <w:numFmt w:val="lowerLetter"/>
      <w:start w:val="1"/>
    </w:lvl>
    <w:lvl w:ilvl="1">
      <w:lvlJc w:val="left"/>
      <w:lvlText w:val="(%2)"/>
      <w:numFmt w:val="lowerRoman"/>
      <w:start w:val="1"/>
    </w:lvl>
  </w:abstractNum>
  <w:abstractNum w:abstractNumId="232">
    <w:nsid w:val="2817E7EC"/>
    <w:multiLevelType w:val="hybridMultilevel"/>
    <w:lvl w:ilvl="0">
      <w:lvlJc w:val="left"/>
      <w:lvlText w:val="(%1)"/>
      <w:numFmt w:val="lowerLetter"/>
      <w:start w:val="2"/>
    </w:lvl>
  </w:abstractNum>
  <w:abstractNum w:abstractNumId="233">
    <w:nsid w:val="71482545"/>
    <w:multiLevelType w:val="hybridMultilevel"/>
    <w:lvl w:ilvl="0">
      <w:lvlJc w:val="left"/>
      <w:lvlText w:val="(%1)"/>
      <w:numFmt w:val="lowerLetter"/>
      <w:start w:val="1"/>
    </w:lvl>
  </w:abstractNum>
  <w:abstractNum w:abstractNumId="234">
    <w:nsid w:val="17D78639"/>
    <w:multiLevelType w:val="hybridMultilevel"/>
    <w:lvl w:ilvl="0">
      <w:lvlJc w:val="left"/>
      <w:lvlText w:val="(%1)"/>
      <w:numFmt w:val="lowerLetter"/>
      <w:start w:val="4"/>
    </w:lvl>
  </w:abstractNum>
  <w:abstractNum w:abstractNumId="235">
    <w:nsid w:val="141D2302"/>
    <w:multiLevelType w:val="hybridMultilevel"/>
    <w:lvl w:ilvl="0">
      <w:lvlJc w:val="left"/>
      <w:lvlText w:val="(%1)"/>
      <w:numFmt w:val="lowerLetter"/>
      <w:start w:val="1"/>
    </w:lvl>
  </w:abstractNum>
  <w:abstractNum w:abstractNumId="236">
    <w:nsid w:val="407168D8"/>
    <w:multiLevelType w:val="hybridMultilevel"/>
    <w:lvl w:ilvl="0">
      <w:lvlJc w:val="left"/>
      <w:lvlText w:val="(%1)"/>
      <w:numFmt w:val="lowerLetter"/>
      <w:start w:val="1"/>
    </w:lvl>
    <w:lvl w:ilvl="1">
      <w:lvlJc w:val="left"/>
      <w:lvlText w:val="(%2)"/>
      <w:numFmt w:val="lowerRoman"/>
      <w:start w:val="1"/>
    </w:lvl>
  </w:abstractNum>
  <w:abstractNum w:abstractNumId="237">
    <w:nsid w:val="6A1B45E5"/>
    <w:multiLevelType w:val="hybridMultilevel"/>
    <w:lvl w:ilvl="0">
      <w:lvlJc w:val="left"/>
      <w:lvlText w:val="%1"/>
      <w:numFmt w:val="lowerLetter"/>
      <w:start w:val="1"/>
    </w:lvl>
    <w:lvl w:ilvl="1">
      <w:lvlJc w:val="left"/>
      <w:lvlText w:val="(%2)"/>
      <w:numFmt w:val="lowerRoman"/>
      <w:start w:val="4"/>
    </w:lvl>
  </w:abstractNum>
  <w:abstractNum w:abstractNumId="238">
    <w:nsid w:val="567BD50A"/>
    <w:multiLevelType w:val="hybridMultilevel"/>
    <w:lvl w:ilvl="0">
      <w:lvlJc w:val="left"/>
      <w:lvlText w:val="(%1)"/>
      <w:numFmt w:val="lowerLetter"/>
      <w:start w:val="2"/>
    </w:lvl>
    <w:lvl w:ilvl="1">
      <w:lvlJc w:val="left"/>
      <w:lvlText w:val="(%2)"/>
      <w:numFmt w:val="lowerRoman"/>
      <w:start w:val="1"/>
    </w:lvl>
  </w:abstractNum>
  <w:abstractNum w:abstractNumId="239">
    <w:nsid w:val="73BBD7F8"/>
    <w:multiLevelType w:val="hybridMultilevel"/>
    <w:lvl w:ilvl="0">
      <w:lvlJc w:val="left"/>
      <w:lvlText w:val="(%1)"/>
      <w:numFmt w:val="lowerLetter"/>
      <w:start w:val="1"/>
    </w:lvl>
  </w:abstractNum>
  <w:abstractNum w:abstractNumId="240">
    <w:nsid w:val="1876589D"/>
    <w:multiLevelType w:val="hybridMultilevel"/>
    <w:lvl w:ilvl="0">
      <w:lvlJc w:val="left"/>
      <w:lvlText w:val="(%1)"/>
      <w:numFmt w:val="lowerLetter"/>
      <w:start w:val="1"/>
    </w:lvl>
  </w:abstractNum>
  <w:abstractNum w:abstractNumId="241">
    <w:nsid w:val="327FAC77"/>
    <w:multiLevelType w:val="hybridMultilevel"/>
    <w:lvl w:ilvl="0">
      <w:lvlJc w:val="left"/>
      <w:lvlText w:val="(%1)"/>
      <w:numFmt w:val="lowerLetter"/>
      <w:start w:val="1"/>
    </w:lvl>
  </w:abstractNum>
  <w:abstractNum w:abstractNumId="242">
    <w:nsid w:val="5A606509"/>
    <w:multiLevelType w:val="hybridMultilevel"/>
    <w:lvl w:ilvl="0">
      <w:lvlJc w:val="left"/>
      <w:lvlText w:val="(%1)"/>
      <w:numFmt w:val="lowerLetter"/>
      <w:start w:val="2"/>
    </w:lvl>
  </w:abstractNum>
  <w:abstractNum w:abstractNumId="243">
    <w:nsid w:val="6F38E6D1"/>
    <w:multiLevelType w:val="hybridMultilevel"/>
    <w:lvl w:ilvl="0">
      <w:lvlJc w:val="left"/>
      <w:lvlText w:val="1"/>
      <w:numFmt w:val="bullet"/>
      <w:start w:val="1"/>
    </w:lvl>
  </w:abstractNum>
  <w:abstractNum w:abstractNumId="244">
    <w:nsid w:val="46111BA5"/>
    <w:multiLevelType w:val="hybridMultilevel"/>
    <w:lvl w:ilvl="0">
      <w:lvlJc w:val="left"/>
      <w:lvlText w:val="(%1)"/>
      <w:numFmt w:val="decimal"/>
      <w:start w:val="1"/>
    </w:lvl>
  </w:abstractNum>
  <w:abstractNum w:abstractNumId="245">
    <w:nsid w:val="5E963896"/>
    <w:multiLevelType w:val="hybridMultilevel"/>
    <w:lvl w:ilvl="0">
      <w:lvlJc w:val="left"/>
      <w:lvlText w:val="%1."/>
      <w:numFmt w:val="upperLetter"/>
      <w:start w:val="1"/>
    </w:lvl>
  </w:abstractNum>
  <w:abstractNum w:abstractNumId="246">
    <w:nsid w:val="775BA7C1"/>
    <w:multiLevelType w:val="hybridMultilevel"/>
    <w:lvl w:ilvl="0">
      <w:lvlJc w:val="left"/>
      <w:lvlText w:val="%1."/>
      <w:numFmt w:val="upperLetter"/>
      <w:start w:val="11"/>
    </w:lvl>
  </w:abstractNum>
  <w:abstractNum w:abstractNumId="247">
    <w:nsid w:val="1DD6D6F4"/>
    <w:multiLevelType w:val="hybridMultilevel"/>
    <w:lvl w:ilvl="0">
      <w:lvlJc w:val="left"/>
      <w:lvlText w:val="(%1)"/>
      <w:numFmt w:val="lowerLetter"/>
      <w:start w:val="1"/>
    </w:lvl>
  </w:abstractNum>
  <w:abstractNum w:abstractNumId="248">
    <w:nsid w:val="769A091F"/>
    <w:multiLevelType w:val="hybridMultilevel"/>
    <w:lvl w:ilvl="0">
      <w:lvlJc w:val="left"/>
      <w:lvlText w:val="(%1)"/>
      <w:numFmt w:val="lowerRoman"/>
      <w:start w:val="1"/>
    </w:lvl>
  </w:abstractNum>
  <w:abstractNum w:abstractNumId="249">
    <w:nsid w:val="4695AE95"/>
    <w:multiLevelType w:val="hybridMultilevel"/>
    <w:lvl w:ilvl="0">
      <w:lvlJc w:val="left"/>
      <w:lvlText w:val="(%1)"/>
      <w:numFmt w:val="lowerLetter"/>
      <w:start w:val="1"/>
    </w:lvl>
  </w:abstractNum>
  <w:abstractNum w:abstractNumId="250">
    <w:nsid w:val="777A4EAA"/>
    <w:multiLevelType w:val="hybridMultilevel"/>
    <w:lvl w:ilvl="0">
      <w:lvlJc w:val="left"/>
      <w:lvlText w:val="(%1)"/>
      <w:numFmt w:val="lowerLetter"/>
      <w:start w:val="4"/>
    </w:lvl>
  </w:abstractNum>
  <w:abstractNum w:abstractNumId="251">
    <w:nsid w:val="3F48B982"/>
    <w:multiLevelType w:val="hybridMultilevel"/>
    <w:lvl w:ilvl="0">
      <w:lvlJc w:val="left"/>
      <w:lvlText w:val="(%1)"/>
      <w:numFmt w:val="lowerLetter"/>
      <w:start w:val="1"/>
    </w:lvl>
  </w:abstractNum>
  <w:abstractNum w:abstractNumId="252">
    <w:nsid w:val="46BA8FCA"/>
    <w:multiLevelType w:val="hybridMultilevel"/>
    <w:lvl w:ilvl="0">
      <w:lvlJc w:val="left"/>
      <w:lvlText w:val="(%1)"/>
      <w:numFmt w:val="lowerLetter"/>
      <w:start w:val="1"/>
    </w:lvl>
  </w:abstractNum>
  <w:abstractNum w:abstractNumId="253">
    <w:nsid w:val="7835626C"/>
    <w:multiLevelType w:val="hybridMultilevel"/>
    <w:lvl w:ilvl="0">
      <w:lvlJc w:val="left"/>
      <w:lvlText w:val="(%1)"/>
      <w:numFmt w:val="lowerLetter"/>
      <w:start w:val="1"/>
    </w:lvl>
  </w:abstractNum>
  <w:abstractNum w:abstractNumId="254">
    <w:nsid w:val="665ACA49"/>
    <w:multiLevelType w:val="hybridMultilevel"/>
    <w:lvl w:ilvl="0">
      <w:lvlJc w:val="left"/>
      <w:lvlText w:val="(%1)"/>
      <w:numFmt w:val="lowerLetter"/>
      <w:start w:val="4"/>
    </w:lvl>
  </w:abstractNum>
  <w:abstractNum w:abstractNumId="255">
    <w:nsid w:val="6835B2AE"/>
    <w:multiLevelType w:val="hybridMultilevel"/>
    <w:lvl w:ilvl="0">
      <w:lvlJc w:val="left"/>
      <w:lvlText w:val="(%1)"/>
      <w:numFmt w:val="lowerLetter"/>
      <w:start w:val="1"/>
    </w:lvl>
  </w:abstractNum>
  <w:abstractNum w:abstractNumId="256">
    <w:nsid w:val="4C187C90"/>
    <w:multiLevelType w:val="hybridMultilevel"/>
    <w:lvl w:ilvl="0">
      <w:lvlJc w:val="left"/>
      <w:lvlText w:val="(%1)"/>
      <w:numFmt w:val="lowerLetter"/>
      <w:start w:val="10"/>
    </w:lvl>
  </w:abstractNum>
  <w:abstractNum w:abstractNumId="257">
    <w:nsid w:val="541F28CD"/>
    <w:multiLevelType w:val="hybridMultilevel"/>
    <w:lvl w:ilvl="0">
      <w:lvlJc w:val="left"/>
      <w:lvlText w:val="(%1)"/>
      <w:numFmt w:val="lowerLetter"/>
      <w:start w:val="1"/>
    </w:lvl>
  </w:abstractNum>
  <w:abstractNum w:abstractNumId="258">
    <w:nsid w:val="7F65FD16"/>
    <w:multiLevelType w:val="hybridMultilevel"/>
    <w:lvl w:ilvl="0">
      <w:lvlJc w:val="left"/>
      <w:lvlText w:val="(%1)"/>
      <w:numFmt w:val="lowerLetter"/>
      <w:start w:val="5"/>
    </w:lvl>
  </w:abstractNum>
  <w:abstractNum w:abstractNumId="259">
    <w:nsid w:val="77C9FD68"/>
    <w:multiLevelType w:val="hybridMultilevel"/>
    <w:lvl w:ilvl="0">
      <w:lvlJc w:val="left"/>
      <w:lvlText w:val="(%1)"/>
      <w:numFmt w:val="lowerRoman"/>
      <w:start w:val="1"/>
    </w:lvl>
  </w:abstractNum>
  <w:abstractNum w:abstractNumId="260">
    <w:nsid w:val="298A92BA"/>
    <w:multiLevelType w:val="hybridMultilevel"/>
    <w:lvl w:ilvl="0">
      <w:lvlJc w:val="left"/>
      <w:lvlText w:val="%1."/>
      <w:numFmt w:val="decimal"/>
      <w:start w:val="1"/>
    </w:lvl>
    <w:lvl w:ilvl="1">
      <w:lvlJc w:val="left"/>
      <w:lvlText w:val="(%2)"/>
      <w:numFmt w:val="lowerLetter"/>
      <w:start w:val="1"/>
    </w:lvl>
  </w:abstractNum>
  <w:abstractNum w:abstractNumId="261">
    <w:nsid w:val="6FE95EAC"/>
    <w:multiLevelType w:val="hybridMultilevel"/>
    <w:lvl w:ilvl="0">
      <w:lvlJc w:val="left"/>
      <w:lvlText w:val="%1."/>
      <w:numFmt w:val="decimal"/>
      <w:start w:val="1"/>
    </w:lvl>
    <w:lvl w:ilvl="1">
      <w:lvlJc w:val="left"/>
      <w:lvlText w:val="(%2)"/>
      <w:numFmt w:val="lowerLetter"/>
      <w:start w:val="1"/>
    </w:lvl>
  </w:abstractNum>
  <w:abstractNum w:abstractNumId="262">
    <w:nsid w:val="4B697C7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2019-12-07T00:18:43Z</dcterms:created>
  <dcterms:modified xsi:type="dcterms:W3CDTF">2019-12-07T00:18:43Z</dcterms:modified>
</cp:coreProperties>
</file>