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26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333" w:lineRule="exact"/>
        <w:rPr>
          <w:sz w:val="24"/>
          <w:szCs w:val="24"/>
          <w:color w:val="auto"/>
        </w:rPr>
      </w:pPr>
    </w:p>
    <w:p>
      <w:pPr>
        <w:ind w:left="700" w:right="224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927" w:right="25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560"/>
          </w:cols>
          <w:pgMar w:left="240" w:top="927" w:right="25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500, Denver, Colorado 80265</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400"/>
          </w:cols>
          <w:pgMar w:left="240" w:top="927" w:right="25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927" w:right="25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680"/>
            <w:col w:w="4860" w:space="720"/>
            <w:col w:w="2660" w:space="720"/>
            <w:col w:w="100"/>
          </w:cols>
          <w:pgMar w:left="240" w:top="927"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620" w:space="720"/>
            <w:col w:w="4860" w:space="720"/>
            <w:col w:w="2660" w:space="720"/>
            <w:col w:w="100"/>
          </w:cols>
          <w:pgMar w:left="240" w:top="927" w:right="259" w:bottom="1440" w:gutter="0" w:footer="0" w:header="0"/>
          <w:type w:val="continuous"/>
        </w:sectPr>
      </w:pPr>
    </w:p>
    <w:p>
      <w:pPr>
        <w:spacing w:after="0" w:line="31" w:lineRule="exact"/>
        <w:rPr>
          <w:sz w:val="24"/>
          <w:szCs w:val="24"/>
          <w:color w:val="auto"/>
        </w:rPr>
      </w:pPr>
    </w:p>
    <w:p>
      <w:pPr>
        <w:spacing w:after="0" w:line="207" w:lineRule="exact"/>
        <w:tabs>
          <w:tab w:leader="none" w:pos="8340" w:val="left"/>
          <w:tab w:leader="none" w:pos="89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At March 31, 2014, there were 180,070,357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March 31,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ind w:left="24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20" w:type="dxa"/>
            <w:vAlign w:val="bottom"/>
            <w:gridSpan w:val="27"/>
            <w:shd w:val="clear" w:color="auto" w:fill="CCEEFF"/>
          </w:tcPr>
          <w:p>
            <w:pPr>
              <w:ind w:left="4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762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UNAUDITED CONDENSED CONSOLIDATED STATEMENTS OF OPERATIONS FOR THE THREE</w:t>
              </w:r>
            </w:hyperlink>
          </w:p>
        </w:tc>
        <w:tc>
          <w:tcPr>
            <w:tcW w:w="800" w:type="dxa"/>
            <w:vAlign w:val="bottom"/>
            <w:tcBorders>
              <w:bottom w:val="single" w:sz="8" w:color="CCEEFF"/>
            </w:tcBorders>
            <w:gridSpan w:val="4"/>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4"/>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MONTHS ENDED MARCH 31, 2014 AND 2013</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160" w:type="dxa"/>
            <w:vAlign w:val="bottom"/>
            <w:tcBorders>
              <w:bottom w:val="single" w:sz="8" w:color="0000EE"/>
            </w:tcBorders>
            <w:gridSpan w:val="23"/>
            <w:shd w:val="clear" w:color="auto" w:fill="CCEEFF"/>
          </w:tcPr>
          <w:p>
            <w:pPr>
              <w:spacing w:after="0" w:line="202"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UNAUDITED CONDENSED CONSOLIDATED STATEMENTS OF COMPREHENSIVE INCOME FOR THE</w:t>
              </w:r>
            </w:hyperlink>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4"/>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MONTHS ENDED MARCH 31, 2014 AND 2013</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20" w:type="dxa"/>
            <w:vAlign w:val="bottom"/>
            <w:gridSpan w:val="24"/>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BALANCE SHEETS AT MARCH 31, 2014 AND</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728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2013</w:t>
              </w:r>
            </w:hyperlink>
          </w:p>
        </w:tc>
        <w:tc>
          <w:tcPr>
            <w:tcW w:w="1140" w:type="dxa"/>
            <w:vAlign w:val="bottom"/>
            <w:tcBorders>
              <w:top w:val="single" w:sz="8" w:color="CCEEFF"/>
            </w:tcBorders>
            <w:gridSpan w:val="5"/>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7660" w:type="dxa"/>
            <w:vAlign w:val="bottom"/>
            <w:tcBorders>
              <w:bottom w:val="single" w:sz="8" w:color="0000EE"/>
            </w:tcBorders>
            <w:gridSpan w:val="21"/>
            <w:shd w:val="clear" w:color="auto" w:fill="CCEEFF"/>
          </w:tcPr>
          <w:p>
            <w:pPr>
              <w:spacing w:after="0" w:line="202"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CONSOLIDATED STATEMENTS OF CASH FLOWS FOR THE THREE</w:t>
              </w:r>
            </w:hyperlink>
          </w:p>
        </w:tc>
        <w:tc>
          <w:tcPr>
            <w:tcW w:w="76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MONTHS ENDED MARCH 31, 2014 AND 2013</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UNAUDITED NOTES ACCOMPANYING THE CONDENSED CONSOLIDATED FINANCIAL</w:t>
              </w:r>
            </w:hyperlink>
          </w:p>
        </w:tc>
        <w:tc>
          <w:tcPr>
            <w:tcW w:w="1280" w:type="dxa"/>
            <w:vAlign w:val="bottom"/>
            <w:tcBorders>
              <w:bottom w:val="single" w:sz="8" w:color="CCEEFF"/>
            </w:tcBorders>
            <w:gridSpan w:val="6"/>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4"/>
            <w:shd w:val="clear" w:color="auto" w:fill="CCEEFF"/>
          </w:tcPr>
          <w:p>
            <w:pPr>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STATEMENTS</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2.</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776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OPERATIONS</w:t>
              </w:r>
            </w:hyperlink>
          </w:p>
        </w:tc>
        <w:tc>
          <w:tcPr>
            <w:tcW w:w="660" w:type="dxa"/>
            <w:vAlign w:val="bottom"/>
            <w:tcBorders>
              <w:top w:val="single" w:sz="8" w:color="CCEEFF"/>
            </w:tcBorders>
            <w:gridSpan w:val="2"/>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3.</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8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4.</w:t>
            </w:r>
          </w:p>
        </w:tc>
        <w:tc>
          <w:tcPr>
            <w:tcW w:w="2600" w:type="dxa"/>
            <w:vAlign w:val="bottom"/>
            <w:gridSpan w:val="12"/>
            <w:shd w:val="clear" w:color="auto" w:fill="CCEEFF"/>
          </w:tcPr>
          <w:p>
            <w:pPr>
              <w:spacing w:after="0" w:line="202" w:lineRule="exact"/>
              <w:rPr>
                <w:rFonts w:ascii="Arial" w:cs="Arial" w:eastAsia="Arial" w:hAnsi="Arial"/>
                <w:sz w:val="18"/>
                <w:szCs w:val="18"/>
                <w:color w:val="0000FF"/>
                <w:w w:val="93"/>
              </w:rPr>
            </w:pPr>
            <w:hyperlink w:anchor="page52">
              <w:r>
                <w:rPr>
                  <w:rFonts w:ascii="Arial" w:cs="Arial" w:eastAsia="Arial" w:hAnsi="Arial"/>
                  <w:sz w:val="18"/>
                  <w:szCs w:val="18"/>
                  <w:color w:val="0000FF"/>
                  <w:w w:val="93"/>
                </w:rPr>
                <w:t>CONTROLS AND PROCEDURES</w:t>
              </w:r>
            </w:hyperlink>
          </w:p>
        </w:tc>
        <w:tc>
          <w:tcPr>
            <w:tcW w:w="5820" w:type="dxa"/>
            <w:vAlign w:val="bottom"/>
            <w:gridSpan w:val="12"/>
            <w:shd w:val="clear" w:color="auto" w:fill="CCEEFF"/>
          </w:tcPr>
          <w:p>
            <w:pPr>
              <w:spacing w:after="0"/>
              <w:rPr>
                <w:sz w:val="21"/>
                <w:szCs w:val="21"/>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420" w:type="dxa"/>
            <w:vAlign w:val="bottom"/>
            <w:gridSpan w:val="27"/>
            <w:shd w:val="clear" w:color="auto" w:fill="CCEEFF"/>
          </w:tcPr>
          <w:p>
            <w:pPr>
              <w:ind w:left="4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PART II. 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LEGAL PROCEEDINGS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1A.</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RISK FACTORS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2.</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UNREGISTERED SALES OF EQUITY SECURITIES AND USE OF PROCEEDS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80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3.</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DEFAULTS UPON SENIOR SECURITIES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4.</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MINE SAFETY DISCLOSURES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5.</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6.</w:t>
            </w:r>
          </w:p>
        </w:tc>
        <w:tc>
          <w:tcPr>
            <w:tcW w:w="8420" w:type="dxa"/>
            <w:vAlign w:val="bottom"/>
            <w:gridSpan w:val="24"/>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EXHIBITS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0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SIGNATURES</w:t>
              </w:r>
            </w:hyperlink>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440" w:type="dxa"/>
            <w:vAlign w:val="bottom"/>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74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2"/>
              </w:rPr>
              <w:t>Three Months Ended</w:t>
            </w:r>
          </w:p>
        </w:tc>
        <w:tc>
          <w:tcPr>
            <w:tcW w:w="1160" w:type="dxa"/>
            <w:vAlign w:val="bottom"/>
          </w:tcPr>
          <w:p>
            <w:pPr>
              <w:spacing w:after="0"/>
              <w:rPr>
                <w:sz w:val="24"/>
                <w:szCs w:val="24"/>
                <w:color w:val="auto"/>
              </w:rPr>
            </w:pPr>
          </w:p>
        </w:tc>
      </w:tr>
      <w:tr>
        <w:trPr>
          <w:trHeight w:val="270"/>
        </w:trPr>
        <w:tc>
          <w:tcPr>
            <w:tcW w:w="7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6"/>
              </w:rPr>
              <w:t>March 31,</w:t>
            </w:r>
          </w:p>
        </w:tc>
        <w:tc>
          <w:tcPr>
            <w:tcW w:w="1160" w:type="dxa"/>
            <w:vAlign w:val="bottom"/>
          </w:tcPr>
          <w:p>
            <w:pPr>
              <w:spacing w:after="0"/>
              <w:rPr>
                <w:sz w:val="23"/>
                <w:szCs w:val="23"/>
                <w:color w:val="auto"/>
              </w:rPr>
            </w:pPr>
          </w:p>
        </w:tc>
      </w:tr>
      <w:tr>
        <w:trPr>
          <w:trHeight w:val="34"/>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690"/>
              <w:spacing w:after="0"/>
              <w:rPr>
                <w:sz w:val="20"/>
                <w:szCs w:val="20"/>
                <w:color w:val="auto"/>
              </w:rPr>
            </w:pPr>
            <w:r>
              <w:rPr>
                <w:rFonts w:ascii="Arial" w:cs="Arial" w:eastAsia="Arial" w:hAnsi="Arial"/>
                <w:sz w:val="18"/>
                <w:szCs w:val="18"/>
                <w:color w:val="auto"/>
                <w:w w:val="89"/>
              </w:rPr>
              <w:t>2013</w:t>
            </w:r>
          </w:p>
        </w:tc>
      </w:tr>
      <w:tr>
        <w:trPr>
          <w:trHeight w:val="34"/>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1"/>
                <w:szCs w:val="21"/>
                <w:color w:val="auto"/>
              </w:rPr>
            </w:pPr>
          </w:p>
        </w:tc>
        <w:tc>
          <w:tcPr>
            <w:tcW w:w="3620" w:type="dxa"/>
            <w:vAlign w:val="bottom"/>
            <w:gridSpan w:val="4"/>
          </w:tcPr>
          <w:p>
            <w:pPr>
              <w:jc w:val="center"/>
              <w:ind w:right="250"/>
              <w:spacing w:after="0"/>
              <w:rPr>
                <w:sz w:val="20"/>
                <w:szCs w:val="20"/>
                <w:color w:val="auto"/>
              </w:rPr>
            </w:pPr>
            <w:r>
              <w:rPr>
                <w:rFonts w:ascii="Arial" w:cs="Arial" w:eastAsia="Arial" w:hAnsi="Arial"/>
                <w:sz w:val="18"/>
                <w:szCs w:val="18"/>
                <w:color w:val="auto"/>
                <w:w w:val="90"/>
              </w:rPr>
              <w:t>(in millions, except per share amounts)</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288.7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194.2</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44.4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3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227.2</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190.7</w:t>
            </w:r>
          </w:p>
        </w:tc>
      </w:tr>
      <w:tr>
        <w:trPr>
          <w:trHeight w:val="284"/>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883.9</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696.5</w:t>
            </w: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224.3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196.8</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43.4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processing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56.6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240.2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254.2</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8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Impairment</w:t>
            </w: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699.1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631.5</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gain (loss) from asset sales</w:t>
            </w: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Realized and unrealized losses on derivative contracts (See Note 8)</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(80.9)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68.9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45.5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304"/>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 (LOSS) ATTRIBUTABLE TO QEP</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39.7</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1"/>
        </w:trPr>
        <w:tc>
          <w:tcPr>
            <w:tcW w:w="7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Earnings Per Common Share Attributable to QEP</w:t>
            </w: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Diluted 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spacing w:after="0"/>
              <w:rPr>
                <w:sz w:val="21"/>
                <w:szCs w:val="21"/>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74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Used in basic calculation</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Used in diluted calculation</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177.0</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per common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6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8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34"/>
        </w:trPr>
        <w:tc>
          <w:tcPr>
            <w:tcW w:w="88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8"/>
              </w:rPr>
              <w:t>(in millions)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Reclassification of previously deferred derivative gains</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net actuarial loss </w:t>
            </w:r>
            <w:r>
              <w:rPr>
                <w:rFonts w:ascii="Arial" w:cs="Arial" w:eastAsia="Arial" w:hAnsi="Arial"/>
                <w:sz w:val="25"/>
                <w:szCs w:val="25"/>
                <w:color w:val="auto"/>
                <w:vertAlign w:val="superscript"/>
              </w:rPr>
              <w:t>(2)</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7"/>
        </w:trPr>
        <w:tc>
          <w:tcPr>
            <w:tcW w:w="880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(3)</w:t>
            </w: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pension and other postretirement plans adjustments</w:t>
            </w:r>
          </w:p>
        </w:tc>
        <w:tc>
          <w:tcPr>
            <w:tcW w:w="8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(5.8)</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QEP</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5"/>
              </w:rPr>
              <w:t>40.7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benefit of $11.9 million during the three months ended March 31, 2013.</w:t>
      </w:r>
    </w:p>
    <w:p>
      <w:pPr>
        <w:spacing w:after="0" w:line="2" w:lineRule="exact"/>
        <w:rPr>
          <w:rFonts w:ascii="Arial" w:cs="Arial" w:eastAsia="Arial" w:hAnsi="Arial"/>
          <w:sz w:val="25"/>
          <w:szCs w:val="25"/>
          <w:color w:val="auto"/>
          <w:vertAlign w:val="superscript"/>
        </w:rPr>
      </w:pPr>
    </w:p>
    <w:p>
      <w:pPr>
        <w:ind w:left="660" w:right="120" w:hanging="314"/>
        <w:spacing w:after="0" w:line="208"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$0.1 million during the three months ended March 31, 2014 and $0.2 million during the three months ended March 31, 2013, respectively.</w:t>
      </w:r>
    </w:p>
    <w:p>
      <w:pPr>
        <w:spacing w:after="0" w:line="1" w:lineRule="exact"/>
        <w:rPr>
          <w:rFonts w:ascii="Arial" w:cs="Arial" w:eastAsia="Arial" w:hAnsi="Arial"/>
          <w:sz w:val="25"/>
          <w:szCs w:val="25"/>
          <w:color w:val="auto"/>
          <w:vertAlign w:val="superscript"/>
        </w:rPr>
      </w:pPr>
    </w:p>
    <w:p>
      <w:pPr>
        <w:ind w:left="660" w:right="12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$0.4 million during the three months ended March 31, 2014 and $0.5 million during the three months ended March 31, 2013,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4"/>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 - current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710.4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12,401.4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11,571.4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Midstream field services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1,719.2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resources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Material and supplies</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15,377.3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14,079.1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and production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4,930.9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Midstream field services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425.0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resources</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5,595.7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5,362.7</w:t>
            </w:r>
          </w:p>
        </w:tc>
        <w:tc>
          <w:tcPr>
            <w:tcW w:w="0" w:type="dxa"/>
            <w:vAlign w:val="bottom"/>
          </w:tcPr>
          <w:p>
            <w:pPr>
              <w:spacing w:after="0"/>
              <w:rPr>
                <w:sz w:val="1"/>
                <w:szCs w:val="1"/>
                <w:color w:val="auto"/>
              </w:rPr>
            </w:pPr>
          </w:p>
        </w:tc>
      </w:tr>
      <w:tr>
        <w:trPr>
          <w:trHeight w:val="271"/>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9,781.6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8,716.4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10,579.6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9,376.8</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581.0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827.7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641.5</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1,601.7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1,560.6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(see Note 11)</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220" w:type="dxa"/>
            <w:vAlign w:val="bottom"/>
          </w:tcPr>
          <w:p>
            <w:pPr>
              <w:spacing w:after="0"/>
              <w:rPr>
                <w:sz w:val="19"/>
                <w:szCs w:val="19"/>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180.7 million and 179.7 million shares issued, respectively</w:t>
            </w:r>
          </w:p>
        </w:tc>
        <w:tc>
          <w:tcPr>
            <w:tcW w:w="2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- 0.6 million and 0.4 million shares,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508.1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2,917.8</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Common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3,376.6</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498.4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71"/>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3,915.7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3,876.8</w:t>
            </w:r>
          </w:p>
        </w:tc>
        <w:tc>
          <w:tcPr>
            <w:tcW w:w="0" w:type="dxa"/>
            <w:vAlign w:val="bottom"/>
          </w:tcPr>
          <w:p>
            <w:pPr>
              <w:spacing w:after="0"/>
              <w:rPr>
                <w:sz w:val="1"/>
                <w:szCs w:val="1"/>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10,579.6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9,376.8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6"/>
          <w:szCs w:val="16"/>
          <w:color w:val="auto"/>
        </w:rPr>
        <w:t>See notes accompanying the condensed consolidated financial statements.</w:t>
      </w:r>
    </w:p>
    <w:p>
      <w:pPr>
        <w:sectPr>
          <w:pgSz w:w="11900" w:h="16838" w:orient="portrait"/>
          <w:cols w:equalWidth="0" w:num="1">
            <w:col w:w="9019"/>
          </w:cols>
          <w:pgMar w:left="1440" w:top="341"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41"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820" w:type="dxa"/>
            <w:vAlign w:val="bottom"/>
          </w:tcPr>
          <w:p>
            <w:pPr>
              <w:spacing w:after="0"/>
              <w:rPr>
                <w:sz w:val="23"/>
                <w:szCs w:val="23"/>
                <w:color w:val="auto"/>
              </w:rPr>
            </w:pPr>
          </w:p>
        </w:tc>
      </w:tr>
      <w:tr>
        <w:trPr>
          <w:trHeight w:val="34"/>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2013</w:t>
            </w:r>
          </w:p>
        </w:tc>
      </w:tr>
      <w:tr>
        <w:trPr>
          <w:trHeight w:val="34"/>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(in millions)</w:t>
            </w:r>
          </w:p>
        </w:tc>
        <w:tc>
          <w:tcPr>
            <w:tcW w:w="8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Distributions from unconsolidated affiliates and other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r>
      <w:tr>
        <w:trPr>
          <w:trHeight w:val="27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322.4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Acquisition deposit held in escrow</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(1,223.9)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issued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issuance costs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credit facility</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1,643.0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1,027.0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capital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 on equity-based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1"/>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893.5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0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cash and cash equivalents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8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 in capital expenditure accrual balance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78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QEP Resources, Inc. (QEP or the Company) is a holding company with three major lines of business: oil and gas exploration and production; midstream field services; and energy marketing. These businesses are conducted through the Company’s three principal subsidiaries:</w:t>
      </w:r>
    </w:p>
    <w:p>
      <w:pPr>
        <w:spacing w:after="0" w:line="17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gas, oil, and NGL;</w:t>
      </w:r>
    </w:p>
    <w:p>
      <w:pPr>
        <w:spacing w:after="0" w:line="23"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Field Services Company (QEP Field Services), which includes the ownership and operations of QEP Midstream Partners, LP (QEP Midstream), provides midstream field services, including gathering of natural gas, oil and water, natural gas processing, compression, and treating services, as well as NGL marketing services for affiliates and third parties;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QEP Marketing Company (QEP Marketing) markets affiliate and third-party oil and gas, and owns and operates an underground gas storage reservoir.</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QEP's operations are focused in two major regions: the Northern Region (primarily in North Dakota, Wyoming and Utah) and the Southern Region (primarily in Oklahoma, Louisiana, and Texas) of the United States. QEP's corporate headquarters are located in Denver, Colorado.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Shares of QEP’s common stock trade on the New York Stock Exchange under the ticker symbol “QEP.”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interim condensed consolidated financial statements contain the accounts of QEP and its majority-owned or controlled subsidiaries, including QEP Midstream (see Note 4 - QEP Midstream). The condensed consolidated financial statements also include the accounts of a variable interest entity where the Company is the primary beneficiary of the arrangements.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2013.</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months ended March 31, 2014, are not necessarily indicative of the results that may be expected for the year ending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In the first quarter of 2013, QEP presented certain credit facility payments and borrowings on a net basis on the Condensed Consolidated Statements of Cash Flow. These borrowings and payments were reclassified to be presented on a gross basis on the Condensed Consolidated Statement of Cash Flow in order to conform with the current period presentation. This reclassification is entirely within "Financing Activities" and has no effect on other categories or total cash on the Condensed Consolidated Statements of Cash Flows or net income or earnings per share on the Condensed Consolidated Statements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2014, there were no new accounting pronouncements that were applicable to QEP.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 Basin Acquisition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February 25, 2014, QEP Energy acquired oil and gas properties in the Permian Basin of Texas for an aggregate purchase price of $945.0 million, subject to customary post-closing adjustments (the Permian Basin Acquisition). The acquired properties consist of approximately 26,500 net acres of producing and undeveloped oil and gas properties and approximately 270 vertical producing wells in the Permian Basin, which creates a new core area of operation for QEP Energy. The acquisition was funded with $50.0 million of restricted cash, $300.0 million from the Company's expanded term loan and approximately $595.0 million from its revolving credit facility.</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Concurrent with the Permian Basin Acquisition, QEP entered into a transaction structured as a reverse like-kind exchange in accordance with Section 1031 of the Internal Revenue Code. In connection with this reverse like-kind exchange, QEP assigned the ownership of the Permian Basin oil and gas properties acquired to a variable interest entity. QEP operates the properties pursuant to lease and management agreements with that entity, and has a call option which allows the Company to terminate the exchange transaction at any time up and until the expiration date of the exchange. Because the Company is the primary beneficiary of these arrangements, the properties acquired are included in its Condensed Consolidated Balance Sheet as of March 31, 2014, and all revenues earned, expenses incurred, and cash flows related to the properties will be included in the Company’s Condensed Consolidated Statements of Operations and Condensed Consolidated Statements of Cash Flows during the term of the agreement. The agreements will terminate upon the transfer of the acquired properties from the exchange accommodation titleholder to QEP following the exercise of the call option but in no event later than August 24, 2014, the expiration date for this exchange.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Permian Basin Acquisition meets the definition of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 it included significant proved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properties. QEP allocated the cost of the Permian Basin Acquisition to assets acquired and liabilities assumed based on fair values as of the acquisition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of $14.9 million and net income of $3.7 million were generated from the acquired properties from February 25, 2014, to March 31, 2014, and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QEP's Condensed Consolidated Statements of Operations. During the quarter ended March 31, 2014, QEP Energy's acquisition-related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which are included in "General and administrative" on the Condensed Consolidated Statements of Operations. QEP incurred $1.1 million of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costs associated with increasing the size of term loan borrowings to fund a portion of the acquisition, which are included in "Other noncurrent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Condensed Consolidated Balance Sheet.</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QEP Energy recorded the Permian Basin Acquisition on its Condensed Consolidated Balance Sheets; however, the final purchase price is subject to post-closing adjustments. The following table presents a summary of the Company's preliminary purchase accounting entries: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As of March 31, 2014</w:t>
            </w:r>
          </w:p>
        </w:tc>
      </w:tr>
      <w:tr>
        <w:trPr>
          <w:trHeight w:val="27"/>
        </w:trPr>
        <w:tc>
          <w:tcPr>
            <w:tcW w:w="8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jc w:val="right"/>
              <w:ind w:right="710"/>
              <w:spacing w:after="0"/>
              <w:rPr>
                <w:sz w:val="20"/>
                <w:szCs w:val="20"/>
                <w:color w:val="auto"/>
              </w:rPr>
            </w:pPr>
            <w:r>
              <w:rPr>
                <w:rFonts w:ascii="Arial" w:cs="Arial" w:eastAsia="Arial" w:hAnsi="Arial"/>
                <w:sz w:val="18"/>
                <w:szCs w:val="18"/>
                <w:color w:val="auto"/>
              </w:rPr>
              <w:t>(in millions)</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Consideration given:</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Cash consideration</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40" w:type="dxa"/>
            <w:vAlign w:val="bottom"/>
          </w:tcPr>
          <w:p>
            <w:pPr>
              <w:jc w:val="right"/>
              <w:ind w:right="10"/>
              <w:spacing w:after="0"/>
              <w:rPr>
                <w:sz w:val="20"/>
                <w:szCs w:val="20"/>
                <w:color w:val="auto"/>
              </w:rPr>
            </w:pPr>
            <w:r>
              <w:rPr>
                <w:rFonts w:ascii="Arial" w:cs="Arial" w:eastAsia="Arial" w:hAnsi="Arial"/>
                <w:sz w:val="18"/>
                <w:szCs w:val="18"/>
                <w:b w:val="1"/>
                <w:bCs w:val="1"/>
                <w:color w:val="auto"/>
              </w:rPr>
              <w:t>945.0</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for preliminary fair value of assets acquired and liabilities assumed:</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40" w:type="dxa"/>
            <w:vAlign w:val="bottom"/>
          </w:tcPr>
          <w:p>
            <w:pPr>
              <w:jc w:val="right"/>
              <w:ind w:right="10"/>
              <w:spacing w:after="0"/>
              <w:rPr>
                <w:sz w:val="20"/>
                <w:szCs w:val="20"/>
                <w:color w:val="auto"/>
              </w:rPr>
            </w:pPr>
            <w:r>
              <w:rPr>
                <w:rFonts w:ascii="Arial" w:cs="Arial" w:eastAsia="Arial" w:hAnsi="Arial"/>
                <w:sz w:val="18"/>
                <w:szCs w:val="18"/>
                <w:b w:val="1"/>
                <w:bCs w:val="1"/>
                <w:color w:val="auto"/>
              </w:rPr>
              <w:t>516.1</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439.7</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Asset retirement obligations</w:t>
            </w:r>
          </w:p>
        </w:tc>
        <w:tc>
          <w:tcPr>
            <w:tcW w:w="2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(9.7)</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assumed</w:t>
            </w:r>
          </w:p>
        </w:tc>
        <w:tc>
          <w:tcPr>
            <w:tcW w:w="28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r>
      <w:tr>
        <w:trPr>
          <w:trHeight w:val="257"/>
        </w:trPr>
        <w:tc>
          <w:tcPr>
            <w:tcW w:w="8900" w:type="dxa"/>
            <w:vAlign w:val="bottom"/>
          </w:tcPr>
          <w:p>
            <w:pPr>
              <w:ind w:left="280"/>
              <w:spacing w:after="0"/>
              <w:rPr>
                <w:sz w:val="20"/>
                <w:szCs w:val="20"/>
                <w:color w:val="auto"/>
              </w:rPr>
            </w:pPr>
            <w:r>
              <w:rPr>
                <w:rFonts w:ascii="Arial" w:cs="Arial" w:eastAsia="Arial" w:hAnsi="Arial"/>
                <w:sz w:val="18"/>
                <w:szCs w:val="18"/>
                <w:color w:val="auto"/>
              </w:rPr>
              <w:t>Total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945.0</w:t>
            </w:r>
          </w:p>
        </w:tc>
      </w:tr>
      <w:tr>
        <w:trPr>
          <w:trHeight w:val="20"/>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unaudited, pro forma results of operations are provided for the three months ended March 31, 2014 and 2013. These supplemental pro forma results of operations are provided for illustrative purposes only and may not be indicative of the actual results that would have been achieved by the acquired properties for the period presented or that may be achieved by such 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three months ended March 31, 2014 and 2013, the acquired properties' historical results of operations, and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preliminary purchase price allocation. The pro forma results of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operations do not include any cost savings or other synergies that may result from the Permian Basin Acquisition or any estimated costs that have been or will be incurred by the Company to integrate the acquired properties.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278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5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March 31, 2014</w:t>
            </w:r>
          </w:p>
        </w:tc>
        <w:tc>
          <w:tcPr>
            <w:tcW w:w="380" w:type="dxa"/>
            <w:vAlign w:val="bottom"/>
          </w:tcPr>
          <w:p>
            <w:pPr>
              <w:spacing w:after="0"/>
              <w:rPr>
                <w:sz w:val="23"/>
                <w:szCs w:val="23"/>
                <w:color w:val="auto"/>
              </w:rPr>
            </w:pPr>
          </w:p>
        </w:tc>
        <w:tc>
          <w:tcPr>
            <w:tcW w:w="2780" w:type="dxa"/>
            <w:vAlign w:val="bottom"/>
            <w:gridSpan w:val="3"/>
          </w:tcPr>
          <w:p>
            <w:pPr>
              <w:jc w:val="center"/>
              <w:ind w:right="170"/>
              <w:spacing w:after="0"/>
              <w:rPr>
                <w:sz w:val="20"/>
                <w:szCs w:val="20"/>
                <w:color w:val="auto"/>
              </w:rPr>
            </w:pPr>
            <w:r>
              <w:rPr>
                <w:rFonts w:ascii="Arial" w:cs="Arial" w:eastAsia="Arial" w:hAnsi="Arial"/>
                <w:sz w:val="18"/>
                <w:szCs w:val="18"/>
                <w:color w:val="auto"/>
                <w:w w:val="92"/>
              </w:rPr>
              <w:t>March 31, 2013</w:t>
            </w:r>
          </w:p>
        </w:tc>
      </w:tr>
      <w:tr>
        <w:trPr>
          <w:trHeight w:val="34"/>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5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Actual</w:t>
            </w:r>
          </w:p>
        </w:tc>
        <w:tc>
          <w:tcPr>
            <w:tcW w:w="30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Pro forma</w:t>
            </w:r>
          </w:p>
        </w:tc>
        <w:tc>
          <w:tcPr>
            <w:tcW w:w="380" w:type="dxa"/>
            <w:vAlign w:val="bottom"/>
          </w:tcPr>
          <w:p>
            <w:pPr>
              <w:spacing w:after="0"/>
              <w:rPr>
                <w:sz w:val="21"/>
                <w:szCs w:val="21"/>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Actual</w:t>
            </w:r>
          </w:p>
        </w:tc>
        <w:tc>
          <w:tcPr>
            <w:tcW w:w="34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Pro forma</w:t>
            </w:r>
          </w:p>
        </w:tc>
      </w:tr>
      <w:tr>
        <w:trPr>
          <w:trHeight w:val="27"/>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color w:val="auto"/>
                <w:w w:val="90"/>
              </w:rPr>
              <w:t>(in millions, except per share data)</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883.9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910.0</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696.5</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731.0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 attributable to QEP</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39.7</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46.7</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3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3.6</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QEP</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0.22</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0.26</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0.02</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0.22</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0.26</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0.02</w:t>
            </w:r>
          </w:p>
        </w:tc>
      </w:tr>
      <w:tr>
        <w:trPr>
          <w:trHeight w:val="27"/>
        </w:trPr>
        <w:tc>
          <w:tcPr>
            <w:tcW w:w="5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QEP Midstream</w:t>
      </w:r>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QEP Midstream is a publicly traded master limited partnership formed by QEP to own, operate, acquire and develop midstream energy assets. QEP Midstream's assets currently consist of ownership interests in four gathering systems and two FERC regulated pipelines, which provide oil and gas gathering and transportation services. These assets are located in, or within close proximity to, the Green River Basin located in Wyoming and Colorado, the Uinta Basin located in eastern Utah, and the Williston Basin located in North Dakota.</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On August 14, 2013, QEP Midstream completed its initial public offering (the IPO) of 20,000,000 common units, representing limited partner interests in QEP Midstream, at a price to the public of $21.00 per common unit. QEP Midstream received net proceeds of $390.7 million from the sale of the common units, after deducting underwriting discounts and commissions, structuring fees and offering expenses of $29.3 million. Following the IPO, the underwriters exercised their over-allotment option to purchase an additional 3,000,000 common units, at a price of $21.00 per common unit, providing additional net proceeds of $58.9 million, after deducting $4.1 million of underwriters' discounts and commissions and structuring fees, to QEP Midstream.</w:t>
      </w:r>
    </w:p>
    <w:p>
      <w:pPr>
        <w:spacing w:after="0" w:line="15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QEP Midstream used the net proceeds to repay its outstanding debt balance with QEP, which was assumed with the assets contributed to QEP Midstream, pay revolving credit facility origination fees and make a cash distribution to QEP, a portion of which was used to reimburse QEP for certain capital expenditures it incurred with respect to assets contributed to QEP Midstream. The following table is a reconciliation of proceeds from the IPO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ind w:left="40"/>
              <w:spacing w:after="0"/>
              <w:rPr>
                <w:sz w:val="20"/>
                <w:szCs w:val="20"/>
                <w:color w:val="auto"/>
              </w:rPr>
            </w:pPr>
            <w:r>
              <w:rPr>
                <w:rFonts w:ascii="Arial" w:cs="Arial" w:eastAsia="Arial" w:hAnsi="Arial"/>
                <w:sz w:val="18"/>
                <w:szCs w:val="18"/>
                <w:color w:val="auto"/>
              </w:rPr>
              <w:t>Total proceeds from the IPO</w:t>
            </w:r>
          </w:p>
        </w:tc>
        <w:tc>
          <w:tcPr>
            <w:tcW w:w="940" w:type="dxa"/>
            <w:vAlign w:val="bottom"/>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483.0</w:t>
            </w:r>
          </w:p>
        </w:tc>
      </w:tr>
      <w:tr>
        <w:trPr>
          <w:trHeight w:val="27"/>
        </w:trPr>
        <w:tc>
          <w:tcPr>
            <w:tcW w:w="9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IPO Costs</w:t>
            </w:r>
          </w:p>
        </w:tc>
        <w:tc>
          <w:tcPr>
            <w:tcW w:w="9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Net proceeds from the IPO</w:t>
            </w:r>
          </w:p>
        </w:tc>
        <w:tc>
          <w:tcPr>
            <w:tcW w:w="9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449.6</w:t>
            </w:r>
          </w:p>
        </w:tc>
      </w:tr>
      <w:tr>
        <w:trPr>
          <w:trHeight w:val="27"/>
        </w:trPr>
        <w:tc>
          <w:tcPr>
            <w:tcW w:w="9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QEPM Revolving credit facility origination fees</w:t>
            </w:r>
          </w:p>
        </w:tc>
        <w:tc>
          <w:tcPr>
            <w:tcW w:w="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QEPM Repayment of outstanding debt with QEP</w:t>
            </w:r>
          </w:p>
        </w:tc>
        <w:tc>
          <w:tcPr>
            <w:tcW w:w="9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(95.5)</w:t>
            </w:r>
          </w:p>
        </w:tc>
      </w:tr>
      <w:tr>
        <w:trPr>
          <w:trHeight w:val="27"/>
        </w:trPr>
        <w:tc>
          <w:tcPr>
            <w:tcW w:w="9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distributed to QEP from the IPO</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351.1</w:t>
            </w:r>
          </w:p>
        </w:tc>
      </w:tr>
      <w:tr>
        <w:trPr>
          <w:trHeight w:val="20"/>
        </w:trPr>
        <w:tc>
          <w:tcPr>
            <w:tcW w:w="9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QEP Midstream Partners GP, LLC (the General Partner), a wholly owned subsidiary of QEP Field Services, serves as the general partner of QEP Midstream. QEP Field Services owns a 57.8% interest in QEP Midstream and consolidates QEP Midstream for financial reporting purposes with the portion not owned by QEP Field Services reflected as a reduction to net income and equity as a noncontrolling interest.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Earnings Per Share</w:t>
      </w:r>
    </w:p>
    <w:p>
      <w:pPr>
        <w:spacing w:after="0" w:line="22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receive dividends.</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Unvested equity-based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There were no anti-dilutive shares during the three months ended March 31, 2014. During the three months ended March 31, 2013, 0.3 million shares were not included in diluted common shares outstanding as they were anti-dilutive due to QEP's net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6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Three Months Ended</w:t>
      </w:r>
    </w:p>
    <w:p>
      <w:pPr>
        <w:spacing w:after="0" w:line="63"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34290</wp:posOffset>
            </wp:positionV>
            <wp:extent cx="16637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70" w:lineRule="exact"/>
        <w:rPr>
          <w:sz w:val="20"/>
          <w:szCs w:val="20"/>
          <w:color w:val="auto"/>
        </w:rPr>
      </w:pPr>
    </w:p>
    <w:p>
      <w:pPr>
        <w:ind w:left="9260"/>
        <w:spacing w:after="0"/>
        <w:tabs>
          <w:tab w:leader="none" w:pos="1060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34290</wp:posOffset>
            </wp:positionV>
            <wp:extent cx="16637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4060" w:type="dxa"/>
            <w:vAlign w:val="bottom"/>
          </w:tcPr>
          <w:p>
            <w:pPr>
              <w:jc w:val="right"/>
              <w:ind w:right="70"/>
              <w:spacing w:after="0"/>
              <w:rPr>
                <w:sz w:val="20"/>
                <w:szCs w:val="20"/>
                <w:color w:val="auto"/>
              </w:rPr>
            </w:pPr>
            <w:r>
              <w:rPr>
                <w:rFonts w:ascii="Arial" w:cs="Arial" w:eastAsia="Arial" w:hAnsi="Arial"/>
                <w:sz w:val="18"/>
                <w:szCs w:val="18"/>
                <w:color w:val="auto"/>
              </w:rPr>
              <w:t>(in millions)</w:t>
            </w:r>
          </w:p>
        </w:tc>
        <w:tc>
          <w:tcPr>
            <w:tcW w:w="68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406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179.7</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r>
      <w:tr>
        <w:trPr>
          <w:trHeight w:val="27"/>
        </w:trPr>
        <w:tc>
          <w:tcPr>
            <w:tcW w:w="66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580" w:right="239" w:bottom="1440" w:gutter="0" w:footer="0" w:header="0"/>
        </w:sectPr>
      </w:pPr>
    </w:p>
    <w:p>
      <w:pPr>
        <w:ind w:left="40" w:right="280"/>
        <w:spacing w:after="0" w:line="277" w:lineRule="auto"/>
        <w:rPr>
          <w:sz w:val="20"/>
          <w:szCs w:val="20"/>
          <w:color w:val="auto"/>
        </w:rPr>
      </w:pPr>
      <w:r>
        <w:rPr>
          <w:rFonts w:ascii="Arial" w:cs="Arial" w:eastAsia="Arial" w:hAnsi="Arial"/>
          <w:sz w:val="18"/>
          <w:szCs w:val="18"/>
          <w:color w:val="auto"/>
        </w:rPr>
        <w:t>Potential number of shares issuable upon exercise of in-the-money stock options under the Long-term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diluted common shares outstanding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 Retirement Obligations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0.3</w:t>
      </w:r>
    </w:p>
    <w:p>
      <w:pPr>
        <w:spacing w:after="0" w:line="90" w:lineRule="exact"/>
        <w:rPr>
          <w:sz w:val="20"/>
          <w:szCs w:val="20"/>
          <w:color w:val="auto"/>
        </w:rPr>
      </w:pPr>
    </w:p>
    <w:p>
      <w:pPr>
        <w:jc w:val="right"/>
        <w:ind w:right="240"/>
        <w:spacing w:after="0"/>
        <w:rPr>
          <w:sz w:val="20"/>
          <w:szCs w:val="20"/>
          <w:color w:val="auto"/>
        </w:rPr>
      </w:pPr>
      <w:r>
        <w:rPr>
          <w:rFonts w:ascii="Arial" w:cs="Arial" w:eastAsia="Arial" w:hAnsi="Arial"/>
          <w:sz w:val="15"/>
          <w:szCs w:val="15"/>
          <w:b w:val="1"/>
          <w:bCs w:val="1"/>
          <w:color w:val="auto"/>
        </w:rPr>
        <w:t>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73660</wp:posOffset>
            </wp:positionV>
            <wp:extent cx="805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63500</wp:posOffset>
            </wp:positionV>
            <wp:extent cx="7886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934" w:lineRule="exact"/>
        <w:rPr>
          <w:sz w:val="20"/>
          <w:szCs w:val="20"/>
          <w:color w:val="auto"/>
        </w:rPr>
      </w:pPr>
    </w:p>
    <w:p>
      <w:pPr>
        <w:sectPr>
          <w:pgSz w:w="11900" w:h="16838" w:orient="portrait"/>
          <w:cols w:equalWidth="0" w:num="3">
            <w:col w:w="8820" w:space="720"/>
            <w:col w:w="640" w:space="720"/>
            <w:col w:w="520"/>
          </w:cols>
          <w:pgMar w:left="240" w:top="580" w:right="239" w:bottom="1440" w:gutter="0" w:footer="0" w:header="0"/>
          <w:type w:val="continuous"/>
        </w:sectPr>
      </w:pPr>
    </w:p>
    <w:p>
      <w:pPr>
        <w:spacing w:after="0" w:line="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QEP records asset retirement obligations (ARO) when there are legal obligations associated with the retirement of tangible long-lived assets. The Company's ARO liability applies primarily to abandonment costs associated with oil and gas wells, production facilities, midstream assets,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$205.4 million and $193.6 million ARO liability for the periods ended March 31, 2014 and December 31, 2013, $1.1 million and $1.8 million was included, respectively, as a current liability in "Accounts payable and accrued expenses" on the Condensed Consolidated Balance Sheets.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The following is a reconciliation of the changes in the Company's ARO for the periods specified below:</w:t>
            </w: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Asset Retirement Obligations</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Additions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1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w:t>
            </w:r>
          </w:p>
        </w:tc>
        <w:tc>
          <w:tcPr>
            <w:tcW w:w="14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ARO liability at March 31,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205.4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880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Additions includes $9.7 million related to the Permian Basin Acquisition.</w:t>
            </w: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QEP measures and discloses fair values in accordance with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QEP has determined that its commodity derivative instruments are Level 2. The Level 2 fair value of commodity derivative contracts (see Note 8 -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QEP has interest rate swaps that it has determined are Level 2 financial instruments. The fair values of the interest rate swaps are determined using the market standard methodology of discounting the future expected cash flows that would occur under the contractual terms of the swap. The variable interest rates used in the calculation of projected cash flows are based on an expectation of future interest rates derived from observable market interest rate curves. QEP incorporates credit valuation adjustments to reflect both its nonperformance risk and the respective counterparty's nonperformance risk in the fair value measurements. While the credit valuation adjustments are not observable inputs, they are not significant to the overall valuation and the other inputs used to value the interest rate swaps are observable Level 2 inputs.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fair value of financial assets and liabilities at March 31, 2014, is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1020"/>
              <w:spacing w:after="0"/>
              <w:rPr>
                <w:sz w:val="20"/>
                <w:szCs w:val="20"/>
                <w:color w:val="auto"/>
              </w:rPr>
            </w:pPr>
            <w:r>
              <w:rPr>
                <w:rFonts w:ascii="Arial" w:cs="Arial" w:eastAsia="Arial" w:hAnsi="Arial"/>
                <w:sz w:val="18"/>
                <w:szCs w:val="18"/>
                <w:b w:val="1"/>
                <w:bCs w:val="1"/>
                <w:color w:val="auto"/>
                <w:w w:val="93"/>
              </w:rPr>
              <w:t>March 31, 2014</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Presented on the</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68"/>
        </w:trPr>
        <w:tc>
          <w:tcPr>
            <w:tcW w:w="424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Balance Sheets</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304"/>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9.2</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84"/>
        </w:trPr>
        <w:tc>
          <w:tcPr>
            <w:tcW w:w="424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4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5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80.0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74.7</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40" w:firstLine="8"/>
        <w:spacing w:after="0" w:line="287" w:lineRule="auto"/>
        <w:tabs>
          <w:tab w:leader="none" w:pos="178"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Sheets as the contracts contain netting provisions. Refer to Note 8 - Derivative Contracts, for additional information regarding the Company's derivative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at December 31, 2013, is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9"/>
              </w:rPr>
              <w:t>Fair Value Measurements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8"/>
              </w:rPr>
              <w:t>December 31, 2013</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4"/>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center"/>
              <w:ind w:right="100"/>
              <w:spacing w:after="0"/>
              <w:rPr>
                <w:sz w:val="20"/>
                <w:szCs w:val="20"/>
                <w:color w:val="auto"/>
              </w:rPr>
            </w:pPr>
            <w:r>
              <w:rPr>
                <w:rFonts w:ascii="Arial" w:cs="Arial" w:eastAsia="Arial" w:hAnsi="Arial"/>
                <w:sz w:val="18"/>
                <w:szCs w:val="18"/>
                <w:color w:val="auto"/>
                <w:w w:val="92"/>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6"/>
              </w:rPr>
              <w:t>Presented on the</w:t>
            </w:r>
          </w:p>
        </w:tc>
        <w:tc>
          <w:tcPr>
            <w:tcW w:w="0" w:type="dxa"/>
            <w:vAlign w:val="bottom"/>
          </w:tcPr>
          <w:p>
            <w:pPr>
              <w:spacing w:after="0"/>
              <w:rPr>
                <w:sz w:val="1"/>
                <w:szCs w:val="1"/>
                <w:color w:val="auto"/>
              </w:rPr>
            </w:pPr>
          </w:p>
        </w:tc>
      </w:tr>
      <w:tr>
        <w:trPr>
          <w:trHeight w:val="82"/>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Netting</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Consolidated Balance</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6"/>
              </w:rPr>
              <w:t>Level 2</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300"/>
              <w:spacing w:after="0" w:line="257" w:lineRule="exact"/>
              <w:rPr>
                <w:sz w:val="20"/>
                <w:szCs w:val="20"/>
                <w:color w:val="auto"/>
              </w:rPr>
            </w:pPr>
            <w:r>
              <w:rPr>
                <w:rFonts w:ascii="Arial" w:cs="Arial" w:eastAsia="Arial" w:hAnsi="Arial"/>
                <w:sz w:val="18"/>
                <w:szCs w:val="18"/>
                <w:color w:val="auto"/>
                <w:w w:val="88"/>
              </w:rPr>
              <w:t>Adjustments</w:t>
            </w:r>
            <w:r>
              <w:rPr>
                <w:rFonts w:ascii="Arial" w:cs="Arial" w:eastAsia="Arial" w:hAnsi="Arial"/>
                <w:sz w:val="25"/>
                <w:szCs w:val="25"/>
                <w:color w:val="auto"/>
                <w:w w:val="88"/>
                <w:vertAlign w:val="superscript"/>
              </w:rPr>
              <w:t>(1)</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Sheets</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40" w:firstLine="8"/>
        <w:spacing w:after="0" w:line="287"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Sheets as the contracts contain netting provisions. Refer to Note 8 - Derivative Contracts, for additional information regarding the Company's derivative contracts.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34"/>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4"/>
          </w:tcPr>
          <w:p>
            <w:pPr>
              <w:ind w:left="540"/>
              <w:spacing w:after="0"/>
              <w:rPr>
                <w:sz w:val="20"/>
                <w:szCs w:val="20"/>
                <w:color w:val="auto"/>
              </w:rPr>
            </w:pPr>
            <w:r>
              <w:rPr>
                <w:rFonts w:ascii="Arial" w:cs="Arial" w:eastAsia="Arial" w:hAnsi="Arial"/>
                <w:sz w:val="18"/>
                <w:szCs w:val="18"/>
                <w:b w:val="1"/>
                <w:bCs w:val="1"/>
                <w:color w:val="auto"/>
              </w:rPr>
              <w:t>March 31, 2014</w:t>
            </w:r>
          </w:p>
        </w:tc>
        <w:tc>
          <w:tcPr>
            <w:tcW w:w="220" w:type="dxa"/>
            <w:vAlign w:val="bottom"/>
          </w:tcPr>
          <w:p>
            <w:pPr>
              <w:spacing w:after="0"/>
              <w:rPr>
                <w:sz w:val="21"/>
                <w:szCs w:val="21"/>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2013</w:t>
            </w:r>
          </w:p>
        </w:tc>
      </w:tr>
      <w:tr>
        <w:trPr>
          <w:trHeight w:val="34"/>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3,919.2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4,018.0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2,997.5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3,034.9</w:t>
            </w:r>
          </w:p>
        </w:tc>
      </w:tr>
    </w:tbl>
    <w:p>
      <w:pPr>
        <w:spacing w:after="0" w:line="2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initial measurement of asset retirement obligations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remaining reserve lives. A reconciliation of the Company’s asset retirement obligations is presented in Note 6 – Asset Retirement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Contracts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100.0% of forecasted production from proved reserves. In addition, QEP may enter into commodity derivative contracts on a portion of its extracted NGL volumes in its midstream business and a portion of its gas sales and purchases for marketing transactions. QEP does not enter into commodity derivative instruments for speculative purposes.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 uses commodity derivative instruments known as fixed-price swaps to realize a known price for a specific volume of production delivered into a regional sales point. QEP's commodity derivative instruments do not require the physical delivery of gas, oil, or NGL between the parties at settlement. Swap transactions are settled in cash with one party paying the other for the net difference in prices, multiplied by the contract volume, for the settlement period. Gas price derivative instruments are typically structured as fixed-price swaps at regional price indices. Oil price derivative instruments are typically structured as NYMEX fixed-price swaps based at Cushing, Oklahoma or oil price swaps that use IntercontinentalExchange, Inc. (ICE), Brent oil prices as the reference price. QEP also enters into crude oil basis swaps to achieve a fixed price swap for a portion of its oil that it sells at prices that reference ICE Brent and Light Louisiana Sweet (LLS).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Effective January 1, 2012, QEP elected to de-designate all of its gas, oil and NGL derivative contracts that were previously designated as cash flow hedges and discontinue hedge accounting prospectively. As a result of discontinuing hedge accounting, the mark-to-market values at December 31, 2011, were fixed in Accumulated Other Comprehensive Income (AOCI) as of the de-designation date and are being reclassified into the Condensed Consolidated Statements of Operations as the transactions settle and affect earnings. As of December 31, 2013, all mark-to-market value was reclassified from AOCI. During the three months ended March 31, 2013, $20.1 million of unrealized gains, after tax, were reclassified from AOCI into the Condensed Consolidated Statements of Operations in "Realized and unrealized losses on derivative contracts" as the transactions settled.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ind w:right="680"/>
        <w:spacing w:after="0" w:line="308" w:lineRule="auto"/>
        <w:rPr>
          <w:sz w:val="20"/>
          <w:szCs w:val="20"/>
          <w:color w:val="auto"/>
        </w:rPr>
      </w:pPr>
      <w:r>
        <w:rPr>
          <w:rFonts w:ascii="Arial" w:cs="Arial" w:eastAsia="Arial" w:hAnsi="Arial"/>
          <w:sz w:val="17"/>
          <w:szCs w:val="17"/>
          <w:color w:val="auto"/>
        </w:rPr>
        <w:t>All realized and unrealized gains and losses from derivative instruments incurred after January 1, 2012, are presented in the Condensed Consolidated Statements of Operations in "Realized and unrealized losses on derivative contracts" below operating income.</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QEP also uses interest rate swaps to mitigate a portion of its exposure to interest rate volatility risk associated with its $600.0 million term loan. For the $300.0 million term loan issued during 2012, QEP locked in a fixed interest rate of 1.07% in exchange for a variable interest rate indexed to the one-month LIBOR. For the incremental $300.0 million borrowed under the term loan during 2014, QEP locked in a fixed interest rate of 0.86%. The average effective interest rate on the $600.0 million term loan is 2.96%. The interest rate swaps settle monthly and will mature in March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quantities and average prices for its commodity derivative contracts as of March 31, 2014:</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Average Swap</w:t>
            </w:r>
          </w:p>
        </w:tc>
      </w:tr>
      <w:tr>
        <w:trPr>
          <w:trHeight w:val="230"/>
        </w:trPr>
        <w:tc>
          <w:tcPr>
            <w:tcW w:w="4020" w:type="dxa"/>
            <w:vAlign w:val="bottom"/>
            <w:gridSpan w:val="2"/>
          </w:tcPr>
          <w:p>
            <w:pPr>
              <w:ind w:left="178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2"/>
              </w:rPr>
              <w:t>price per unit</w:t>
            </w:r>
          </w:p>
        </w:tc>
      </w:tr>
      <w:tr>
        <w:trPr>
          <w:trHeight w:val="34"/>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60"/>
              <w:spacing w:after="0"/>
              <w:rPr>
                <w:sz w:val="20"/>
                <w:szCs w:val="20"/>
                <w:color w:val="auto"/>
              </w:rPr>
            </w:pPr>
            <w:r>
              <w:rPr>
                <w:rFonts w:ascii="Arial" w:cs="Arial" w:eastAsia="Arial" w:hAnsi="Arial"/>
                <w:sz w:val="18"/>
                <w:szCs w:val="18"/>
                <w:color w:val="auto"/>
              </w:rPr>
              <w:t>NYMEX</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rPr>
              <w:t>NYMEX</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Oil sales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92.61</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87.64</w:t>
            </w:r>
          </w:p>
        </w:tc>
      </w:tr>
      <w:tr>
        <w:trPr>
          <w:trHeight w:val="459"/>
        </w:trPr>
        <w:tc>
          <w:tcPr>
            <w:tcW w:w="6420" w:type="dxa"/>
            <w:vAlign w:val="bottom"/>
            <w:gridSpan w:val="4"/>
          </w:tcPr>
          <w:p>
            <w:pPr>
              <w:spacing w:after="0"/>
              <w:rPr>
                <w:sz w:val="20"/>
                <w:szCs w:val="20"/>
                <w:color w:val="auto"/>
              </w:rPr>
            </w:pPr>
            <w:r>
              <w:rPr>
                <w:rFonts w:ascii="Arial" w:cs="Arial" w:eastAsia="Arial" w:hAnsi="Arial"/>
                <w:sz w:val="18"/>
                <w:szCs w:val="18"/>
                <w:color w:val="auto"/>
                <w:w w:val="98"/>
              </w:rPr>
              <w:t>The following table sets forth QEP Energy's oil basis swaps as of March 31, 2014:</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5"/>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2"/>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r>
      <w:tr>
        <w:trPr>
          <w:trHeight w:val="230"/>
        </w:trPr>
        <w:tc>
          <w:tcPr>
            <w:tcW w:w="4020" w:type="dxa"/>
            <w:vAlign w:val="bottom"/>
            <w:gridSpan w:val="2"/>
          </w:tcPr>
          <w:p>
            <w:pPr>
              <w:ind w:left="178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Index Less Differential</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7"/>
              </w:rPr>
              <w:t>Differential</w:t>
            </w:r>
          </w:p>
        </w:tc>
      </w:tr>
      <w:tr>
        <w:trPr>
          <w:trHeight w:val="34"/>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20" w:type="dxa"/>
            <w:vAlign w:val="bottom"/>
            <w:gridSpan w:val="2"/>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Oil basis swaps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ICE Brent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13.78</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24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Marketing Derivative Contracts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 Marketing enters into commodity derivative transactions to lock in a margin on gas volumes placed into storage and for marketing transactions in which QEP Marketing sells gas volumes at a fixed price. The following table sets forth QEP Marketing’s volumes and swap prices for its commodity derivative contracts as of March 31,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price</w:t>
            </w:r>
          </w:p>
        </w:tc>
      </w:tr>
      <w:tr>
        <w:trPr>
          <w:trHeight w:val="230"/>
        </w:trPr>
        <w:tc>
          <w:tcPr>
            <w:tcW w:w="4020" w:type="dxa"/>
            <w:vAlign w:val="bottom"/>
            <w:gridSpan w:val="2"/>
          </w:tcPr>
          <w:p>
            <w:pPr>
              <w:ind w:left="178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9"/>
              </w:rPr>
              <w:t>per MMBtu</w:t>
            </w:r>
          </w:p>
        </w:tc>
      </w:tr>
      <w:tr>
        <w:trPr>
          <w:trHeight w:val="34"/>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702"/>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QEP's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QEP’s notional amount and interest rate for its interest rate swaps outstanding as of March 31,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3"/>
              </w:rPr>
              <w:t>Notional amount</w:t>
            </w:r>
          </w:p>
        </w:tc>
        <w:tc>
          <w:tcPr>
            <w:tcW w:w="120" w:type="dxa"/>
            <w:vAlign w:val="bottom"/>
          </w:tcPr>
          <w:p>
            <w:pPr>
              <w:spacing w:after="0"/>
              <w:rPr>
                <w:sz w:val="20"/>
                <w:szCs w:val="20"/>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Maturity</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Fixed Rate Paid</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Variable Rate Received</w:t>
            </w:r>
          </w:p>
        </w:tc>
      </w:tr>
      <w:tr>
        <w:trPr>
          <w:trHeight w:val="34"/>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2017</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One-month LIBOR</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0"/>
              </w:rPr>
              <w:t>$300.0</w:t>
            </w:r>
          </w:p>
        </w:tc>
        <w:tc>
          <w:tcPr>
            <w:tcW w:w="120" w:type="dxa"/>
            <w:vAlign w:val="bottom"/>
          </w:tcPr>
          <w:p>
            <w:pPr>
              <w:spacing w:after="0"/>
              <w:rPr>
                <w:sz w:val="21"/>
                <w:szCs w:val="21"/>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2017</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0.86%</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One-month LIBOR</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77"/>
        </w:trPr>
        <w:tc>
          <w:tcPr>
            <w:tcW w:w="3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$600.0</w:t>
            </w:r>
          </w:p>
        </w:tc>
        <w:tc>
          <w:tcPr>
            <w:tcW w:w="1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0.96%</w:t>
            </w:r>
          </w:p>
        </w:tc>
        <w:tc>
          <w:tcPr>
            <w:tcW w:w="10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spacing w:after="0"/>
              <w:rPr>
                <w:sz w:val="24"/>
                <w:szCs w:val="24"/>
                <w:color w:val="auto"/>
              </w:rPr>
            </w:pPr>
          </w:p>
        </w:tc>
      </w:tr>
      <w:tr>
        <w:trPr>
          <w:trHeight w:val="20"/>
        </w:trPr>
        <w:tc>
          <w:tcPr>
            <w:tcW w:w="3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in the Condensed Consolidated Balance Sheets and the related fair values at the balance sheet dates: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87"/>
              </w:rPr>
              <w:t>Gross asset derivative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1"/>
              </w:rPr>
              <w:t>Gross liability derivative</w:t>
            </w:r>
          </w:p>
        </w:tc>
        <w:tc>
          <w:tcPr>
            <w:tcW w:w="56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0"/>
              </w:rPr>
              <w:t>instruments fair value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0"/>
              </w:rPr>
              <w:t>instruments fair value</w:t>
            </w:r>
          </w:p>
        </w:tc>
        <w:tc>
          <w:tcPr>
            <w:tcW w:w="560" w:type="dxa"/>
            <w:vAlign w:val="bottom"/>
          </w:tcPr>
          <w:p>
            <w:pPr>
              <w:spacing w:after="0"/>
              <w:rPr>
                <w:sz w:val="20"/>
                <w:szCs w:val="20"/>
                <w:color w:val="auto"/>
              </w:rPr>
            </w:pPr>
          </w:p>
        </w:tc>
      </w:tr>
      <w:tr>
        <w:trPr>
          <w:trHeight w:val="34"/>
        </w:trPr>
        <w:tc>
          <w:tcPr>
            <w:tcW w:w="1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5"/>
        </w:trPr>
        <w:tc>
          <w:tcPr>
            <w:tcW w:w="1840" w:type="dxa"/>
            <w:vAlign w:val="bottom"/>
          </w:tcPr>
          <w:p>
            <w:pPr>
              <w:spacing w:after="0"/>
              <w:rPr>
                <w:sz w:val="19"/>
                <w:szCs w:val="19"/>
                <w:color w:val="auto"/>
              </w:rPr>
            </w:pPr>
          </w:p>
        </w:tc>
        <w:tc>
          <w:tcPr>
            <w:tcW w:w="2860" w:type="dxa"/>
            <w:vAlign w:val="bottom"/>
            <w:gridSpan w:val="2"/>
          </w:tcPr>
          <w:p>
            <w:pPr>
              <w:ind w:left="840"/>
              <w:spacing w:after="0"/>
              <w:rPr>
                <w:sz w:val="20"/>
                <w:szCs w:val="20"/>
                <w:color w:val="auto"/>
              </w:rPr>
            </w:pPr>
            <w:r>
              <w:rPr>
                <w:rFonts w:ascii="Arial" w:cs="Arial" w:eastAsia="Arial" w:hAnsi="Arial"/>
                <w:sz w:val="18"/>
                <w:szCs w:val="18"/>
                <w:b w:val="1"/>
                <w:bCs w:val="1"/>
                <w:color w:val="auto"/>
              </w:rPr>
              <w:t>Balance Sheet</w:t>
            </w:r>
          </w:p>
        </w:tc>
        <w:tc>
          <w:tcPr>
            <w:tcW w:w="26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ind w:left="1040"/>
              <w:spacing w:after="0"/>
              <w:rPr>
                <w:sz w:val="20"/>
                <w:szCs w:val="20"/>
                <w:color w:val="auto"/>
              </w:rPr>
            </w:pPr>
            <w:r>
              <w:rPr>
                <w:rFonts w:ascii="Arial" w:cs="Arial" w:eastAsia="Arial" w:hAnsi="Arial"/>
                <w:sz w:val="18"/>
                <w:szCs w:val="18"/>
                <w:b w:val="1"/>
                <w:bCs w:val="1"/>
                <w:color w:val="auto"/>
              </w:rPr>
              <w:t>line item</w:t>
            </w:r>
          </w:p>
        </w:tc>
        <w:tc>
          <w:tcPr>
            <w:tcW w:w="26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2013</w:t>
            </w: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2013</w:t>
            </w:r>
          </w:p>
        </w:tc>
      </w:tr>
      <w:tr>
        <w:trPr>
          <w:trHeight w:val="34"/>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18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3"/>
          </w:tcPr>
          <w:p>
            <w:pPr>
              <w:jc w:val="center"/>
              <w:ind w:left="230"/>
              <w:spacing w:after="0"/>
              <w:rPr>
                <w:sz w:val="20"/>
                <w:szCs w:val="20"/>
                <w:color w:val="auto"/>
              </w:rPr>
            </w:pPr>
            <w:r>
              <w:rPr>
                <w:rFonts w:ascii="Arial" w:cs="Arial" w:eastAsia="Arial" w:hAnsi="Arial"/>
                <w:sz w:val="18"/>
                <w:szCs w:val="18"/>
                <w:color w:val="auto"/>
                <w:w w:val="98"/>
              </w:rPr>
              <w:t>(in millions)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80" w:type="dxa"/>
            <w:vAlign w:val="bottom"/>
            <w:gridSpan w:val="3"/>
          </w:tcPr>
          <w:p>
            <w:pPr>
              <w:jc w:val="center"/>
              <w:ind w:left="250"/>
              <w:spacing w:after="0"/>
              <w:rPr>
                <w:sz w:val="20"/>
                <w:szCs w:val="20"/>
                <w:color w:val="auto"/>
              </w:rPr>
            </w:pPr>
            <w:r>
              <w:rPr>
                <w:rFonts w:ascii="Arial" w:cs="Arial" w:eastAsia="Arial" w:hAnsi="Arial"/>
                <w:sz w:val="18"/>
                <w:szCs w:val="18"/>
                <w:color w:val="auto"/>
                <w:w w:val="98"/>
              </w:rPr>
              <w:t>(in millions)</w:t>
            </w:r>
          </w:p>
        </w:tc>
        <w:tc>
          <w:tcPr>
            <w:tcW w:w="560" w:type="dxa"/>
            <w:vAlign w:val="bottom"/>
          </w:tcPr>
          <w:p>
            <w:pPr>
              <w:spacing w:after="0"/>
              <w:rPr>
                <w:sz w:val="21"/>
                <w:szCs w:val="21"/>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470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top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80.0</w:t>
            </w:r>
          </w:p>
        </w:tc>
        <w:tc>
          <w:tcPr>
            <w:tcW w:w="100" w:type="dxa"/>
            <w:vAlign w:val="bottom"/>
            <w:tcBorders>
              <w:top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effects of the change in fair value and settlement of QEP's derivative contracts recorded in "Realized and unrealized losses on derivative contracts"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are summarized in the following tables: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820" w:type="dxa"/>
            <w:vAlign w:val="bottom"/>
          </w:tcPr>
          <w:p>
            <w:pPr>
              <w:spacing w:after="0"/>
              <w:rPr>
                <w:sz w:val="23"/>
                <w:szCs w:val="23"/>
                <w:color w:val="auto"/>
              </w:rPr>
            </w:pPr>
          </w:p>
        </w:tc>
      </w:tr>
      <w:tr>
        <w:trPr>
          <w:trHeight w:val="34"/>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Derivative instruments not designated as cash flow hedges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2013</w:t>
            </w: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center"/>
              <w:ind w:left="490"/>
              <w:spacing w:after="0"/>
              <w:rPr>
                <w:sz w:val="20"/>
                <w:szCs w:val="20"/>
                <w:color w:val="auto"/>
              </w:rPr>
            </w:pPr>
            <w:r>
              <w:rPr>
                <w:rFonts w:ascii="Arial" w:cs="Arial" w:eastAsia="Arial" w:hAnsi="Arial"/>
                <w:sz w:val="18"/>
                <w:szCs w:val="18"/>
                <w:color w:val="auto"/>
                <w:w w:val="98"/>
              </w:rPr>
              <w:t>(in millions)</w:t>
            </w: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Energy</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QEP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84"/>
        </w:trPr>
        <w:tc>
          <w:tcPr>
            <w:tcW w:w="88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realized (losses) gains on commodity derivative contracts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23"/>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QEP Energy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Marketing</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7"/>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800" w:type="dxa"/>
            <w:vAlign w:val="bottom"/>
            <w:gridSpan w:val="2"/>
          </w:tcPr>
          <w:p>
            <w:pPr>
              <w:ind w:left="500"/>
              <w:spacing w:after="0"/>
              <w:rPr>
                <w:sz w:val="20"/>
                <w:szCs w:val="20"/>
                <w:color w:val="auto"/>
              </w:rPr>
            </w:pPr>
            <w:r>
              <w:rPr>
                <w:rFonts w:ascii="Arial" w:cs="Arial" w:eastAsia="Arial" w:hAnsi="Arial"/>
                <w:sz w:val="18"/>
                <w:szCs w:val="18"/>
                <w:color w:val="auto"/>
              </w:rPr>
              <w:t>Total unrealized losses on commodity derivative contracts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realized and unrealized losses on commodity derivative contracts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4"/>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Realized losses on interest rate swaps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Unrealized (losses) gains on interest rate swaps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realized and unrealized losses on interest rate swaps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Total net realized (losses) gains on derivative contracts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7"/>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unrealized losses on derivative contracts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64"/>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Grand 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Restructuring Costs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December 2013, QEP announced its plan to pursue a separation of its midstream business, QEP Field Services. In connection with this announcement, the Board of Directors approved an employee retention plan to provide substantially all QEP Field Services' employees as of December 1, 2013, with a one-time lump-sum cash payment on December 31, 2014, or whenever the separation of QEP Field Services occurs, whichever is earlier, conditioned on continued employment with QEP Field Services or a successor through the payment date unless the employee is terminated prior to such date.</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first quarter of 2012, QEP began incurring costs related to the closure of its Oklahoma City office and the subsequent consolidation of its Southern Region operations into a single regional office located in Tulsa. During the second half of 2012, QEP incurred additional restructuring and reorganization costs related to consolidating various corporate and accounting functions to the Denver corporate headquarters. The creation of one office for QEP’s Southern Region as well as the consolidation of corporate and accounting functions increased efficiency, team-based collaboration and organizational productivity. As part of the reorganization, QEP incurred costs associated with the severance, retention and relocation of employees, additional pension expenses, exit costs associated with the termination of operating leases arising from office space that will no longer be utilized by the Company and other expenses. All remaining restructuring costs related to the office consolidations were incurred during 2013.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ind w:right="60"/>
        <w:spacing w:after="0" w:line="308" w:lineRule="auto"/>
        <w:rPr>
          <w:sz w:val="20"/>
          <w:szCs w:val="20"/>
          <w:color w:val="auto"/>
        </w:rPr>
      </w:pPr>
      <w:r>
        <w:rPr>
          <w:rFonts w:ascii="Arial" w:cs="Arial" w:eastAsia="Arial" w:hAnsi="Arial"/>
          <w:sz w:val="17"/>
          <w:szCs w:val="17"/>
          <w:color w:val="auto"/>
        </w:rPr>
        <w:t>The following table summarizes, by line of business, each major type of restructuring cost expected to be incurred and the total amounts recorded in "General and administrative" expense on the Condensed Consolidated Statements of Operations for the respective periods indicated: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140"/>
              <w:spacing w:after="0"/>
              <w:rPr>
                <w:sz w:val="20"/>
                <w:szCs w:val="20"/>
                <w:color w:val="auto"/>
              </w:rPr>
            </w:pPr>
            <w:r>
              <w:rPr>
                <w:rFonts w:ascii="Arial" w:cs="Arial" w:eastAsia="Arial" w:hAnsi="Arial"/>
                <w:sz w:val="18"/>
                <w:szCs w:val="18"/>
                <w:b w:val="1"/>
                <w:bCs w:val="1"/>
                <w:color w:val="auto"/>
              </w:rPr>
              <w:t>Total Restructuring Costs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6"/>
          </w:tcPr>
          <w:p>
            <w:pPr>
              <w:ind w:left="920"/>
              <w:spacing w:after="0"/>
              <w:rPr>
                <w:sz w:val="20"/>
                <w:szCs w:val="20"/>
                <w:color w:val="auto"/>
              </w:rPr>
            </w:pPr>
            <w:r>
              <w:rPr>
                <w:rFonts w:ascii="Arial" w:cs="Arial" w:eastAsia="Arial" w:hAnsi="Arial"/>
                <w:sz w:val="18"/>
                <w:szCs w:val="18"/>
                <w:b w:val="1"/>
                <w:bCs w:val="1"/>
                <w:color w:val="auto"/>
                <w:w w:val="88"/>
              </w:rPr>
              <w:t>Recognized in Income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34"/>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r>
      <w:tr>
        <w:trPr>
          <w:trHeight w:val="245"/>
        </w:trPr>
        <w:tc>
          <w:tcPr>
            <w:tcW w:w="6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21"/>
                <w:szCs w:val="21"/>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Period from</w:t>
            </w:r>
          </w:p>
        </w:tc>
        <w:tc>
          <w:tcPr>
            <w:tcW w:w="200" w:type="dxa"/>
            <w:vAlign w:val="bottom"/>
          </w:tcPr>
          <w:p>
            <w:pPr>
              <w:spacing w:after="0"/>
              <w:rPr>
                <w:sz w:val="21"/>
                <w:szCs w:val="21"/>
                <w:color w:val="auto"/>
              </w:rPr>
            </w:pPr>
          </w:p>
        </w:tc>
        <w:tc>
          <w:tcPr>
            <w:tcW w:w="196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w w:val="95"/>
              </w:rPr>
              <w:t>Three Months Ended</w:t>
            </w:r>
          </w:p>
        </w:tc>
      </w:tr>
      <w:tr>
        <w:trPr>
          <w:trHeight w:val="248"/>
        </w:trPr>
        <w:tc>
          <w:tcPr>
            <w:tcW w:w="6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Expected to</w:t>
            </w:r>
          </w:p>
        </w:tc>
        <w:tc>
          <w:tcPr>
            <w:tcW w:w="12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Inception to</w:t>
            </w:r>
          </w:p>
        </w:tc>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243"/>
        </w:trPr>
        <w:tc>
          <w:tcPr>
            <w:tcW w:w="6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be Incurred</w:t>
            </w:r>
          </w:p>
        </w:tc>
        <w:tc>
          <w:tcPr>
            <w:tcW w:w="12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2014</w:t>
            </w:r>
          </w:p>
        </w:tc>
        <w:tc>
          <w:tcPr>
            <w:tcW w:w="20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r>
      <w:tr>
        <w:trPr>
          <w:trHeight w:val="34"/>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Energy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Field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Marketing</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QEP</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restructuring liability, by line of business, which is included within “Accounts payable and accrued expenses”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QEP Field</w:t>
            </w:r>
          </w:p>
        </w:tc>
        <w:tc>
          <w:tcPr>
            <w:tcW w:w="16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QEP</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QEP Energy</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Marketing</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4"/>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00"/>
              <w:spacing w:after="0"/>
              <w:rPr>
                <w:sz w:val="20"/>
                <w:szCs w:val="20"/>
                <w:color w:val="auto"/>
              </w:rPr>
            </w:pPr>
            <w:r>
              <w:rPr>
                <w:rFonts w:ascii="Arial" w:cs="Arial" w:eastAsia="Arial" w:hAnsi="Arial"/>
                <w:sz w:val="18"/>
                <w:szCs w:val="18"/>
                <w:color w:val="auto"/>
              </w:rPr>
              <w:t>(in millions)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ind w:left="8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paid or otherwise settled</w:t>
            </w:r>
          </w:p>
        </w:tc>
        <w:tc>
          <w:tcPr>
            <w:tcW w:w="17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8"/>
                <w:szCs w:val="18"/>
                <w:color w:val="auto"/>
              </w:rPr>
              <w:t>Balance at March 31, 2014</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tcPr>
          <w:p>
            <w:pPr>
              <w:ind w:left="8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780" w:type="dxa"/>
            <w:vAlign w:val="bottom"/>
            <w:vMerge w:val="restart"/>
          </w:tcPr>
          <w:p>
            <w:pPr>
              <w:jc w:val="right"/>
              <w:ind w:right="17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 Debt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the indicated dates, the principal amount of QEP’s debt, including amounts outstanding under its and QEP Midstream's revolving credit facilities, QEP's term loan and QEP's senior notes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2013</w:t>
            </w:r>
          </w:p>
        </w:tc>
      </w:tr>
      <w:tr>
        <w:trPr>
          <w:trHeight w:val="34"/>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4"/>
          </w:tcPr>
          <w:p>
            <w:pPr>
              <w:jc w:val="right"/>
              <w:ind w:right="1110"/>
              <w:spacing w:after="0"/>
              <w:rPr>
                <w:sz w:val="20"/>
                <w:szCs w:val="20"/>
                <w:color w:val="auto"/>
              </w:rPr>
            </w:pPr>
            <w:r>
              <w:rPr>
                <w:rFonts w:ascii="Arial" w:cs="Arial" w:eastAsia="Arial" w:hAnsi="Arial"/>
                <w:sz w:val="18"/>
                <w:szCs w:val="18"/>
                <w:color w:val="auto"/>
              </w:rPr>
              <w:t>(in millions)</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QEP's revolving credit facility due 2016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QEP Midstream's revolving credit facility due 2018</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due 2017</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6.05% Senior Notes due 2016</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176.8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2018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6.80% Senior Notes due 2020</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6.875% Senior Notes due 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5.375% Senior Notes due 2022</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5.25% Senior Notes due 2023</w:t>
            </w:r>
          </w:p>
        </w:tc>
        <w:tc>
          <w:tcPr>
            <w:tcW w:w="2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r>
      <w:tr>
        <w:trPr>
          <w:trHeight w:val="28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principal amount of debt</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3,923.3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3,001.8</w:t>
            </w:r>
          </w:p>
        </w:tc>
      </w:tr>
      <w:tr>
        <w:trPr>
          <w:trHeight w:val="271"/>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unamortized discount</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Total long-term debt outstanding</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3,919.2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2,997.5</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 the total debt outstanding on March 31, 2014, amounts outstanding under QEP's revolving credit facility due August 25, 2016, QEP Midstream's revolving credit facility due August 14, 2018, QEP's term loan due April 18, 2017, the 6.05% Senior Notes due September 1, 2016, and the 6.80% Senior Notes due April 1, 2018, will mature within the next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QEP's Credit Facility</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QEP’s unsecured revolving credit facility, which matures in August 2016, provides for loan commitments of $1.5 billion from a syndicate of financial institutions. The credit facility provides for borrowings at short-term interest rates and contains customary covenants and restrictions. The credit facility also contains an accordion provision that would allow for the amount of the facility to be increased to $2.0 billion and a provision whereby the maturity can be extended for up to two additional one-year periods, with the agreement of the lenders.</w:t>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months ended March 31, 2014 and 2013, QEP’s weighted-average interest rate on borrowings from its credit facility was 2.19% and 2.35%, respectively. At March 31, 2014 and December 31, 2013, QEP was in compliance with the covenants under the credit agreement. At March 31, 2014, there was $1,101.5 million outstanding and $3.8 million of letters of credit issued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Midstream's Credit Facility</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August 14, 2013, QEP Midstream entered into a $500.0 million senior secured revolving credit facility with a group of financial institutions, which matures on August 14, 2018. QEP Midstream's credit facility contains an accordion provision that allows for the amount of the facility to be increased to $750.0 million with the agreement of the lenders. QEP Midstream's credit facility is available for QEP Midstream's working capital, capital expenditures, permitted acquisitions and general corporate purposes, including distributions. Substantially all of QEP Midstream's assets, excluding equity in and assets of certain joint ventures and unrestricted subsidiaries, are pledged as collateral under the credit facility. In addition, the credit agreement contains restrictions and events of default customary for agreements of this nature.</w:t>
      </w:r>
    </w:p>
    <w:p>
      <w:pPr>
        <w:spacing w:after="0" w:line="1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borrowings under QEP Midstream's credit facility, and at March 31, 2014, and December 31, 2013, QEP Midstream was in compliance with the covenants under the QEP Midstream credit agreement.</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QEP is not a borrower or guarantor of QEP Midstream's credit facility. In addition, QEP is not subject to any of the restrictions or covenants contained in QEP Midstream's credit agreement. Outstanding indebtedness under QEP Midstream's credit facility is not included in the definition of indebtedness under QEP's credit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QEP's $600.0 million unsecured term loan facility provides for borrowings at short-term interest rates and contains covenants, restrictions, and interest rates that are substantially the same as QEP’s revolving credit facility. The term loan matures in April 2017, and the maturity date may be extended one year with the agreement of the lenders. In conjunction with the Permian Basin Acquisition, QEP borrowed the incremental $300.0 million available under the facility and increased total borrowings under the term loan to $600.0 million. There were no changes to the maturity date, pricing or covenants in the credit agreement. QEP incurred $1.1 million of debt issuance costs associated with the new term loan issuance.</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March 31, 2014 and 2013, QEP’s weighted-average interest rate on borrowings from the term loan was 1.59% and 2.26%, respectively. At March 31, 2014 and December 31, 2013, QEP was in compliance with the covenants under the term loan credit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At March 31, 2014,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Contingencies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an accrual is recorded for a loss contingency when its occurrence is probable and damages can be reasonably estimated based on the anticipated most likely outcome or the minimum amount within a range of possible outcomes. Because legal proceedings are inherently unpredictable and unfavorable resolutions could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and/or the ongoing discovery and development of information important to the matter. QEP's litigation loss contingencies are discussed below. QEP is unable to estimate reasonably possible losses in excess of recorded accruals for these contingencies for the reasons set forth above. QEP believes, however, that the resolution of pending proceedings (after accruals and insurance coverage) will not be material to QEP's financial position, but could be material to results of operations in a particular quarter or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October 2009, QEP received a cease and desist order from the U.S. Army Corps of Engineers (COE) to refrain from unpermitted work resulting in the discharge of dredged and/or fill material into waters of the United States at three sites located in Caddo and Red River Parishes, Louisiana. Region 6 of the U.S. Environmental Protection Agency (EPA) has assumed lead responsibility for enforcement of the cease and desist order and any possible future orders for the removal of unauthorized fills and/or civil penalties under the Clean Water Act. On June 28, 2013, the EPA issued to QEP an Administrative Complaint for the alleged violations. QEP and the EPA reached an agreement to settle the alleged violations through an Administrative Order, under the terms of which QEP paid an administrative penalty of $0.2 million. The Administrative Order is final. In 2012, QEP completed a field audit, which identified 112 additional instances affecting approximately 90 acres where work may have been conducted in violation of the Clean Water Act. QEP has disclosed each of these instances to the EPA under the EPA's Audit Policy (to reduce penalties) and to the COE. QEP is working with the EPA and the COE to resolve these matters, which will require the Company to undertake certain mitigation and permitting activities, and may require QEP to pay a monetary penalty.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In July 2010, QEP received a Notice of Potential Penalty (NOPP) from the Louisiana Department of Environmental Quality (LDEQ) regarding the assumption of ownership and operatorship of a single facility in Louisiana prior to transferring the facility's air quality permit. In 2011, QEP completed an internal audit, which identified 424 facilities in Louisiana for which QEP both failed to submit a complete permit application and to receive approval from the department prior to construction, modification, or operation. QEP has corrected and disclosed all instances of non-compliance to the LDEQ and is working with the department to resolve the NOPP. The LDEQ has assumed lead responsibility for enforcement of the NOPP, and may require the Company to pay a monetary penalty.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Questar Gas Company v. QEP Field Services Company</w:t>
      </w:r>
      <w:r>
        <w:rPr>
          <w:rFonts w:ascii="Arial" w:cs="Arial" w:eastAsia="Arial" w:hAnsi="Arial"/>
          <w:sz w:val="17"/>
          <w:szCs w:val="17"/>
          <w:color w:val="auto"/>
        </w:rPr>
        <w:t>, Civil No. 120902969, Third Judicial District Court, State of Utah. QEP Field Services' former</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Questar Gas Company (QGC), filed this complaint in state court in Utah on May 1, 2012, asserting claims for breach of contract, breach of implied covenant of good faith and fair dealing, and an accounting and declaratory judgment related to a 1993 gathering agreement (the 1993 Agreement) executed when the parties were affiliates. Specific monetary damages are not asserted. Under the 1993 Agreement, certain of QEP Field Services' systems provide gathering services to QGC charging an annual gathering rate which is based on the cost of service. QGC is disputing the annual calculation of the gathering rate. The annual gathering rate has been calculated in the same manner under the 1993 Agreement since it was amended in 1998, without any prior objection or challenge by QGC. At the closing of the Offering, the assets and agreement discussed above were assigned to QEP Midstream. QGC netted the disputed amount from its monthly payments of the gathering fees to QEP Field Services and has continued to net such amounts from its monthly payment to QEP Midstream. As of March 31, 2014, QEP Midstream has deferred revenue of $9.9 million related to the QGC disputed amount. QEP Field Services has filed counterclaims seeking damages and a declaratory judgment relating to its gathering services under the 1993 Agreement. QGC may seek to amend its complaint to add QEP Midstream as a defendant in the litigation. QEP Midstream has been indemnified by QEP for costs, expenses and other losses incurred by QEP Midstream in connection with the QGC dispute, subject to certain limitations, as set forth in the Omnibus Agreement entered into between QEP Midstream and QEP in connection with the IPO.</w:t>
      </w:r>
    </w:p>
    <w:p>
      <w:pPr>
        <w:spacing w:after="0" w:line="18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Rocky Mountain Resources, LLC v. QEP Energy Company, Wexpro Company, Ultra Resources, Inc. and Lance Oil &amp; Gas Company, Inc., </w:t>
      </w:r>
      <w:r>
        <w:rPr>
          <w:rFonts w:ascii="Arial" w:cs="Arial" w:eastAsia="Arial" w:hAnsi="Arial"/>
          <w:sz w:val="16"/>
          <w:szCs w:val="16"/>
          <w:color w:val="auto"/>
        </w:rPr>
        <w:t>Civil No. 2011-7816, District Court of Sublette County, Wyoming. Rocky Mountain Resources, LLC (Rocky Mountain) filed its complaint on March 30, 2011, seeking determination of the existence of a 4% overriding royalty interest in State of Wyoming oil and gas Lease No. 79-0645 covering Section 16, T32-N R-109-W, Sublette County, Wyoming. QEP and the other defendants are current lessees of Lease 79-0645. Rocky Mountain alleges that the defendants have received benefits from Lease 79-0645 and have failed to pay Rocky Mountain monies associated with the claimed 4% overriding royalty interest since the issuance of the lease by the State of Wyoming in 1980. Rocky Mountain asserts claims for quiet title, declaratory judgment, breach of contract, breach of duty of good faith, conversion, constructive trust and prejudgment interest. The plaintiffs seek damages, but specific monetary damages are not asserted.</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Gatti et al v. State of Louisiana et al, </w:t>
      </w:r>
      <w:r>
        <w:rPr>
          <w:rFonts w:ascii="Arial" w:cs="Arial" w:eastAsia="Arial" w:hAnsi="Arial"/>
          <w:sz w:val="17"/>
          <w:szCs w:val="17"/>
          <w:color w:val="auto"/>
        </w:rPr>
        <w:t>589,350, 19th JDC, Parish of East Baton Rouge, Louisiana. In this putative class action arising out of the unitization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and orders of the Louisiana Commissioner of Conservation (Commissioner), plaintiffs seek to represent a class of all Haynesville Shale mineral owners (alleged to be over 50,000 in number) against the Commissioner and all Haynesville Shale unit operators. Plaintiffs filed their complaint on April 8, 2010, and claim that the Commissioner exceeded his statutory authority in creating and perpetuating units larger than the area that can be efficiently and economically drained by a single well. They seek declaratory relief that would nullify all such improper orders, along with an unspecified amount of monetary damages from the unit operators sufficient to compensate the putative class members for the alleged dilution of their true interest in unit production as a result of "oversized" units and the "cloud on title" caused by having excessive and improperly sized units purport to hold their mineral leases via unit operations. All defendants filed exceptions to the plaintiffs' petition on the primary ground that plaintiffs had failed to comply with the exclusive statutory judicial review procedure (Louisiana Revised Statutes 30:12), which the trial court granted, dismissing the action in its entirety. On January 15, 2014, the Louisiana First Circuit Court of Appeal reversed and reinstated plaintiffs' claims. Defendants intend to seek review of the Louisiana Supreme Court, which review is discretionary.</w:t>
      </w:r>
    </w:p>
    <w:p>
      <w:pPr>
        <w:spacing w:after="0" w:line="18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Yannick Gagné and others similarly situated v. QEP Resources, Inc., No. 480-06-1-132, </w:t>
      </w:r>
      <w:r>
        <w:rPr>
          <w:rFonts w:ascii="Arial" w:cs="Arial" w:eastAsia="Arial" w:hAnsi="Arial"/>
          <w:sz w:val="17"/>
          <w:szCs w:val="17"/>
          <w:color w:val="auto"/>
        </w:rPr>
        <w:t>Superior Court, Province of Quebec, Canada. Plaintiffs seek to</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a class of all persons who sustained damages as a result of the July 6, 2013 train derailment in Lac-Mégantic, Quebec, which resulted in substantial loss of life and property. The fourth amended motion to authorize the bringing of a class action was filed on February 19, 2014, and names numerous defendants. The plaintiffs contend that QEP, and other producer defendants, sold Bakken crude oil to third-party purchasers in North Dakota, who resold the oil and transported it on the derailed train. The allegations are that QEP and the producer defendants, among other things, failed to ensure that the oil was adequately processed to remove volatile gases and vapors, knowingly added volatile light end petroleum liquids and/or vapors or blended the crude with condensate, failed to conduct adequate well site testing to determine the proper 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ind w:right="40"/>
        <w:spacing w:after="0" w:line="286" w:lineRule="auto"/>
        <w:rPr>
          <w:sz w:val="20"/>
          <w:szCs w:val="20"/>
          <w:color w:val="auto"/>
        </w:rPr>
      </w:pPr>
      <w:r>
        <w:rPr>
          <w:rFonts w:ascii="Arial" w:cs="Arial" w:eastAsia="Arial" w:hAnsi="Arial"/>
          <w:sz w:val="17"/>
          <w:szCs w:val="17"/>
          <w:color w:val="auto"/>
        </w:rPr>
        <w:t>azard classification of the oil, failed to properly classify the shipping requirements for the oil, failed to take reasonable care to ensure that the oil was properly labeled and shipped, failed to identify the risk of the train derailment and take action to prevent it, and failed to adopt, implement and enforce rules and procedures pertaining to the safe shipment of the oil. The plaintiffs seek damages, but specific monetary damages are not asserted.</w:t>
      </w:r>
    </w:p>
    <w:p>
      <w:pPr>
        <w:spacing w:after="0" w:line="16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XTO Energy Inc. v. QEP Field Services Company</w:t>
      </w:r>
      <w:r>
        <w:rPr>
          <w:rFonts w:ascii="Arial" w:cs="Arial" w:eastAsia="Arial" w:hAnsi="Arial"/>
          <w:sz w:val="18"/>
          <w:szCs w:val="18"/>
          <w:color w:val="auto"/>
        </w:rPr>
        <w:t>, Civil No. 140900709, Third Judicial District Court, State of Utah. XTO Energy Inc. (XTO), filed this</w:t>
      </w:r>
      <w:r>
        <w:rPr>
          <w:rFonts w:ascii="Arial" w:cs="Arial" w:eastAsia="Arial" w:hAnsi="Arial"/>
          <w:sz w:val="18"/>
          <w:szCs w:val="18"/>
          <w:i w:val="1"/>
          <w:iCs w:val="1"/>
          <w:color w:val="auto"/>
        </w:rPr>
        <w:t xml:space="preserve"> </w:t>
      </w:r>
      <w:r>
        <w:rPr>
          <w:rFonts w:ascii="Arial" w:cs="Arial" w:eastAsia="Arial" w:hAnsi="Arial"/>
          <w:sz w:val="18"/>
          <w:szCs w:val="18"/>
          <w:color w:val="auto"/>
        </w:rPr>
        <w:t>complaint in Utah state court on January 30, 2014, asserting claims for breach of contract, breach of implied covenant of good faith and fair dealing, unjust enrichment and an accounting related to a 2010 gas processing agreement (the Agreement). QEP Field Services processes XTO’s natural gas on a firm basis under the Agreement. The Agreement requires QEP Field Services to transport, fractionate and market XTO’s natural gas liquids derived from XTO’s processed gas. XTO is disputing QEP Field Services allocation of charges related to XTO’s share of natural gas liquid transportation, fractionation and marketing costs associated with shortfalls in contractual firm processing volumes. The plaintiffs seek damages, but specific monetary damages are not asserted.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Equity-Based Compensation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QEP issues stock options and restricted shares under its Long-Term Stock Incentive Plan (LTSIP) and awards performance-based share units under its Cash Incentive Plan (CIP) to certain officers, employees, and non-employee directors. QEP recognizes expense over time as the stock options, restricted shares, and performance-based share units vest. Deferred equity-based compensation is included in additional paid-in capital in the Condensed Consolidated Balance Sheets. There were 10.9 million shares available for future grants under the LTSIP at March 31, 2014. Equity-based compensation expense is recognized in “General and administrative” on the Condensed Consolidated Statements of Operations. During the three months ended March 31, 2014, QEP recognized $6.8 million in total compensation expense related to equity-based compensation compared to $6.1 million during the three months ended March 31, 2013.</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Midstream maintains a unit-based compensation plan for officers, directors and employees of the general partner of QEP Midstream and its affiliates and any consultants, affiliates of the general partner, or other individuals who perform services for QEP Midstream. The QEP Midstream 2013 Long-Term Incentive Plan (the QEP Midstream LTIP) permits various types of awards, including awards of restricted units, phantom units, unit options, unit appreciation rights, distribution equivalent rights, profits interest units and other unit-based awards. Awards granted during 2013 under the QEP Midstream LTIP will be settled with QEP Midstream units. During the three months ended March 31, 2014, QEP recognized $0.4 million in compensation expense related to QEP Midstream LTIP.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the grant. Fair-value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calculated fair value of options granted and major assumptions used in the model at the date of grant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Stock Option Assumptions</w:t>
            </w:r>
          </w:p>
        </w:tc>
      </w:tr>
      <w:tr>
        <w:trPr>
          <w:trHeight w:val="270"/>
        </w:trPr>
        <w:tc>
          <w:tcPr>
            <w:tcW w:w="5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Three Months Ended</w:t>
            </w:r>
          </w:p>
        </w:tc>
      </w:tr>
      <w:tr>
        <w:trPr>
          <w:trHeight w:val="270"/>
        </w:trPr>
        <w:tc>
          <w:tcPr>
            <w:tcW w:w="5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March 31, 2014</w:t>
            </w:r>
          </w:p>
        </w:tc>
      </w:tr>
      <w:tr>
        <w:trPr>
          <w:trHeight w:val="34"/>
        </w:trPr>
        <w:tc>
          <w:tcPr>
            <w:tcW w:w="55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Weighted-average grant-date fair value of awards granted during the period</w:t>
            </w:r>
          </w:p>
        </w:tc>
        <w:tc>
          <w:tcPr>
            <w:tcW w:w="3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10.12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7"/>
        </w:trPr>
        <w:tc>
          <w:tcPr>
            <w:tcW w:w="5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0.25%</w:t>
            </w:r>
          </w:p>
        </w:tc>
      </w:tr>
      <w:tr>
        <w:trPr>
          <w:trHeight w:val="27"/>
        </w:trPr>
        <w:tc>
          <w:tcPr>
            <w:tcW w:w="5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w:t>
            </w:r>
          </w:p>
        </w:tc>
      </w:tr>
      <w:tr>
        <w:trPr>
          <w:trHeight w:val="675"/>
        </w:trPr>
        <w:tc>
          <w:tcPr>
            <w:tcW w:w="5540" w:type="dxa"/>
            <w:vAlign w:val="bottom"/>
          </w:tcPr>
          <w:p>
            <w:pPr>
              <w:spacing w:after="0"/>
              <w:rPr>
                <w:sz w:val="24"/>
                <w:szCs w:val="24"/>
                <w:color w:val="auto"/>
              </w:rPr>
            </w:pPr>
          </w:p>
        </w:tc>
        <w:tc>
          <w:tcPr>
            <w:tcW w:w="3060" w:type="dxa"/>
            <w:vAlign w:val="bottom"/>
          </w:tcPr>
          <w:p>
            <w:pPr>
              <w:jc w:val="right"/>
              <w:ind w:right="271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Weighted-Average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 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Contractual Term</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Intrinsic Value</w:t>
            </w:r>
          </w:p>
        </w:tc>
      </w:tr>
      <w:tr>
        <w:trPr>
          <w:trHeight w:val="34"/>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140" w:type="dxa"/>
            <w:vAlign w:val="bottom"/>
          </w:tcPr>
          <w:p>
            <w:pPr>
              <w:spacing w:after="0"/>
              <w:rPr>
                <w:sz w:val="21"/>
                <w:szCs w:val="21"/>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1,794,187</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279,458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Outstanding at March 31, 2014</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2,044,166</w:t>
            </w:r>
          </w:p>
        </w:tc>
        <w:tc>
          <w:tcPr>
            <w:tcW w:w="3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28.49</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5.2</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March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1,480,337</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Unvested Options at March 31, 2014</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563,829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30.93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r>
    </w:tbl>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total intrinsic value (the difference between the market price at the exercise date and the exercise price) of options exercised was $0.2 million and $4.2 million during the three months ended March 31, 2014 and 2013, respectively. The Company realized $0.1 million and $1.4 million of income tax benefit for the three months ended March 31, 2014 and 2013, respectively, which had no significant impact on Additional Paid-in-Capital (APIC) pool as of March 31, 2014. As of March 31, 2014, $4.7 million of unrecognized compensation cost related to stock options granted under the LTSIP is expected to be recognized over a weighted-average period of 2.43 years. During the three months ended March 31, 2014, QEP received $0.7 million in cash in relation to the exercise of stock options during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Restricted share grants typically vest in equal installments over a three-year period from the grant date. The grant date fair value is determined based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closing bid price of the Company's common stock on the grant date. The total fair value of restricted stock that vested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2014 and 2013, was $15.1 million and $14.8 million, respectively. The Company realized $1.5 million and $0.3 million of income tax expense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March 31, 2014 and 2013, respectively, with a $0.6 million impact to the Company's APIC pool as of March 31, 2014. The weighted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grant-date fair value of restricted stock was $31.69 per share and $30.12 per share for the three months ended March 31, 2014 and 2013,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2014, $35.5 million of unrecognized compensation cost related to restricted shares granted under the LTSIP is expected to be recognized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over a weighted-average vesting period of 2.53 years.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Average Grant-</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34"/>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1,388,953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844,552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31.69</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31.89</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31.28</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March 31, 2014</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1,690,663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31.03</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performance share units' cash payouts are dependent upon the Company’s total shareholder return compared to a group of its peers over a three-year period. The awards are denominated in share units but delivered in cash at the end of the performance period. The weighted average grant-date fair value of the performance share units was $31.69 per share and $30.12 per share for the three months ended March 31, 2014 and 2013, respectively. As of March 31, 2014, $12.8 million of unrecognized compensation cost, representing the fair market value of performance shares granted, is expected to be recognized over a weighted-average vesting period of 2.40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Average Grant-</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Units 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480,660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241,321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paid out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7"/>
        </w:trPr>
        <w:tc>
          <w:tcPr>
            <w:tcW w:w="83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Vested and canceled </w:t>
            </w:r>
            <w:r>
              <w:rPr>
                <w:rFonts w:ascii="Arial" w:cs="Arial" w:eastAsia="Arial" w:hAnsi="Arial"/>
                <w:sz w:val="25"/>
                <w:szCs w:val="25"/>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March 31, 2014</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614,961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____________________________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3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 w:hanging="314"/>
        <w:spacing w:after="0" w:line="211"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Represents units that vested but were not paid out. Payout of the performance share units are dependent upon the Company’s total shareholder return compared to a group of its peers over a three-year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maintains closed, defined-benefit pension and postretirement medical plans. QEP's pension plans include a qualified and a nonqualified retirement plan. The Company's postretirement medical plan is unfunded and provides certain health care and life insurance benefits for certain retired employees. During the three months ended March 31, 2014, the Company made contributions of $2.7 million to its funded qualified pension plan, and $0.9 million to its unfunded nonqualified retirement plan. Contributions to funded qualified plans increase plan assets while contributions to unfunded nonqualified plans are used to fund current benefit payments. During the remainder of 2014, the Company expects to contribute approximately $5.4 million to its funded qualified pension plan, $4.0 million to its unfunded nonqualified pension plans and approximately $0.2 million for retiree health care and life insurance benefits.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The following table sets forth the Company’s pension and postretirement benefits net periodic benefit costs: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85"/>
              </w:rPr>
              <w:t>Pension</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800" w:type="dxa"/>
            <w:vAlign w:val="bottom"/>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1"/>
                <w:szCs w:val="21"/>
                <w:color w:val="auto"/>
              </w:rPr>
            </w:pPr>
          </w:p>
        </w:tc>
        <w:tc>
          <w:tcPr>
            <w:tcW w:w="220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6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gridSpan w:val="3"/>
          </w:tcPr>
          <w:p>
            <w:pPr>
              <w:jc w:val="center"/>
              <w:ind w:right="290"/>
              <w:spacing w:after="0"/>
              <w:rPr>
                <w:sz w:val="20"/>
                <w:szCs w:val="20"/>
                <w:color w:val="auto"/>
              </w:rPr>
            </w:pPr>
            <w:r>
              <w:rPr>
                <w:rFonts w:ascii="Arial" w:cs="Arial" w:eastAsia="Arial" w:hAnsi="Arial"/>
                <w:sz w:val="18"/>
                <w:szCs w:val="18"/>
                <w:color w:val="auto"/>
                <w:w w:val="98"/>
              </w:rPr>
              <w:t>(in millions)</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880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25"/>
                <w:szCs w:val="25"/>
                <w:color w:val="auto"/>
                <w:vertAlign w:val="superscript"/>
              </w:rPr>
              <w:t>(1)</w:t>
            </w: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0" w:hanging="314"/>
        <w:spacing w:after="0" w:line="211"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and actuarial losses out of AOCI are recognized in the Condensed Consolidated Statements of Operations in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26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8"/>
              </w:rPr>
              <w:t>Postretirement Benefits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8800" w:type="dxa"/>
            <w:vAlign w:val="bottom"/>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1"/>
                <w:szCs w:val="21"/>
                <w:color w:val="auto"/>
              </w:rPr>
            </w:pPr>
          </w:p>
        </w:tc>
        <w:tc>
          <w:tcPr>
            <w:tcW w:w="226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2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3"/>
              </w:rPr>
              <w:t>March 31,</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gridSpan w:val="3"/>
          </w:tcPr>
          <w:p>
            <w:pPr>
              <w:jc w:val="center"/>
              <w:ind w:right="350"/>
              <w:spacing w:after="0"/>
              <w:rPr>
                <w:sz w:val="20"/>
                <w:szCs w:val="20"/>
                <w:color w:val="auto"/>
              </w:rPr>
            </w:pPr>
            <w:r>
              <w:rPr>
                <w:rFonts w:ascii="Arial" w:cs="Arial" w:eastAsia="Arial" w:hAnsi="Arial"/>
                <w:sz w:val="18"/>
                <w:szCs w:val="18"/>
                <w:color w:val="auto"/>
                <w:w w:val="98"/>
              </w:rPr>
              <w:t>(in millions)</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80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0.2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____________________________</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60" w:hanging="314"/>
        <w:spacing w:after="0" w:line="211"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out of AOCI are recognized in the Condensed Consolidated Statements of Operations in "General and administrative."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Operations by Line of Business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QEP’s lines of business include gas and oil exploration and production (QEP Energy), midstream field services (QEP Field Services), which includes the ownership and operation of QEP Midstream, and marketing and corporate (QEP Marketing &amp; Resources). The lines of business are managed separately and therefore the financial information is presented separately due to the distinct differences in the nature of operations of each line of business, among other factors. QEP Field Services owns a 57.8% ownership interest in QEP Midstream and it is consolidated under the voting interest model in QEP Field Services' operating results. The outside ownership interest in QEP Midstream is presented separately as a noncontrolling interest.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is a summary of operating results for the three months ended March 31, 2014,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883.9</w:t>
            </w: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312.1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883.9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224.3</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55.3</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Gas, oil and NGL transportation and other handling costs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43.4</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25.8</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56.6</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49.3</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240.2</w:t>
            </w: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699.1</w:t>
            </w: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gain from asset sales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w:t>
            </w: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Realized and unrealized losses on derivative contracts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(80.9)</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68.9</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45.5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r>
      <w:tr>
        <w:trPr>
          <w:trHeight w:val="297"/>
        </w:trPr>
        <w:tc>
          <w:tcPr>
            <w:tcW w:w="4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39.7</w:t>
            </w:r>
          </w:p>
        </w:tc>
      </w:tr>
      <w:tr>
        <w:trPr>
          <w:trHeight w:val="23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Identifiable 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9,004.1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10,579.6</w:t>
            </w:r>
          </w:p>
        </w:tc>
      </w:tr>
      <w:tr>
        <w:trPr>
          <w:trHeight w:val="27"/>
        </w:trPr>
        <w:tc>
          <w:tcPr>
            <w:tcW w:w="4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is a summary of operating results for the three months ended March 31, 2013,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696.5</w:t>
            </w: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Gas, oil and NGL transportation and other handling costs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254.2</w:t>
            </w: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631.5</w:t>
            </w: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gain (loss) from assets sales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Realized and unrealized losses on derivative contracts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304"/>
        </w:trPr>
        <w:tc>
          <w:tcPr>
            <w:tcW w:w="4460" w:type="dxa"/>
            <w:vAlign w:val="bottom"/>
          </w:tcPr>
          <w:p>
            <w:pPr>
              <w:ind w:left="200"/>
              <w:spacing w:after="0"/>
              <w:rPr>
                <w:sz w:val="20"/>
                <w:szCs w:val="20"/>
                <w:color w:val="auto"/>
              </w:rPr>
            </w:pPr>
            <w:r>
              <w:rPr>
                <w:rFonts w:ascii="Arial" w:cs="Arial" w:eastAsia="Arial" w:hAnsi="Arial"/>
                <w:sz w:val="18"/>
                <w:szCs w:val="18"/>
                <w:color w:val="auto"/>
              </w:rPr>
              <w:t>Net (loss) income attributable to QEP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total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7,756.8</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1,660.6</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294.9</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9,143.9</w:t>
            </w:r>
          </w:p>
        </w:tc>
      </w:tr>
      <w:tr>
        <w:trPr>
          <w:trHeight w:val="27"/>
        </w:trPr>
        <w:tc>
          <w:tcPr>
            <w:tcW w:w="4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Divestitures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May 2014, QEP Energy entered into three separate purchase and sale agreements related to the disposition of certain of its non-core properties in the Midcontinent Region and other non-core assets in the Northern Region for an aggregate sales price of approximately $807.5 million, subject to customary purchase price adjustments. The aggregate net book value of the properties being sold is approximately $886.0 million as of the effective date of the sale, January 1, 2014. Any gain or loss on the sale recorded by the Company will be determined based upon the final purchase price, which is subject to customary purchase price adjustments. The Company expects to close these transactions in the second quarter of 2014 and will use proceeds to repay indebtedness under our revolving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Field Services Divestiture</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May 2014, QEP Field Services entered into a purchase and sale agreement to sell 40% of the membership interests in Green River Processing, LLC (Green River Processing) for approximately $230.0 million, subject to customary purchase price adjustments, to QEP Midstream. The transaction is expected to close in July 2014 and will be accounted for as a transaction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between entities under common control with the difference between the carrying amount and the purchase price recorded to equity.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Green River Processing is a wholly owned subsidiary of QEP Field Services and will own the Blacks Fork processing complex and the Emigrant Trail processing plant, both of which are located in southwest Wyoming. The combined processing capacity of Green River Processing is 890 MMcf per day, of which 560 MMcf per day is cryogenic capacity and 330 MMcf per day is Joule-Thomson processing capacity. In addition, there is 15,000 bbl per day of NGL fractionation capacity at the Blacks Fork processing complex.</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8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following information updates the discussion of QEP’s financial condition provided in its 2013 Annual Report on Form 10-K filing and analyzes the changes in the results of operations between the three months ended March 31, 2014 and 2013. For definitions of commonly used gas and oil terms found in this Quarterly Report on Form 10-Q, please refer to the “Glossary of Commonly Used Terms” provided in QEP’s 2013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QEP Resources, Inc. (QEP or the Company) is a holding company with three major lines of business: oil and gas exploration and production; midstream field services; and energy marketing. These businesses are conducted through the Company’s three principal subsidiaries:</w:t>
      </w:r>
    </w:p>
    <w:p>
      <w:pPr>
        <w:spacing w:after="0" w:line="17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gas, oil, and NGL;</w:t>
      </w:r>
    </w:p>
    <w:p>
      <w:pPr>
        <w:spacing w:after="0" w:line="23"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QEP Field Services Company (QEP Field Services), which includes the ownership and operations of QEP Midstream Partners, LP (QEP Midstream), provides midstream field services, including gathering of natural gas, oil and water, natural gas processing, compression, and treating services, as well as NGL marketing services for affiliates and third parties,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QEP Marketing Company (QEP Marketing) markets affiliate and third-party oil and gas, and owns and operates an underground gas storage reservoir.</w:t>
      </w: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QEP's operations are focused in two major regions: the Northern Region (primarily in North Dakota, Wyoming and Utah) and the Southern Region (primarily in Oklahoma, Louisiana, and Texas) of the United States. QEP's corporate headquarters are located in Denver, Colorado. QEP owns and operates, directly or through its ownership in QEP Midstream, gathering, natural gas processing and treating facilities in the majority of its core producing areas outside of Louisiana, Oklahoma and Texas.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14, 2013, QEP Midstream completed its IPO of 20,000,000 common units, representing limited partner interests in QEP Midstream, at a price to the public of $21.00 per common unit. QEP Midstream received net proceeds of $390.7 million from the sale of the common units, after deducting underwriting discounts and commissions, structuring fees and offering expenses of approximately $29.3 million. Following the IPO, the underwriters exercised their over-allotment option to purchase an additional 3,000,000 common units, at a price of $21.00 per common unit, providing additional net proceeds of $58.9 million, after deducting $4.1 million of underwriters' discounts and commissions and structuring fees, to QEP Midstream. QEP Midstream used the net proceeds to repay its outstanding debt balance with QEP, which was assumed with the assets contributed to QEP Midstream, pay revolving credit facility origination fees and make a cash distribution to QEP, a portion of which was used to reimburse QEP for certain capital expenditures it incurred with respect to assets contributed to QEP Midstream.</w:t>
      </w:r>
    </w:p>
    <w:p>
      <w:pPr>
        <w:spacing w:after="0" w:line="19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QEP contributed gathering assets to QEP Midstream which are located in, or within close proximity to, the Green River Basin located in Wyoming and Colorado, the Uinta Basin located in eastern Utah, and the Williston Basin located in North Dakota. QEP utilized the proceeds of the cash distribution it received from QEP Midstream in connection with the IPO to fund ongoing operations, to repay debt under the Company's revolving credit facility and for general corporate purposes. QEP owns a 57.8% ownership interest in QEP Midstream and consolidates QEP Midstream for financial reporting purposes.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low-cost structure. To achieve these objectives we strive to:</w:t>
      </w:r>
    </w:p>
    <w:p>
      <w:pPr>
        <w:spacing w:after="0" w:line="24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 capital to those projects that generate the highest returns;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businesses and assets that complement or expand our current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divest of non-core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 sustainable, diverse inventory of low-cost, high-margin resource plays;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0" w:right="279" w:bottom="1440" w:gutter="0" w:footer="0" w:header="0"/>
        </w:sectPr>
      </w:pPr>
    </w:p>
    <w:bookmarkStart w:id="29" w:name="page30"/>
    <w:bookmarkEnd w:id="29"/>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in the highest-potential areas of the resource plays in which we operate;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contiguous acreage positions that drive operating efficiencies;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maximize the value of our midstream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actively market our QEP Energy production to maximize value;</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utilize derivative contracts to mitigate the impact of gas, oil or NGL price volatility and fluctuating interest rates, while locking in acceptable cash flows required to support future capital expenditures;</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the best people; and</w:t>
      </w:r>
    </w:p>
    <w:p>
      <w:pPr>
        <w:spacing w:after="0" w:line="9" w:lineRule="exact"/>
        <w:rPr>
          <w:rFonts w:ascii="Arial" w:cs="Arial" w:eastAsia="Arial" w:hAnsi="Arial"/>
          <w:sz w:val="18"/>
          <w:szCs w:val="18"/>
          <w:color w:val="auto"/>
        </w:rPr>
      </w:pPr>
    </w:p>
    <w:p>
      <w:pPr>
        <w:ind w:left="340" w:right="100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capital structure that allows us the necessary financial flexibility with which to invest in organic growth and potential acquisition opportunities, as they may arise.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part of the Company's strategy to increase its crude oil reserves and drilling inventory, on February 25, 2014, QEP Energy acquired oil and gas properties in the Permian Basin of Texas for an aggregate purchase price of $945.0 million, subject to customary post-closing adjustments (the Permian Basin Acquisition). The acquired properties consist of approximately 26,500 net acres of producing and undeveloped oil and gas properties and approximately 270 vertical producing wells in the Permian Basin, which creates a new core area of operation for QEP Energy. The acquisition was funded with $50.0 million of restricted cash, $300.0 million from the Company's expanded term loan and approximately $595.0 million from its revolving credit facility.</w:t>
      </w:r>
    </w:p>
    <w:p>
      <w:pPr>
        <w:spacing w:after="0" w:line="15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While QEP believes that it can grow production and reserves from its extensive inventory of identified drilling locations, the Company continues to evaluate acquisition opportunities that it believes will create significant long-term value. QEP believes that its experience, expertise, and presence in its core operating areas, combined with its low-cost operating model and financial strength, enhance its ability to pursue acquisition opportunities.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will periodically divest select non-core portfolio assets to redirect capital towards higher-return projects. In addition to the divestitures of non-core properties in 2013, which resulted in total cash proceeds of $205.8 million, in May 2014, QEP entered into entered into three separate purchase and sale agreements related to the disposition of certain of its non-core exploration and production (E&amp;P) properties in the Midcontinent Region and other non-core assets in the Northern Region for an aggregate sales price of approximately $807.5 million, subject to customary purchase price adjustments. The Company expects to close these transactions in the second quarter of 2014 and will use the proceeds to repay debt incurred to fund the Permian Basin Acquisition and to focus future investment on QEP’s operations in its core areas in the Williston, Permian, Pinedale, and Uinta basins.</w:t>
      </w:r>
    </w:p>
    <w:p>
      <w:pPr>
        <w:spacing w:after="0" w:line="16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January 2014, QEP's Board of Directors authorized the Company to develop a plan to separate the business of QEP Field Services, including the Company's interest in QEP Midstream, from QEP.</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May 2014, QEP Field Services entered into a purchase and sale agreement to sell 40% of the membership interests in Green River Processing, LLC for approximately $230.0 million, subject to customary purchase price adjustments, to QEP Midstream. The transaction is expected to close in July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Permian Basin, Pinedale Anticline, Uinta Basin, Woodford "Cana" shale and Haynesville Shale. These resource plays are characterized by unconventional oil or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consistent growth in organic production and reserves. QEP believes that it has one of the lowest cash operating structures among its E&amp;P company peers. However, in certain of its resource plays, QEP, along with its peers, has experienced increased drilling and completion costs which could impact near term drilling plans.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While historically a natural gas producer, the Company has increased its focus on growing the relative proportion of oil and NGL production in its E&amp;P business. During the first quarter of 2014, which includes one month of results from the Permian Basin Acquisition, QEP Energy increased its oil and NGL production by 50% compared to the first quarter of 2013. Additionally, oil and NGL revenue represented 61% of QEP Energy's field-level revenue during the first quarter of 2014, up from 55% during the first quarter of 2013.</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January 2014, QEP's Board of Directors authorized the repurchase of up to $500.0 million of the Company's outstanding shares of common stock. This authorization is effective until January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the quarter ended March 31, 2014, no shares were repurchased.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QEP Energy reported total equivalent production of 73.7 Bcfe during the first quarter of 2014, a decrease of 6% compared to the first quarter of 2013. Gas production decreased to 44.5 Bcfe in the first quarter of 2014, a decrease of 24% compared to the first quarter of 2013, which was partially offset by an increase to oil and NGL production. In the first quarter of 2014 oil and NGL production increased to 4,880.3 Mbbls, a combined increase of 50% from the first quarter of 2013. The Company's 2012 Williston Basin acquisition contributed 1,582 Mbbls oil and NGL production in the first quarter of 2014. Additionally, QEP Energy completed the Permian Basin Acquisition on February 25, 2014, which contributed 173.0 Mbbls oil and NGL production, $14.9 million of revenue and $3.7 million of net income during the period from February 25, 2014 to March 31, 2014, which are included in QEP's Condensed Consolidated Statements of Operations. QEP Energy also benefited from higher average realized prices (including the impact of settled commodity derivatives) which increased 16% to $7.34 per Mcfe for the first quarter of 2014 compared to the first quarter of 2013.</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the first quarter of 2014, QEP Field Services' NGL sales volumes increased 96% and fee-based processing volumes were 2% higher than the first quarter of 2013, while gathering throughput volumes decreased 13%. QEP Field Services also experienced an increase in the average net realized NGL sales price of 9%, whereas the fee-based processing rates and gas gathering rates both decreased by 6% during the first quarter of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and NGL Prices</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Historically, field-level prices received for QEP's gas, oil and NGL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 hydraulic fracturing. These changes have allowed producers to extract increased quantities of natural gas from shale, tight sand formations, and other unconventional reservoirs. Increased natural gas supplies have resulted in downward pressure on natural gas prices, while concern about the global economy and other factors has created volatility in the price of oil. Additionally, QEP's NGL prices are affected by ethane recovery. When ethane is recovered as an NGL instead of being sold, the average NGL barrel sales price decreases as the ethane price is lower than the remaining NGL components. Changes in the market prices for gas, oil, and NGL directly impact many aspects of QEP's business, including its financial condition, revenues, results of operations, planned drilling activity and related capital expenditures, liquidity, rate of growth, and costs of goods and services required to drill and complete wells, and may impact the carrying value of its oil and natural gas properties.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QEP uses commodity derivatives to reduce the volatility of the prices QEP receives for a portion of its production and to protect cash flow and returns on invested capital from a drop in commodity prices. Generally, QEP intends to enter into commodity derivative contracts for approximately 50% of its forecasted annual production by the end of the first quarter of each fiscal year. At March 31, 2014, assuming forecasted 2014 annual production of 286 Bcfe, QEP Energy had approximately 63% of its forecasted gas equivalent production covered with fixed-price swaps, including 61% of its forecasted gas production and 82% of its forecasted oil production covered with fixed-price swaps. See Part 1, Item 3 “Quantitative and Qualitative Disclosures about Market Risk—Commodity Price Risk Management” for further details concerning QEP’s commodity derivatives transactions. In addition, as a result of the continued spread between oil and gas prices, QEP Energy has allocated approximately 98% of its forecasted 2014 drilling and completion capital expenditure budget to oil and liquids-rich gas projects in its portfolio.</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584"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QEP continues to monitor the outlook of the global economy, including political unrest in Eastern Europe, the Middle East, and Africa; a slowing of growth in Asia; the United States federal budget deficit; the potential for future shut-downs of federal government offices including the Department of Interior (including the Bureau of Land Management (BLM) and Bureau of Indian Affairs (BIA), which process permits to drill and rights-of-way for construction of gathering lines and other midstream infrastructure on federal (BLM) and Native American (BIA and BLM) minerals and surface); changes in regulatory oversight policy; and commodity price volatility. A dramatic decline in regional or global economic conditions, a major recession or depression, regional political instability, economic sanctions, war, or other factors beyond the control of QEP could have a significant impact on gas, oil and NGL supply, demand and prices, the Company's ability to continue its planned drilling programs on federal and Native American lands, and could materially impact the Company's financial position, results of operations and cash flow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and Other Market Risk Factors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U.S. natural gas directed drilling rig count decreased in 2012 and 2013 and has continued to decline in 2014 as producers reduced drilling activity for dry natural gas in response to current natural gas prices and have continued to direct investment toward oil and liquid-rich activities. A reduction in natural gas production has lagged the downturn in the natural gas rig count, because natural gas producers had a significant inventory of drilled wells waiting on completion, continued efficiency gains have allowed more wells to be drilled and completed per operating rig, and higher per-well natural gas production from horizontal wells now dominates U.S. completions. As a result, U.S. natural gas production continued to increase throughout 2013 despite the decreased rig-count. However, strong natural gas demand from electric power generation, cold winter weather during the 2013-2014 heating season, and other demand sources have caused a general firming of natural gas prices during the last half of 2013 and into 2014. Despite recent increases in natural gas prices, QEP expects U.S. natural gas prices to remain range-bound over the near term. Relatively low natural gas prices have caused U.S. E&amp;P companies, including QEP, to shift capital investments away from predominantly dry gas areas toward plays that are known to have liquids-rich gas and oil. This shift in focus has caused domestic NGL production to increase dramatically. Increased NGL production and price dislocations from infrastructure bottlenecks in certain regions have all contributed to a weakening of domestic NGL prices, particularly ethane. QEP expects that ethane prices will continue to be range-bound until new ethylene crackers are built; however, the prices of heavier components of the NGL barrel have strengthened as a result of recent weather conditions combined with newly commissioned export facilities. QEP anticipates global oil prices will remain near current levels, assuming the global economy and socio-political backdrops remain relatively stable. Disruption to the global oil supply system, political and/or economic instability, and/or other factors could trigger additional volatility in oil prices. In addition, transportation, refining, or other infrastructure constraints could introduce significant price differentials between regional markets where QEP sells its oil production and national (NYMEX or Cushing) and global (Brent or U.S. Gulf Coast) markets. Because of the global and regional price volatility and the uncertainty around the natural gas, oil and NGL price environments, QEP continues to manage its capital spending program and liquidity accordingly.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carrying value of the Company's properties is sensitive to declines in gas, oil and NGL prices. These assets are at risk of impairment if future prices for gas, oil or NGL prices decline and/or drilling and completion costs increase. The cash flow model that the Company uses to assess proved properties for impairment includes numerous assumptions, such as management's estimates of future oil, gas and NGL production, market outlook on forward commodity prices, operating and development costs, and discount rates. All inputs to the cash flow model must be evaluated at each date of estimate. However, a decrease in forward gas, oil or NGL prices alone could result in an impairment of properties. The Company recorded a $2.0 million impairment of unproved properties and no impairment of proved properties during the first quarter of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To reduce the costs of well location construction and rig mobilization and demobilization and to obtain other efficiencies, QEP utilizes multi-well pad drilling where practical. Because wells drilled on a pad are not brought into production until all wells on the pad are drilled and completed and the drilling rig is moved from the location, multi-well pad drilling delays the commencement of production, which may cause volatility in QEP’s quarterly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QEP’s significant accounting policies are described in Item 7 of Part II of its 2013 Annual Report on Form 10-K.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gas and oil reserves, successful efforts accounting for gas and oil operations, impairment of gas and oil properties, asset retirement obligations, accounting for derivative contracts, revenue recognition, environmental obligations, litigation and other contingencies, benefit plan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2" w:name="page33"/>
    <w:bookmarkEnd w:id="32"/>
    <w:p>
      <w:pPr>
        <w:ind w:right="120"/>
        <w:spacing w:after="0" w:line="277" w:lineRule="auto"/>
        <w:rPr>
          <w:sz w:val="20"/>
          <w:szCs w:val="20"/>
          <w:color w:val="auto"/>
        </w:rPr>
      </w:pPr>
      <w:r>
        <w:rPr>
          <w:rFonts w:ascii="Arial" w:cs="Arial" w:eastAsia="Arial" w:hAnsi="Arial"/>
          <w:sz w:val="18"/>
          <w:szCs w:val="18"/>
          <w:color w:val="auto"/>
        </w:rPr>
        <w:t>obligations, equity-based compensation, income taxes, and purchase price allocations, among others, may involve a high degree of complexity and judgment on the part of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QEP’s net income for the first quarter of 2014 was $39.7 million, or $0.22 per diluted share, compared to a net loss of $4.3 million, or $0.02 per diluted share, in the first quarter of 2013. The increase in the first quarter of 2014 was due to a $39.3 million increase in QEP Energy’s net income, a $3.8 million increase in QEP Field Services' net income and a $0.9 million increase in QEP Marketing and Resources' net income. QEP Energy's net income increase was primarily related to higher oil and NGL production and higher realized gas prices partially offset by a realized loss on derivative instruments in the first quarter of 2014 compared to a realized gain in the comparable 2013 period as well as higher lease operating and production tax expenses and lower oil and NGL realized prices and gas production when compared to the first quarter of 2013. The increase in QEP Field Services’ net income during the first quarter of 2014 was driven by a $14.0 million increase in the keep-whole processing margin partially offset by a $3.8 million lower gathering margin and higher net income attributable to noncontrolling interest due to QEP Midstream's formation in the third quarter of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w w:val="93"/>
              </w:rPr>
              <w:t>The following table provides a summary of net income (loss) attributable to QEP by line of business: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Field Services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QEP Marketing and Resources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QEP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Earnings (loss) per diluted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diluted shares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Management believes Adjusted EBITDA (a non-GAAP measure) is an important measure of the Company’s cash flow, liquidity, and ability to incur and service debt, fund capital expenditures and make distributions to shareholders. The use of this measure allows investors to understand how management evaluates financial performance to make operating decisions and allocate resources. It is also an important measure for comparing the Company’s financial performance to other gas and oil producing companies. 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following table provides a summary of Adjusted EBITDA by line of business: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QEP Field Services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 and Resources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64"/>
        </w:trPr>
        <w:tc>
          <w:tcPr>
            <w:tcW w:w="74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386.3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Adjusted EBITDA increased to $386.3 million in the first quarter of 2014 from $375.0 million in the first quarter of 2013, due to a 55% increase in oil production, a 41% increase in NGL production, and a 10% increase in average net realized equivalent gas prices at QEP Energy partially offset by a 24% decrease in gas production and an 11% and 12% decrease in average net realized equivalent oil and NGL prices,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The following tables are reconciliations of Adjusted EBITDA to net income (loss) attributable to QEP, the most comparable GAAP financial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QEP Field</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QEP Marketing</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QEP Energy</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Services</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&amp; Resources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QEP</w:t>
            </w:r>
          </w:p>
        </w:tc>
        <w:tc>
          <w:tcPr>
            <w:tcW w:w="0" w:type="dxa"/>
            <w:vAlign w:val="bottom"/>
          </w:tcPr>
          <w:p>
            <w:pPr>
              <w:spacing w:after="0"/>
              <w:rPr>
                <w:sz w:val="1"/>
                <w:szCs w:val="1"/>
                <w:color w:val="auto"/>
              </w:rPr>
            </w:pPr>
          </w:p>
        </w:tc>
      </w:tr>
      <w:tr>
        <w:trPr>
          <w:trHeight w:val="34"/>
        </w:trPr>
        <w:tc>
          <w:tcPr>
            <w:tcW w:w="5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Three Months Ended March 31, 2014</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20" w:type="dxa"/>
            <w:vAlign w:val="bottom"/>
            <w:gridSpan w:val="5"/>
          </w:tcPr>
          <w:p>
            <w:pPr>
              <w:ind w:left="880"/>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Unrealized losses on derivative contracts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45.2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45.5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from asset sales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23.4</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Interest expense (income)</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48.9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42.3</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386.3</w:t>
            </w:r>
          </w:p>
        </w:tc>
        <w:tc>
          <w:tcPr>
            <w:tcW w:w="0" w:type="dxa"/>
            <w:vAlign w:val="bottom"/>
          </w:tcPr>
          <w:p>
            <w:pPr>
              <w:spacing w:after="0"/>
              <w:rPr>
                <w:sz w:val="1"/>
                <w:szCs w:val="1"/>
                <w:color w:val="auto"/>
              </w:rPr>
            </w:pPr>
          </w:p>
        </w:tc>
      </w:tr>
      <w:tr>
        <w:trPr>
          <w:trHeight w:val="311"/>
        </w:trPr>
        <w:tc>
          <w:tcPr>
            <w:tcW w:w="5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Three Months Ended March 31, 2013</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QEP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Unrealized losses on derivative contracts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Exploration expenses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hanging="192"/>
        <w:spacing w:after="0" w:line="208" w:lineRule="auto"/>
        <w:tabs>
          <w:tab w:leader="none" w:pos="2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Excludes noncontrolling interest's share of $0.2 million during the three months ended March 31, 2014, of interest expense attributable to QEP Midstream.</w:t>
      </w:r>
    </w:p>
    <w:p>
      <w:pPr>
        <w:spacing w:after="0" w:line="2" w:lineRule="exact"/>
        <w:rPr>
          <w:rFonts w:ascii="Arial" w:cs="Arial" w:eastAsia="Arial" w:hAnsi="Arial"/>
          <w:sz w:val="22"/>
          <w:szCs w:val="22"/>
          <w:color w:val="auto"/>
          <w:vertAlign w:val="superscript"/>
        </w:rPr>
      </w:pPr>
    </w:p>
    <w:p>
      <w:pPr>
        <w:ind w:right="700" w:firstLine="8"/>
        <w:spacing w:after="0" w:line="278" w:lineRule="auto"/>
        <w:tabs>
          <w:tab w:leader="none" w:pos="178"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Excludes noncontrolling interest's share of $3.7 million and $0.7 million during the three months ended March 31, 2014 and 2013, respectively, of depreciation, depletion and amortization attributable to Rendezvous Gas Services, L.L.C and QEP Midstream.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QEP ENERGY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QEP Energy’s financial and operating 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50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Three Months Ended March 31,</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34"/>
        </w:trPr>
        <w:tc>
          <w:tcPr>
            <w:tcW w:w="77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Gas sales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Oil sales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288.7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7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613.2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508.2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Lease operating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Gas, oil and NGL transportation and other handling costs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Production and property taxes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Exploration expenses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7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774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475.7</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477.5</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gain from asset sales</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139.9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Realized (loss) gain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Unrealized losses on derivative instruments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7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84"/>
        </w:trPr>
        <w:tc>
          <w:tcPr>
            <w:tcW w:w="7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QEP Energy</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Production volumes (Bcfe)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7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6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7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Total equivalent prices (per Mcfe)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equivalent field-level price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84"/>
        </w:trPr>
        <w:tc>
          <w:tcPr>
            <w:tcW w:w="7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equivalent price</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0"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shows volume and price related changes for each of QEP Energy’s major revenue categories for the three months ended March 31, 2014, compared to the three months ended March 31,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2013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 2014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222.5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288.7</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574.3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0" w:hanging="314"/>
        <w:spacing w:after="0" w:line="239"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three months ended March 31, 2014, as compared to the three months ended March 31, 2013, by the average field-level price for the three months ended March 31, 2013.</w:t>
      </w:r>
    </w:p>
    <w:p>
      <w:pPr>
        <w:spacing w:after="0" w:line="1" w:lineRule="exact"/>
        <w:rPr>
          <w:rFonts w:ascii="Arial" w:cs="Arial" w:eastAsia="Arial" w:hAnsi="Arial"/>
          <w:sz w:val="22"/>
          <w:szCs w:val="22"/>
          <w:color w:val="auto"/>
          <w:vertAlign w:val="superscript"/>
        </w:rPr>
      </w:pPr>
    </w:p>
    <w:p>
      <w:pPr>
        <w:ind w:left="660" w:right="320" w:hanging="314"/>
        <w:spacing w:after="0" w:line="237"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price is calculated by multiplying the change in average field-level prices from the three months ended March 31, 2014, as compared to the three months ended March 31, 2013, by volumes for the three months ended March 31, 2014.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7"/>
          </w:tcPr>
          <w:p>
            <w:pPr>
              <w:jc w:val="right"/>
              <w:ind w:right="31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34"/>
        </w:trPr>
        <w:tc>
          <w:tcPr>
            <w:tcW w:w="81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2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67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15.9</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81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i w:val="1"/>
                <w:iCs w:val="1"/>
                <w:color w:val="auto"/>
              </w:rPr>
              <w:t>Gas prices (per Mcf)</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5.12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Gas revenues increased $24.9 million, or 13%, in the first quarter of 2014 when compared to the first quarter of 2013, due to higher field-level prices partially offset by lower volumes. The decrease in production volumes was primarily driven by the continued suspension of QEP's Haynesville/Cotton Valley operated drilling program. Additionally, production decreased in QEP's Pinedale field due to partial ethane recovery in the first quarter of 2014, in which ethane is extracted from the gas stream and sold as an NGL, compared to ethane rejection in 2013, as well as completions of wells in late 2013 in which QEP had no working interest. Production also decreased for the Midcontinent properties as a result of fewer net well completions throughout the second half of 2013 and the first quarter of 2014 compared to the prior year period and divestitures of non-core properties in the Midcontinent in the third quarter of 2013. Gas field-level prices increased 48% during the first quarter of 2014 as a result of higher index prices.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8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7"/>
          </w:tcPr>
          <w:p>
            <w:pPr>
              <w:jc w:val="right"/>
              <w:ind w:right="31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34"/>
        </w:trPr>
        <w:tc>
          <w:tcPr>
            <w:tcW w:w="81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production volumes (Mbbl)</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2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67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133.1</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148.8</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3"/>
        </w:trPr>
        <w:tc>
          <w:tcPr>
            <w:tcW w:w="81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3,312.0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2,138.9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1,173.1</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i w:val="1"/>
                <w:iCs w:val="1"/>
                <w:color w:val="auto"/>
              </w:rPr>
              <w:t>Oil prices (per bbl)</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86.53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87.16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83.25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Oil revenues increased $94.5 million, or 49%, in the first quarter of 2014 when compared to the first quarter of 2013, due to higher volumes partially offset by lower average field-level prices. The increase in production volumes was primarily driven by increases in the Williston Basin due to the continued development of the properties acquired in the 2012 acquisition and continued development drilling on QEP's existing pre-acquisition acreage. The Company also had an additional 140.0 Mbbls of production in the first quarter of 2014 from its Permian Basin Acquisition, which closed February 25, 2014. These increases were partially offset by a decrease in the Midcontinent due to decreased well completions and divestitures of non-core properties in the third quarter of 2013 and a decrease in the other Northern Region due to divestitures of non-core properties in the second quarter of 2013.</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Field-level oil prices decreased 4% in the first quarter of 2014, primarily due to lower oil prices in the Williston Basin, a portion of which are referenced against Brent prices, which decreased in first quarter of 2014 compared to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8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7"/>
          </w:tcPr>
          <w:p>
            <w:pPr>
              <w:jc w:val="right"/>
              <w:ind w:right="31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34"/>
        </w:trPr>
        <w:tc>
          <w:tcPr>
            <w:tcW w:w="81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2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67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714.8</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311.9</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81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6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510.4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591.1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1,568.3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1,108.5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i w:val="1"/>
                <w:iCs w:val="1"/>
                <w:color w:val="auto"/>
              </w:rPr>
              <w:t>NGL prices (per bbl)</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39.74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40.26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NGL revenues increased $12.5 million, or 25%, during the first quarter of 2014, when compared to the first quarter of 2013, due to increased production volumes partially offset by a decreased average price per barrel. Pinedale and Uinta NGL volumes increased due to partial ethane recovery in the first quarter of 2014 compared to ethane rejection in the entire first quarter of 2013, while the Williston Basin NGL volumes grew as a result of increased development drilling. These increases were partially offset by a decrease in the Midcontinent due to decreased well completions and divestitures of non-core properties in the third quarter of 2013.</w:t>
      </w:r>
    </w:p>
    <w:p>
      <w:pPr>
        <w:spacing w:after="0" w:line="188"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NGL prices decreased 12% during the first quarter of 2014 primarily as a result of partially recovering ethane from the wet gas production stream in Pinedale and Uinta during the first quarter of 2014, compared to no recovery in the first quarter of 2013. When ethane is recovered as an NGL instead of being sold as part of the gas stream, the average NGL barrel sales price decreases as the ethane price is lower than the remaining NGL components.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Resale Margin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QEP Energy purchases and resells gas, oil and NGL products in order to fulfill firm transportation contract commitments and mitigate potential losses. The difference between the price of the products purchased and sold creates a resale margin that represents a gain or loss for the Company. The following table is a summary of QEP Energy's financial results from its gas, oil and NGL resale activities:</w:t>
      </w:r>
    </w:p>
    <w:p>
      <w:pPr>
        <w:spacing w:after="0" w:line="12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7"/>
          </w:tcPr>
          <w:p>
            <w:pPr>
              <w:jc w:val="right"/>
              <w:ind w:right="23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7"/>
        </w:trPr>
        <w:tc>
          <w:tcPr>
            <w:tcW w:w="6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1"/>
        </w:trPr>
        <w:tc>
          <w:tcPr>
            <w:tcW w:w="6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Change</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Resale Margin</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gas, oil and NGL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Purchased gas, oil and NGL expense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Resale margin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first quarter of 2014, QEP Energy recorded a loss on resale margin of $0.9 million compared to a loss of $2.9 million in the first quarter of 2013 as a result of its activities to utilize pipeline transportation commitments in Louisiana. The Company has transportation commitments in excess of its current production as a result of the continued suspension of its Haynesville drilling program.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6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QEP Energy Drilling Activity</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520" w:type="dxa"/>
            <w:vAlign w:val="bottom"/>
            <w:gridSpan w:val="6"/>
          </w:tcPr>
          <w:p>
            <w:pPr>
              <w:spacing w:after="0"/>
              <w:rPr>
                <w:sz w:val="20"/>
                <w:szCs w:val="20"/>
                <w:color w:val="auto"/>
              </w:rPr>
            </w:pPr>
            <w:r>
              <w:rPr>
                <w:rFonts w:ascii="Arial" w:cs="Arial" w:eastAsia="Arial" w:hAnsi="Arial"/>
                <w:sz w:val="18"/>
                <w:szCs w:val="18"/>
                <w:color w:val="auto"/>
                <w:w w:val="90"/>
              </w:rPr>
              <w:t>The following table presents operated and non-operated well completions for the three months ended March 31, 2014:</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300" w:type="dxa"/>
            <w:vAlign w:val="bottom"/>
            <w:gridSpan w:val="5"/>
          </w:tcPr>
          <w:p>
            <w:pPr>
              <w:jc w:val="center"/>
              <w:ind w:right="80"/>
              <w:spacing w:after="0"/>
              <w:rPr>
                <w:sz w:val="20"/>
                <w:szCs w:val="20"/>
                <w:color w:val="auto"/>
              </w:rPr>
            </w:pPr>
            <w:r>
              <w:rPr>
                <w:rFonts w:ascii="Arial" w:cs="Arial" w:eastAsia="Arial" w:hAnsi="Arial"/>
                <w:sz w:val="18"/>
                <w:szCs w:val="18"/>
                <w:color w:val="auto"/>
                <w:w w:val="89"/>
              </w:rPr>
              <w:t>Operated Completions</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1"/>
              </w:rPr>
              <w:t>Non-operated Completions</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2300" w:type="dxa"/>
            <w:vAlign w:val="bottom"/>
            <w:gridSpan w:val="5"/>
          </w:tcPr>
          <w:p>
            <w:pPr>
              <w:jc w:val="center"/>
              <w:ind w:right="60"/>
              <w:spacing w:after="0"/>
              <w:rPr>
                <w:sz w:val="20"/>
                <w:szCs w:val="20"/>
                <w:color w:val="auto"/>
              </w:rPr>
            </w:pPr>
            <w:r>
              <w:rPr>
                <w:rFonts w:ascii="Arial" w:cs="Arial" w:eastAsia="Arial" w:hAnsi="Arial"/>
                <w:sz w:val="18"/>
                <w:szCs w:val="18"/>
                <w:color w:val="auto"/>
                <w:w w:val="90"/>
              </w:rPr>
              <w:t>Three Months Ended</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640" w:type="dxa"/>
            <w:vAlign w:val="bottom"/>
          </w:tcPr>
          <w:p>
            <w:pPr>
              <w:spacing w:after="0"/>
              <w:rPr>
                <w:sz w:val="23"/>
                <w:szCs w:val="23"/>
                <w:color w:val="auto"/>
              </w:rPr>
            </w:pPr>
          </w:p>
        </w:tc>
        <w:tc>
          <w:tcPr>
            <w:tcW w:w="230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March 31, 2014</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91"/>
              </w:rPr>
              <w:t>March 31, 2014</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54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760" w:type="dxa"/>
            <w:vAlign w:val="bottom"/>
            <w:gridSpan w:val="2"/>
          </w:tcPr>
          <w:p>
            <w:pPr>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9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564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15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154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69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154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wells being drilled or waiting on completion at March 31,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60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0" w:type="dxa"/>
            <w:vAlign w:val="bottom"/>
            <w:gridSpan w:val="6"/>
          </w:tcPr>
          <w:p>
            <w:pPr>
              <w:ind w:left="640"/>
              <w:spacing w:after="0"/>
              <w:rPr>
                <w:sz w:val="20"/>
                <w:szCs w:val="20"/>
                <w:color w:val="auto"/>
              </w:rPr>
            </w:pPr>
            <w:r>
              <w:rPr>
                <w:rFonts w:ascii="Arial" w:cs="Arial" w:eastAsia="Arial" w:hAnsi="Arial"/>
                <w:sz w:val="18"/>
                <w:szCs w:val="18"/>
                <w:color w:val="auto"/>
              </w:rPr>
              <w:t>Being drilled</w:t>
            </w: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2240" w:type="dxa"/>
            <w:vAlign w:val="bottom"/>
            <w:gridSpan w:val="4"/>
          </w:tcPr>
          <w:p>
            <w:pPr>
              <w:ind w:left="620"/>
              <w:spacing w:after="0"/>
              <w:rPr>
                <w:sz w:val="20"/>
                <w:szCs w:val="20"/>
                <w:color w:val="auto"/>
              </w:rPr>
            </w:pPr>
            <w:r>
              <w:rPr>
                <w:rFonts w:ascii="Arial" w:cs="Arial" w:eastAsia="Arial" w:hAnsi="Arial"/>
                <w:sz w:val="18"/>
                <w:szCs w:val="18"/>
                <w:color w:val="auto"/>
              </w:rPr>
              <w:t>Being drilled</w:t>
            </w:r>
          </w:p>
        </w:tc>
        <w:tc>
          <w:tcPr>
            <w:tcW w:w="2140" w:type="dxa"/>
            <w:vAlign w:val="bottom"/>
            <w:gridSpan w:val="3"/>
          </w:tcPr>
          <w:p>
            <w:pPr>
              <w:jc w:val="right"/>
              <w:ind w:right="150"/>
              <w:spacing w:after="0"/>
              <w:rPr>
                <w:sz w:val="20"/>
                <w:szCs w:val="20"/>
                <w:color w:val="auto"/>
              </w:rPr>
            </w:pPr>
            <w:r>
              <w:rPr>
                <w:rFonts w:ascii="Arial" w:cs="Arial" w:eastAsia="Arial" w:hAnsi="Arial"/>
                <w:sz w:val="18"/>
                <w:szCs w:val="18"/>
                <w:color w:val="auto"/>
              </w:rPr>
              <w:t>Waiting on completion</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ind w:left="3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3"/>
        </w:trPr>
        <w:tc>
          <w:tcPr>
            <w:tcW w:w="31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Pinedale</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Williston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Uinta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Northern</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Haynesville/Cotton Valley</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Permian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Midcontinent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utilizes multi-well pad drilling where practical. Wells drilled are not brought into production until all wells on the pad are drilled and completed and the drilling rig is moved from the location. As a result, QEP had 90 gross operated wells waiting on completion as of March 31,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w w:val="93"/>
              </w:rPr>
              <w:t>The following table presents certain QEP Energy operating expenses on a per unit of production basis.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7660" w:type="dxa"/>
            <w:vAlign w:val="bottom"/>
          </w:tcPr>
          <w:p>
            <w:pPr>
              <w:spacing w:after="0"/>
              <w:rPr>
                <w:sz w:val="24"/>
                <w:szCs w:val="24"/>
                <w:color w:val="auto"/>
              </w:rPr>
            </w:pPr>
          </w:p>
        </w:tc>
        <w:tc>
          <w:tcPr>
            <w:tcW w:w="2620" w:type="dxa"/>
            <w:vAlign w:val="bottom"/>
            <w:gridSpan w:val="6"/>
          </w:tcPr>
          <w:p>
            <w:pPr>
              <w:ind w:left="40"/>
              <w:spacing w:after="0"/>
              <w:rPr>
                <w:sz w:val="20"/>
                <w:szCs w:val="20"/>
                <w:color w:val="auto"/>
              </w:rPr>
            </w:pPr>
            <w:r>
              <w:rPr>
                <w:rFonts w:ascii="Arial" w:cs="Arial" w:eastAsia="Arial" w:hAnsi="Arial"/>
                <w:sz w:val="18"/>
                <w:szCs w:val="18"/>
                <w:b w:val="1"/>
                <w:bCs w:val="1"/>
                <w:color w:val="auto"/>
                <w:w w:val="96"/>
              </w:rPr>
              <w:t>Three Months Ended March 31,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34"/>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(per Mcfe)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Lease operating expense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oil and NGL transportation and other handling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Production taxes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0.21</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800" w:right="239" w:bottom="1440" w:gutter="0" w:footer="0" w:header="0"/>
          <w:type w:val="continuous"/>
        </w:sectPr>
      </w:pPr>
    </w:p>
    <w:bookmarkStart w:id="39" w:name="page40"/>
    <w:bookmarkEnd w:id="39"/>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Depreciation, depletion and amortization. </w:t>
      </w:r>
      <w:r>
        <w:rPr>
          <w:rFonts w:ascii="Arial" w:cs="Arial" w:eastAsia="Arial" w:hAnsi="Arial"/>
          <w:sz w:val="17"/>
          <w:szCs w:val="17"/>
          <w:color w:val="auto"/>
        </w:rPr>
        <w:t>DD&amp;A expense decreased $14.7 million, or $0.02 per Mcfe, in the first quarter of 2014 compared to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of 2013 due to expense decreases in Haynesville/Cotton Valley and the Midcontinent partially offset by an increase in the Williston Basin expense and additional expenses related to the Permian Basin Acquisition. The decrease in expense at Haynesville relates to decreased production whereas the decrease in the Midcontinent relates to divestitures of non-core properties in the second half of 2013. The increase in the Williston Basin expense relates to increased production partially offset by a lower rate due to additional proved reserves added at the end of the 2013.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The following table presents lease operating expenses (LOE) for QEP Energy by region on a unit of production basis: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64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Three Months Ended March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4"/>
        </w:trPr>
        <w:tc>
          <w:tcPr>
            <w:tcW w:w="7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7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r>
      <w:tr>
        <w:trPr>
          <w:trHeight w:val="34"/>
        </w:trPr>
        <w:tc>
          <w:tcPr>
            <w:tcW w:w="7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7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w w:val="92"/>
              </w:rPr>
              <w:t>(per Mcfe)</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0.77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Southern Region</w:t>
            </w:r>
          </w:p>
        </w:tc>
        <w:tc>
          <w:tcPr>
            <w:tcW w:w="8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0.75</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0.34</w:t>
            </w:r>
          </w:p>
        </w:tc>
      </w:tr>
      <w:tr>
        <w:trPr>
          <w:trHeight w:val="27"/>
        </w:trPr>
        <w:tc>
          <w:tcPr>
            <w:tcW w:w="7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lease operating expense</w:t>
            </w: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0.76</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76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Energy’s LOE increased $15.4 million, or $0.23 per Mcfe, during the first quarter of 2014 compared to the first quarter of 2013. The Southern Region's LOE per Mcfe increase during the first quarter of 2014 was driven primarily by the Permian Basin Acquisition in the first quarter of 2014 as well as a per Mcfe increase in Haynesville/Cotton Valley properties due to declining production volume but relatively flat labor and pumper costs, fixed operating expenses due to the consistent well count and increased workover costs. The Northern Region increase was driven primarily by a per Mcfe increase in the Williston Basin due to increased water injection and disposal costs, overhead and utility costs in the current year attributable to increased well count and higher operating costs in the area.</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Gas, oil and NGL transportation and other handling costs. </w:t>
      </w:r>
      <w:r>
        <w:rPr>
          <w:rFonts w:ascii="Arial" w:cs="Arial" w:eastAsia="Arial" w:hAnsi="Arial"/>
          <w:sz w:val="18"/>
          <w:szCs w:val="18"/>
          <w:color w:val="auto"/>
        </w:rPr>
        <w:t>Gas, oil and NGL transportation and other handling costs increased $8.3 million, or $0.16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Mcfe, in the first quarter of 2014 when compared to the first quarter of 2013, due to cost increases in the Williston Basin, and declining production volumes in the Haynesville/Cotton Valley area.</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Production and property taxes. </w:t>
      </w:r>
      <w:r>
        <w:rPr>
          <w:rFonts w:ascii="Arial" w:cs="Arial" w:eastAsia="Arial" w:hAnsi="Arial"/>
          <w:sz w:val="18"/>
          <w:szCs w:val="18"/>
          <w:color w:val="auto"/>
        </w:rPr>
        <w:t>In most states in which QEP Energy operates, QEP pays production taxes based on a percentage of field-level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in Louisiana, where severance taxes are volume-based. Production taxes increased $12.7 million, or $0.21 per Mcfe, during the first quarter of 2014 as a result of increased gas, oil and NGL revenues due to higher field-level gas prices and higher oil and NGL production, which in recent years have generated more revenue per Mcfe than gas.</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 xml:space="preserve">Exploration expense. </w:t>
      </w:r>
      <w:r>
        <w:rPr>
          <w:rFonts w:ascii="Arial" w:cs="Arial" w:eastAsia="Arial" w:hAnsi="Arial"/>
          <w:sz w:val="18"/>
          <w:szCs w:val="18"/>
          <w:color w:val="auto"/>
        </w:rPr>
        <w:t>Exploration expenses decreased $2.9 million during the first quarter of 2014 when compared with the first quarter of 2013.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primarily related to decreases in exploration-related labor.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During the first quarter of 2014, impairment expense was $2.0 million due to unproved property impairments due to changes in drilling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QEP FIELD SERVICES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The following table provides a summary of QEP Field Services’ financial and operating results: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34"/>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34"/>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Processing (fee based) revenues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processing fees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Gathering revenues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gathering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8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Processing expense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Processing plant fuel and shrinkage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Gathering expense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8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84"/>
        </w:trPr>
        <w:tc>
          <w:tcPr>
            <w:tcW w:w="7660" w:type="dxa"/>
            <w:vAlign w:val="bottom"/>
          </w:tcPr>
          <w:p>
            <w:pPr>
              <w:ind w:left="40"/>
              <w:spacing w:after="0"/>
              <w:rPr>
                <w:sz w:val="20"/>
                <w:szCs w:val="20"/>
                <w:color w:val="auto"/>
              </w:rPr>
            </w:pPr>
            <w:r>
              <w:rPr>
                <w:rFonts w:ascii="Arial" w:cs="Arial" w:eastAsia="Arial" w:hAnsi="Arial"/>
                <w:sz w:val="18"/>
                <w:szCs w:val="18"/>
                <w:color w:val="auto"/>
              </w:rPr>
              <w:t>Net loss from asset sales</w:t>
            </w: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4"/>
        </w:trPr>
        <w:tc>
          <w:tcPr>
            <w:tcW w:w="76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8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8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QEP Field Services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5620"/>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i w:val="1"/>
                <w:iCs w:val="1"/>
                <w:color w:val="auto"/>
              </w:rPr>
              <w:t>Gathering Margin</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920" w:type="dxa"/>
            <w:vAlign w:val="bottom"/>
            <w:gridSpan w:val="4"/>
          </w:tcPr>
          <w:p>
            <w:pPr>
              <w:spacing w:after="0"/>
              <w:rPr>
                <w:sz w:val="20"/>
                <w:szCs w:val="20"/>
                <w:color w:val="auto"/>
              </w:rPr>
            </w:pPr>
            <w:r>
              <w:rPr>
                <w:rFonts w:ascii="Arial" w:cs="Arial" w:eastAsia="Arial" w:hAnsi="Arial"/>
                <w:sz w:val="18"/>
                <w:szCs w:val="18"/>
                <w:color w:val="auto"/>
                <w:w w:val="93"/>
              </w:rPr>
              <w:t>The following tables present a summary of QEP Field Services’ financial and operating results from gathering activities: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34"/>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Gathering Margin</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gathering revenues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expense</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30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Gathering margin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Statistics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Gas gathering volumes (in millions of MMBtu)</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unaffiliated customers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8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 affiliated customers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Gas Gathering Volumes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Average gas gathering revenue (per MMBtu)</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0.34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first quarter of 2014, gathering margin declined 10% when compared to the first quarter of 2013 due to a 13% decrease in gathering system throughput. Gathering system throughput decreased primarily as a result of a 42% decline at QEP Field Services' Northwest Louisiana Hub primarily due to lower QEP Energy production resulting from the continued suspension of drilling in Haynesville as well as lower gathering volumes on the Uinta gathering system and QEP Midstream's Vermillion gathering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Processing Margin</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8080" w:type="dxa"/>
            <w:vAlign w:val="bottom"/>
            <w:gridSpan w:val="3"/>
          </w:tcPr>
          <w:p>
            <w:pPr>
              <w:spacing w:after="0"/>
              <w:rPr>
                <w:sz w:val="20"/>
                <w:szCs w:val="20"/>
                <w:color w:val="auto"/>
              </w:rPr>
            </w:pPr>
            <w:r>
              <w:rPr>
                <w:rFonts w:ascii="Arial" w:cs="Arial" w:eastAsia="Arial" w:hAnsi="Arial"/>
                <w:sz w:val="18"/>
                <w:szCs w:val="18"/>
                <w:color w:val="auto"/>
                <w:w w:val="91"/>
              </w:rPr>
              <w:t>The following table presents a summary of QEP Field Services’ gas processing financial and operating results: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7"/>
          </w:tcPr>
          <w:p>
            <w:pPr>
              <w:jc w:val="center"/>
              <w:ind w:right="19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34"/>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34"/>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Processing Margin</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Processing (fee-based) revenues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processing fees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Processing expense</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Processing plant fuel and shrink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84"/>
        </w:trPr>
        <w:tc>
          <w:tcPr>
            <w:tcW w:w="20" w:type="dxa"/>
            <w:vAlign w:val="bottom"/>
          </w:tcPr>
          <w:p>
            <w:pPr>
              <w:spacing w:after="0"/>
              <w:rPr>
                <w:sz w:val="24"/>
                <w:szCs w:val="24"/>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Gas, oil and NGL transportation and other handling costs</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57"/>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Processing 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760" w:type="dxa"/>
            <w:vAlign w:val="bottom"/>
          </w:tcPr>
          <w:p>
            <w:pPr>
              <w:ind w:left="160"/>
              <w:spacing w:after="0" w:line="257" w:lineRule="exact"/>
              <w:rPr>
                <w:sz w:val="20"/>
                <w:szCs w:val="20"/>
                <w:color w:val="auto"/>
              </w:rPr>
            </w:pPr>
            <w:r>
              <w:rPr>
                <w:rFonts w:ascii="Arial" w:cs="Arial" w:eastAsia="Arial" w:hAnsi="Arial"/>
                <w:sz w:val="18"/>
                <w:szCs w:val="18"/>
                <w:color w:val="auto"/>
              </w:rPr>
              <w:t>Keep-whole margin</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23.1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0"/>
        </w:trPr>
        <w:tc>
          <w:tcPr>
            <w:tcW w:w="20" w:type="dxa"/>
            <w:vAlign w:val="bottom"/>
          </w:tcPr>
          <w:p>
            <w:pPr>
              <w:spacing w:after="0"/>
              <w:rPr>
                <w:sz w:val="23"/>
                <w:szCs w:val="23"/>
                <w:color w:val="auto"/>
              </w:rPr>
            </w:pPr>
          </w:p>
        </w:tc>
        <w:tc>
          <w:tcPr>
            <w:tcW w:w="7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Statistics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 sales (Mbbl)</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w:t>
            </w:r>
          </w:p>
        </w:tc>
      </w:tr>
      <w:tr>
        <w:trPr>
          <w:trHeight w:val="270"/>
        </w:trPr>
        <w:tc>
          <w:tcPr>
            <w:tcW w:w="20" w:type="dxa"/>
            <w:vAlign w:val="bottom"/>
          </w:tcPr>
          <w:p>
            <w:pPr>
              <w:spacing w:after="0"/>
              <w:rPr>
                <w:sz w:val="23"/>
                <w:szCs w:val="23"/>
                <w:color w:val="auto"/>
              </w:rPr>
            </w:pPr>
          </w:p>
        </w:tc>
        <w:tc>
          <w:tcPr>
            <w:tcW w:w="7760" w:type="dxa"/>
            <w:vAlign w:val="bottom"/>
          </w:tcPr>
          <w:p>
            <w:pPr>
              <w:ind w:left="20"/>
              <w:spacing w:after="0" w:line="270" w:lineRule="exact"/>
              <w:rPr>
                <w:sz w:val="20"/>
                <w:szCs w:val="20"/>
                <w:color w:val="auto"/>
              </w:rPr>
            </w:pPr>
            <w:r>
              <w:rPr>
                <w:rFonts w:ascii="Arial" w:cs="Arial" w:eastAsia="Arial" w:hAnsi="Arial"/>
                <w:sz w:val="18"/>
                <w:szCs w:val="18"/>
                <w:color w:val="auto"/>
              </w:rPr>
              <w:t>Average net realized NGL sales price (per bbl)</w:t>
            </w:r>
            <w:r>
              <w:rPr>
                <w:rFonts w:ascii="Arial" w:cs="Arial" w:eastAsia="Arial" w:hAnsi="Arial"/>
                <w:sz w:val="25"/>
                <w:szCs w:val="25"/>
                <w:color w:val="auto"/>
                <w:vertAlign w:val="superscript"/>
              </w:rPr>
              <w:t>(2)</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56.78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Fee-based processing volumes (in millions of MMBtu)</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For unaffiliated customers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7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 affiliated customers</w:t>
            </w:r>
          </w:p>
        </w:tc>
        <w:tc>
          <w:tcPr>
            <w:tcW w:w="3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0" w:type="dxa"/>
            <w:vAlign w:val="bottom"/>
          </w:tcPr>
          <w:p>
            <w:pPr>
              <w:spacing w:after="0"/>
              <w:rPr>
                <w:sz w:val="24"/>
                <w:szCs w:val="24"/>
                <w:color w:val="auto"/>
              </w:rPr>
            </w:pPr>
          </w:p>
        </w:tc>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fee-based processing volumes</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54.7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fee-based processing revenue (per MMBtu)</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12"/>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Arial" w:cs="Arial" w:eastAsia="Arial" w:hAnsi="Arial"/>
                <w:sz w:val="18"/>
                <w:szCs w:val="18"/>
                <w:b w:val="1"/>
                <w:bCs w:val="1"/>
                <w:color w:val="auto"/>
              </w:rPr>
              <w:t>____________________________</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ind w:left="660" w:right="140" w:hanging="314"/>
        <w:spacing w:after="0" w:line="211"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Keep-whole processing margin is calculated as NGL sales less processing plant fuel and shrink, gas, oil and NGL transportation and other handling costs.</w:t>
      </w:r>
    </w:p>
    <w:p>
      <w:pPr>
        <w:spacing w:after="0" w:line="1" w:lineRule="exact"/>
        <w:rPr>
          <w:rFonts w:ascii="Arial" w:cs="Arial" w:eastAsia="Arial" w:hAnsi="Arial"/>
          <w:sz w:val="25"/>
          <w:szCs w:val="25"/>
          <w:color w:val="auto"/>
          <w:vertAlign w:val="superscript"/>
        </w:rPr>
      </w:pPr>
    </w:p>
    <w:p>
      <w:pPr>
        <w:ind w:left="660" w:hanging="314"/>
        <w:spacing w:after="0" w:line="209"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Average net realized NGL sales price per gallon is calculated as NGL sales including realized gains from commodity derivative contracts settlements divided by NGL sales volumes.</w:t>
      </w:r>
    </w:p>
    <w:p>
      <w:pPr>
        <w:spacing w:after="0" w:line="2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QEP Field Services provides gas processing services under fee-based and keep-whole agreements. Approximately 69% and 83% of QEP Field Services' total margin was derived from fee-based gathering and processing agreements in the first quarter of 2014 and 2013, respectively. The decrease in the fee-based contribution to the total margin was due to the increase in the keep-whole margin.</w:t>
      </w:r>
    </w:p>
    <w:p>
      <w:pPr>
        <w:spacing w:after="0" w:line="181"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Under keep-whole arrangements, QEP Field Services processes natural gas, sells the resulting NGL at market prices, and remits the energy equivalent value to its customers. Because the extraction of NGL from the natural gas during processing reduces the Btu content of the natural gas, QEP Field Services must acquire natural gas at market prices for return to its customers. Accordingly, under these arrangements the Company’s revenues and margins increase as the price of NGL increases relative to the price of natural gas and decrease as the price of NGL decreases relative to the price of natural gas.</w:t>
      </w:r>
    </w:p>
    <w:p>
      <w:pPr>
        <w:spacing w:after="0" w:line="15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QEP Field Services' keep-whole margin increased 154% during the first quarter of 2014, compared to the first quarter of 2013, due to a 96% increase in NGL sales volumes. The increase in NGL sales volumes is the result of the Iron Horse II cryogenic processing plant operating during the entire first quarter of 2014 (start-up in late first quarter of 2013) and linefill cash-outs due to a contractual change in the first quarter of 2014. Also contributing to the higher NGL sales was an increase in the average net realized NGL sales price due to the higher propane prices and completion of the Blacks Fork fractionation and loading facility expansion which gives QEP Field Services the ability to sell products into local and regional markets. Average net realized NGL prices increased 9% in the first quarter of 2014, primarily the result of rejection of ethane, which is normally the lower-value component of the composite NGL barrel. Partially offsetting the increase in keep-whole margins was an increase in processing and shrink expense primarily due to higher natural gas prices.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Fee-based processing revenues decreased slightly during the first quarter of 2014 compared to the first quarter of 2013 due to a 6% decrease in average fee-based processing rate partially offset by a 2% increase in fee-based processing volumes. During the first quarter of 2014, the increase in fee-based processing volumes was the result of additional gas processed at the Vermillion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ind w:right="120"/>
        <w:spacing w:after="0" w:line="277" w:lineRule="auto"/>
        <w:rPr>
          <w:sz w:val="20"/>
          <w:szCs w:val="20"/>
          <w:color w:val="auto"/>
        </w:rPr>
      </w:pPr>
      <w:r>
        <w:rPr>
          <w:rFonts w:ascii="Arial" w:cs="Arial" w:eastAsia="Arial" w:hAnsi="Arial"/>
          <w:sz w:val="18"/>
          <w:szCs w:val="18"/>
          <w:color w:val="auto"/>
        </w:rPr>
        <w:t>and Iron Horse plants. The decrease in the average fee-based processing rate was due to increased processing volumes from producers with lower processing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 AND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QEP Marketing and Resources' financial and operating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9"/>
          </w:tcPr>
          <w:p>
            <w:pPr>
              <w:jc w:val="right"/>
              <w:ind w:right="53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34"/>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34"/>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8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7"/>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503.0</w:t>
            </w: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499.9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Realized (loss) gain on derivative instruments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8"/>
                <w:szCs w:val="18"/>
                <w:color w:val="auto"/>
              </w:rPr>
              <w:t>Net income attributable to QEP Marketing</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Resale Margin</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color w:val="auto"/>
              </w:rPr>
              <w:t>The following table is a summary of QEP Marketing’s financial results from resale activities: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gridSpan w:val="9"/>
          </w:tcPr>
          <w:p>
            <w:pPr>
              <w:jc w:val="center"/>
              <w:ind w:right="21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75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Resale Margin</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oil and NGL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Purchased gas, oil and NGL expense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 gain on derivative instruments</w:t>
            </w:r>
          </w:p>
        </w:tc>
        <w:tc>
          <w:tcPr>
            <w:tcW w:w="1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8"/>
                <w:szCs w:val="18"/>
                <w:color w:val="auto"/>
              </w:rPr>
              <w:t>Resale margin gain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2"/>
                <w:szCs w:val="22"/>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Purchased gas, oil and NGL sales increased by $162.2 million, or 48%, during the first quarter of 2014, compared to the first quarter of 2013, due to a $37.4 million increase in resale gas sales, and a $124.8 million increase in resale oil and NGL sales. Resale gas sales increased due to a 53% increase in the resale price partially offset by a 17% decrease in resale gas volumes. Resale oil and NGL sales increased due to an 80% increase in resale volumes, partially offset by a 9% decrease in resale price.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Purchased gas, oil and NGL expense, which includes transportation expense, increased 45% in the first quarter of 2014, compared to the first quarter of 2013, due to a $31.8 million increase in resale gas purchases and a $123.6 million increase in resale oil and NGL purchases. Resale gas purchased increased due to a 50% increase in the resale price, partially offset by a 15% decrease in resale purchase volumes. Resale oil and NGL sales increased due to a 73% increase in resale purchase volumes, partially offset by a 9% decrease in resale purchase price.</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4"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OTHER CONSOLIDATED EXPENSES AND INCOME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expense. </w:t>
      </w:r>
      <w:r>
        <w:rPr>
          <w:rFonts w:ascii="Arial" w:cs="Arial" w:eastAsia="Arial" w:hAnsi="Arial"/>
          <w:sz w:val="18"/>
          <w:szCs w:val="18"/>
          <w:color w:val="auto"/>
        </w:rPr>
        <w:t>During the first quarter of 2014, general and administrative (G&amp;A) expense increased $10.6 million, or 23%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first quarter of 2013. The increase in G&amp;A in 2014 was primarily due to a $2.6 million increase in labor costs due to the increased number of employees, a $2.3 million increase for retention bonuses related to the QEP Field Services separation to be paid in December 2014 or whenever the separation of QEP Field Services occurs, whichever is earlier (see Note 9 – Restructuring Costs, for additional information), and a $5.4 million increase in professional and outside services mainly related to the ongoing implementation of a new Enterprise Resource Planning (ERP) system, feasibility studies and current transactions, including the QEP Field Services separation, QEP Midstream operating as a public company, Permian Basin Acquisition and various divestitures of non-core properties.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Net gain from asset sales. </w:t>
      </w:r>
      <w:r>
        <w:rPr>
          <w:rFonts w:ascii="Arial" w:cs="Arial" w:eastAsia="Arial" w:hAnsi="Arial"/>
          <w:sz w:val="18"/>
          <w:szCs w:val="18"/>
          <w:color w:val="auto"/>
        </w:rPr>
        <w:t>In the first quarter of 2014, QEP Energy sold its interest in non-core unproved oil and gas properties resulting in a pre-tax gain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$2.4 million.</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 xml:space="preserve">Realized and unrealized (loss) gain on derivative contracts. </w:t>
      </w:r>
      <w:r>
        <w:rPr>
          <w:rFonts w:ascii="Arial" w:cs="Arial" w:eastAsia="Arial" w:hAnsi="Arial"/>
          <w:sz w:val="16"/>
          <w:szCs w:val="16"/>
          <w:color w:val="auto"/>
        </w:rPr>
        <w:t>Gains and losses on derivative instruments are comprised of both realized and unrealized gains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losses on QEP’s commodity derivative contracts and interest rate swaps, which are marked-to-market each quarter. During the first quarter of 2014, losses on commodity derivative instruments were $80.2 million, of which $34.7 million were realized and $45.5 million were unrealized. During the first quarter of 2013, losses on commodity derivative instruments were $34.4 million, of which $51.3 million were realized gains and $85.7 million were unrealized losses. Additionally, during the first quarter of 2014, losses from interest rate swaps were $0.7 million, all of which were realized, compared to a loss of $0.2 million during the first quarter of 2013, of which $0.6 million were realized losses offset by an unrealized gain of $0.4 million.</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$3.1 million, or 8% during the first quarter of 2014, compared to the first quarter of 2013.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attributable to average debt levels in 2014 that were approximately $171.2 million, or 5%, higher than average debt levels in the first quarter of 2013. The increase in average debt levels is primarily related to additional borrowing on the credit facility and the increase in QEP's term loan to $600.0 million in the first quarter of 2014, both of which were used to fund the Permian Basin Acquisition.</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provision was $23.4 million during the first quarter of 2014 compared to an income tax benefit of $2.2 million during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2013. The increased provision was primarily the result of higher income before income taxes for the first quarter of 2014, compared to a loss before income taxes for the first quarter of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seeks to fund its development projects by employing a capital structure and financing strategy to provide sufficient liquidity to withstand commodity price swings. QEP maintains a commodity price derivative strategy to reduce commodity price volatility and to provide certainty to cash flows. QEP funds its operations, capital expenditures and working capital requirements with cash flow from its operating activities and borrowings under its credit facilities. Periodically, QEP accesses debt and equity capital markets and sells properties to provide additional liquidity. The Company believes cash flow from operations, cash-on-hand and availability under its credit facility will be sufficient to fund the Company’s planned capital expenditures and operating expenses during the next 12 months and the foreseeable future. To the extent actual operating results differ from the Company’s estimates, QEP's liquidity could be adversely affected.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 provides QEP’s available liquidity and debt to equity ratio compared to the previous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2013</w:t>
            </w:r>
          </w:p>
        </w:tc>
      </w:tr>
      <w:tr>
        <w:trPr>
          <w:trHeight w:val="34"/>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4"/>
          </w:tcPr>
          <w:p>
            <w:pPr>
              <w:spacing w:after="0"/>
              <w:rPr>
                <w:sz w:val="2"/>
                <w:szCs w:val="2"/>
                <w:color w:val="auto"/>
              </w:rPr>
            </w:pPr>
          </w:p>
        </w:tc>
      </w:tr>
      <w:tr>
        <w:trPr>
          <w:trHeight w:val="243"/>
        </w:trPr>
        <w:tc>
          <w:tcPr>
            <w:tcW w:w="6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60" w:type="dxa"/>
            <w:vAlign w:val="bottom"/>
            <w:gridSpan w:val="4"/>
          </w:tcPr>
          <w:p>
            <w:pPr>
              <w:jc w:val="right"/>
              <w:ind w:right="1370"/>
              <w:spacing w:after="0"/>
              <w:rPr>
                <w:sz w:val="20"/>
                <w:szCs w:val="20"/>
                <w:color w:val="auto"/>
              </w:rPr>
            </w:pPr>
            <w:r>
              <w:rPr>
                <w:rFonts w:ascii="Arial" w:cs="Arial" w:eastAsia="Arial" w:hAnsi="Arial"/>
                <w:sz w:val="18"/>
                <w:szCs w:val="18"/>
                <w:color w:val="auto"/>
              </w:rPr>
              <w:t>(in millions, except %)</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r>
      <w:tr>
        <w:trPr>
          <w:trHeight w:val="277"/>
        </w:trPr>
        <w:tc>
          <w:tcPr>
            <w:tcW w:w="68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Amount available under the QEP credit facility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394.7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1,016.2</w:t>
            </w:r>
          </w:p>
        </w:tc>
      </w:tr>
      <w:tr>
        <w:trPr>
          <w:trHeight w:val="264"/>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1,028.1</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3,919.2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2,997.5</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common 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3,417.3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3,376.6</w:t>
            </w:r>
          </w:p>
        </w:tc>
      </w:tr>
      <w:tr>
        <w:trPr>
          <w:trHeight w:val="252"/>
        </w:trPr>
        <w:tc>
          <w:tcPr>
            <w:tcW w:w="684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Ratio of debt to total capital </w:t>
            </w:r>
            <w:r>
              <w:rPr>
                <w:rFonts w:ascii="Arial" w:cs="Arial" w:eastAsia="Arial" w:hAnsi="Arial"/>
                <w:sz w:val="25"/>
                <w:szCs w:val="25"/>
                <w:color w:val="auto"/>
                <w:vertAlign w:val="superscript"/>
              </w:rPr>
              <w:t>(2)</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84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ind w:left="660" w:right="60" w:hanging="314"/>
        <w:spacing w:after="0" w:line="222" w:lineRule="auto"/>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See discussion of revolving credit facility below. Availability under QEP's credit facility is reduced by outstanding letters of credit of $3.8 million as of March 31, 2014, and December 31, 2013, and does not include the $500.0 million available under QEP Midstream's credit facility.</w:t>
      </w:r>
    </w:p>
    <w:p>
      <w:pPr>
        <w:ind w:left="660" w:hanging="314"/>
        <w:spacing w:after="0" w:line="180"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Defined as total debt divided by the sum of total debt plus common shareholders’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QEP's Credit Facility</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QEP’s unsecured revolving credit facility, which matures in August 2016, provides for loan commitments of $1.5 billion from a syndicate of financial institutions. The credit facility provides for borrowings at short-term interest rates and contains customary covenants and restrictions. The credit facility also contains an accordion provision that would allow for the amount of the facility to be increased to $2.0 billion and a provision whereby the maturity can be extended for up to two additional one-year periods, with the agreement of the lenders. QEP’s weighted-average interest rate on borrowings from its credit facility was 2.19% during the first quarter of 2014. At March 31, 2014, QEP was in compliance with the debt covenants under the credit agreement. At April 30, 2014, QEP had $1,138.5 million of borrowings and $3.8 million of letters of credit outstanding under its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Midstream's Credit Facility</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August 14, 2013, QEP Midstream entered into a $500.0 million senior secured revolving credit facility with a group of financial institutions, which matures on August 14, 2018. QEP Midstream's credit facility contains an accordion provision that allows for the amount of the facility to be increased to $750.0 million with the agreement of the lenders. QEP Midstream's credit facility is available for QEP Midstream's working capital, capital expenditures, permitted acquisitions and general corporate purposes, including distributions. In addition, QEP Midstream's credit facility includes a sublimit of up to $50.0 million for letters of credit and a sublimit of up to $25.0 million for swing line loans. Substantially all of QEP Midstream's assets, excluding equity in and assets of certain joint ventures and unrestricted subsidiaries, are pledged as collateral under the credit facility. In addition, the credit agreement contains restrictions and events of default customary for agreements of this nature.</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borrowings under QEP Midstream's credit facility, and at March 31, 2014, QEP Midstream was in compliance with the covenants under the QEP Midstream credit agreement.</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QEP is not a borrower or guarantor of QEP Midstream's credit facility. In addition, QEP is not subject to any of the restrictions or covenants contained in QEP Midstream's credit agreement. Outstanding indebtedness under QEP Midstream's credit facility is not included in the definition of indebtedness under QEP's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QEP's $600.0 million unsecured term loan facility provides for borrowings at short-term interest rates and contains covenants, restrictions and interest rates that are substantially the same as QEP’s revolving credit facility. The term loan matures in April 2017, and the maturity date may be extended one year with the agreement of the lenders. In conjunction with the Permian Basin Acquisition, QEP borrowed the incremental $300.0 million available under the facility and increased total borrowings under the term loan to $600.0 million. There were no changes to the maturity date, pricing or covenants in the credit agreement. QEP incurred $1.1 million of debt issuance costs associated with the new term loan issuance.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6" w:name="page47"/>
    <w:bookmarkEnd w:id="46"/>
    <w:p>
      <w:pPr>
        <w:ind w:right="20"/>
        <w:spacing w:after="0" w:line="255" w:lineRule="auto"/>
        <w:rPr>
          <w:sz w:val="20"/>
          <w:szCs w:val="20"/>
          <w:color w:val="auto"/>
        </w:rPr>
      </w:pPr>
      <w:r>
        <w:rPr>
          <w:rFonts w:ascii="Arial" w:cs="Arial" w:eastAsia="Arial" w:hAnsi="Arial"/>
          <w:sz w:val="18"/>
          <w:szCs w:val="18"/>
          <w:color w:val="auto"/>
        </w:rPr>
        <w:t>During the first quarter of 2014, QEP’s weighted-average interest rate on borrowings under the term loan was 1.59%. In conjunction with the term loan, QEP entered into interest rate swap contracts with a combined notional principal amount of $600.0 million which will mature in March 2017. Under the aggregated swap contracts, QEP pays 0.96% for the life of the swaps and receives one-month LIBOR. The interest rate at March 31, 2014, under the term loan is one-month LIBOR, plus 2.00% (the Applicable Margin) which, when combined with the fixed interest rate swaps, results in an effective rate of 2.96% for borrowings under the term loan. To the extent that the Applicable Margin under the term loan changes, the effective fixed rate paid for borrowings under the term loan will change.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senior notes outstanding as of March 31, 2014, totaled $2,221.8 million principal amount and are comprised of six issuances as follows:</w:t>
      </w:r>
    </w:p>
    <w:p>
      <w:pPr>
        <w:spacing w:after="0" w:line="23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$500.0 million 5.375% Senior Notes due October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flows from operations are primarily affected by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provided by operating activities during the first quarter of 2014 increased $150.3 million compared to the first quarter of 2013, due to increased net income and a decrease in the use of cash from operating assets and liabilities, partially offset by lower noncash net income adjustments. Changes in operating assets and liabilities used $38.1 million of cash in the first quarter of 2014, mainly due to an increase of accounts receivable related to increased revenue offset by increased accounts payable and accrued expenses. Changes in operating assets and liabilities used $162.4 million of cash in the first quarter of 2013 primarily due to a $115.0 million settlement payment in the first quarter of 2013 and an increase in deferred income taxes. Net cash provided by operating activities is presented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124.3</w:t>
            </w:r>
          </w:p>
        </w:tc>
      </w:tr>
      <w:tr>
        <w:trPr>
          <w:trHeight w:val="264"/>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322.4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first quarter of 2014, net cash used in investing activities was $1,223.9 million, compared to $383.1 million in the first quarter of 2013. This increase in investing activities was largely due to the Permian Basin Acquisition, which closed in the first quarter of 2014 for a total purchase price of $945.0 million, subject to post-closing adjustments. A comparison of capital expenditures for the first quarter of 2014 and 2013 and a forecast for calendar year 2014 are presented in the table below: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gridSpan w:val="6"/>
            <w:vMerge w:val="restart"/>
          </w:tcPr>
          <w:p>
            <w:pPr>
              <w:jc w:val="center"/>
              <w:ind w:right="10"/>
              <w:spacing w:after="0"/>
              <w:rPr>
                <w:sz w:val="20"/>
                <w:szCs w:val="20"/>
                <w:color w:val="auto"/>
              </w:rPr>
            </w:pPr>
            <w:r>
              <w:rPr>
                <w:rFonts w:ascii="Arial" w:cs="Arial" w:eastAsia="Arial" w:hAnsi="Arial"/>
                <w:sz w:val="18"/>
                <w:szCs w:val="18"/>
                <w:b w:val="1"/>
                <w:bCs w:val="1"/>
                <w:color w:val="auto"/>
                <w:w w:val="90"/>
              </w:rPr>
              <w:t>Three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gridSpan w:val="6"/>
            <w:vMerge w:val="continue"/>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Forecast</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Prior Forecast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Twelve Months</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Twelve Months</w:t>
            </w:r>
          </w:p>
        </w:tc>
        <w:tc>
          <w:tcPr>
            <w:tcW w:w="0" w:type="dxa"/>
            <w:vAlign w:val="bottom"/>
          </w:tcPr>
          <w:p>
            <w:pPr>
              <w:spacing w:after="0"/>
              <w:rPr>
                <w:sz w:val="1"/>
                <w:szCs w:val="1"/>
                <w:color w:val="auto"/>
              </w:rPr>
            </w:pPr>
          </w:p>
        </w:tc>
      </w:tr>
      <w:tr>
        <w:trPr>
          <w:trHeight w:val="268"/>
        </w:trPr>
        <w:tc>
          <w:tcPr>
            <w:tcW w:w="44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Ended </w:t>
            </w:r>
            <w:r>
              <w:rPr>
                <w:rFonts w:ascii="Arial" w:cs="Arial" w:eastAsia="Arial" w:hAnsi="Arial"/>
                <w:sz w:val="25"/>
                <w:szCs w:val="25"/>
                <w:b w:val="1"/>
                <w:bCs w:val="1"/>
                <w:color w:val="auto"/>
                <w:w w:val="87"/>
                <w:vertAlign w:val="superscript"/>
              </w:rPr>
              <w:t>(1)</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color w:val="auto"/>
                <w:w w:val="82"/>
              </w:rPr>
              <w:t xml:space="preserve">Ended </w:t>
            </w:r>
            <w:r>
              <w:rPr>
                <w:rFonts w:ascii="Arial" w:cs="Arial" w:eastAsia="Arial" w:hAnsi="Arial"/>
                <w:sz w:val="25"/>
                <w:szCs w:val="25"/>
                <w:color w:val="auto"/>
                <w:w w:val="82"/>
                <w:vertAlign w:val="superscript"/>
              </w:rPr>
              <w:t>(2)</w:t>
            </w:r>
          </w:p>
        </w:tc>
        <w:tc>
          <w:tcPr>
            <w:tcW w:w="0" w:type="dxa"/>
            <w:vAlign w:val="bottom"/>
          </w:tcPr>
          <w:p>
            <w:pPr>
              <w:spacing w:after="0"/>
              <w:rPr>
                <w:sz w:val="1"/>
                <w:szCs w:val="1"/>
                <w:color w:val="auto"/>
              </w:rPr>
            </w:pPr>
          </w:p>
        </w:tc>
      </w:tr>
      <w:tr>
        <w:trPr>
          <w:trHeight w:val="225"/>
        </w:trPr>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1,263.2</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QEP Field Services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80.0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QEP</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1,805.0</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in accruals and purchase adjustments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1,276.8</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Represents the mid-point of the most recent guidance and excludes approximately $945.0 million for the Permian Basin Acquisition.</w:t>
      </w:r>
    </w:p>
    <w:p>
      <w:pPr>
        <w:spacing w:after="0" w:line="2" w:lineRule="exact"/>
        <w:rPr>
          <w:rFonts w:ascii="Arial" w:cs="Arial" w:eastAsia="Arial" w:hAnsi="Arial"/>
          <w:sz w:val="25"/>
          <w:szCs w:val="25"/>
          <w:color w:val="auto"/>
          <w:vertAlign w:val="superscript"/>
        </w:rPr>
      </w:pPr>
    </w:p>
    <w:p>
      <w:pPr>
        <w:ind w:left="660" w:hanging="314"/>
        <w:spacing w:after="0" w:line="186"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Forecast as reported in the 2013 Annual Report on Form 10-K, filed on February 25, 2014.</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first quarter of 2014, capital expenditures on a cash basis increased 232% to $1,276.8 million, compared to $384.6 million during the first quarter of 2013. The increase of $892.2 million in cash capital expenditures during the first quarter of 2014 was primarily the result of QEP Energy's increased capital expenditures related to the Permian Basin Acquisition.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first quarter of 2014, QEP Energy's capital investment, on an accrual basis, increased $937.8 million over the first quarter of 2013 to a total of $1,263.2 million. This increase was primarily due to the Permian Basin Acquisition, which closed in the first quarter of 2014 for a total purchase price of $945.0 million, subject to post-closing adjustments. In addition, capital expenditures increased $48.1 million in the Williston Basin, and $11.6 million in Pinedale due to additional drilling activity and operations in these areas. These increases were partially offset by decreases of $32.3 million in the Midcontinent, $20.1 million in the other Northern Region and $19.1 million in the Uinta Basin due to divestitures of non-core properties in 2013, and decreased drilling activity in the areas, as well as a $6.9 million decrease in the Haynesville/Cotton Valley area due to the suspended drilling program.</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first quarter of 2014, compared to the first quarter of 2013, QEP Field Services' capital investment increased $9.5 million, on an accrual basis. Capital expenditures during the first quarter of 2014 primarily related to $7.4 million for expansion of the Uinta Basin Gathering system and $2.7 million for expansion of the Vermillion Processing Plant, with the remaining expenditures relating to maintenance capital expenditures and other minor projects on the various plants and gathering systems.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2014, forecasted capital investments for 2014, excluding acquisitions, are expected to be approximately $1,755.0 million, comprised of</w:t>
      </w:r>
    </w:p>
    <w:p>
      <w:pPr>
        <w:spacing w:after="0" w:line="3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$1,650.0 million for QEP Energy, $80.0 million for QEP Field Services, and $25.0 million for QEP Marketing and Resources. For the remainder of 2014, QEP intends to fund capital expenditures with cash flow from operating activities, and, if needed, borrowings under its revolving credit facility. QEP plans minimal capital expenditures for the Haynesville Shale and other dry-gas development areas and plans to increase capital expenditures for higher return projects, including oil-directed horizontal drilling in the Williston Basin and the Permian Basin, the latter of which was acquired in the first quarter of 2014. QEP Energy has allocated approximately 98% of its forecasted 2014 drilling and completion capital expenditure budget to oil and liquids-rich gas plays. QEP plans to invest a total of approximately $80.0 million in capital expenditures during 2014 to maintain and grow its midstream business (including QEP Midstream), including an expansion of the Vermillion processing plant as well as additional gathering facilities in the Uinta Basin. The remaining QEP Field Services' capital expenditures will be related to compressor projects, new well connections and gathering line expansion. QEP plans to invest approximately $25.0 million in capital expenditures related to corporate activities, primarily the implementation of a new ERP system and building improvements. The aggregate levels of capital expenditures for 2014, and the allocation of those expenditures are dependent on a variety of factors, including drilling results, gas, oil and NGL prices, industry conditions, the extent to which properties or working interests are acquired, the availability of capital resources to fund the expenditures and changes in management’s business assessments as to where QEP’s capital investment can generate the best return. Accordingly, the actual levels of capital expenditures and the allocation of those expenditures may vary materially from QEP’s estimates.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the first quarter of 2014, net cash proceeds from financing activities were $893.5 million compared to $211.0 million in the first quarter of 2013. During the first quarter of 2014, QEP had borrowings from the credit facility of $1,643.0 million and repayments on the credit facility of $1,021.5 million. QEP also issued an additional $300.0 million under its term loan. These increased borrowings were offset by decreased checks outstanding in excess of cash balances of $12.5 million during the first quarter of 2014. In the three months ended March 31, 2014, QEP paid $3.6 million of regular quarterly dividends.</w:t>
      </w:r>
    </w:p>
    <w:p>
      <w:pPr>
        <w:spacing w:after="0" w:line="15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At March 31, 2014, long-term debt consisted of $1,101.5 million outstanding under the credit facility, $600.0 million under the term loan and $2,221.8 million in senior notes (including $4.1 million of net original issue discount). The $621.5 million increase in borrowings under the credit facility and $300.0 million increase in the term loan during the first three months of 2014 were primarily used to fund the Permian Basin Acquisition.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QEP’s primary market risk exposures arise from changes in the market price for gas, oil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QEP Field Services, and QEP Marketing also have long-term contracts for pipeline capacity, and are obligated to pay for transportation services with no guarantee that QEP will be able to fully utilize the contractual capacity of these transportation commitments. In addition, a non-cash write-down of the Company’s oil and gas properties may be required if future oil and gas commodity prices experience a sustained, significant decline. Furthermore, the Company’s credit facility and term loan agreement have floating interest rates which expose QEP to interest rate risk. To manage the Company’s exposure to these risks, QEP enters into commodity derivative contracts in the form of fixed-price swaps to manage commodity price risk and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QEP uses commodity price derivative instruments in the normal course of business to reduce the risk of adverse commodity price movements. However, these same arrangements typically limit future gains from favorable price movements. The types of commodity derivative instruments currently utilized by the Company are fixed-price swaps. The volume of commodity derivative instruments utilized by the Company may vary from year-to-year based on QEP's forecasted production. The derivative instruments utilized by the Company do not have margin requirements or collateral provisions that would require payments prior to the scheduled cash settlement dates. As of March 31, 2014, QEP held commodity price derivative contracts totaling 119.2 million MMBtu of gas and 12.8 million barrels of oil. At December 31, 2013, the QEP derivative contracts covered 139.4 million MMBtu of gas and 6.9 million barrels of oil.</w:t>
      </w:r>
    </w:p>
    <w:p>
      <w:pPr>
        <w:spacing w:after="0" w:line="24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following table presents open 2014 derivative positions, which includes what was in effect as of March 31, 2014 (see Note 8 - Derivative Contracts, under Part 1, Item 1 of this Quarter Report on Form 10-Q for table as of March 31, 2014) and what is known to be in effect as of April 30, 2014:</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gridSpan w:val="5"/>
          </w:tcPr>
          <w:p>
            <w:pPr>
              <w:jc w:val="center"/>
              <w:ind w:right="1300"/>
              <w:spacing w:after="0"/>
              <w:rPr>
                <w:sz w:val="20"/>
                <w:szCs w:val="20"/>
                <w:color w:val="auto"/>
              </w:rPr>
            </w:pPr>
            <w:r>
              <w:rPr>
                <w:rFonts w:ascii="Arial" w:cs="Arial" w:eastAsia="Arial" w:hAnsi="Arial"/>
                <w:sz w:val="18"/>
                <w:szCs w:val="18"/>
                <w:b w:val="1"/>
                <w:bCs w:val="1"/>
                <w:color w:val="auto"/>
                <w:w w:val="90"/>
              </w:rPr>
              <w:t>QEP Energy Commodity Derivative Positions</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Average Swap</w:t>
            </w:r>
          </w:p>
        </w:tc>
        <w:tc>
          <w:tcPr>
            <w:tcW w:w="0" w:type="dxa"/>
            <w:vAlign w:val="bottom"/>
          </w:tcPr>
          <w:p>
            <w:pPr>
              <w:spacing w:after="0"/>
              <w:rPr>
                <w:sz w:val="1"/>
                <w:szCs w:val="1"/>
                <w:color w:val="auto"/>
              </w:rPr>
            </w:pPr>
          </w:p>
        </w:tc>
      </w:tr>
      <w:tr>
        <w:trPr>
          <w:trHeight w:val="230"/>
        </w:trPr>
        <w:tc>
          <w:tcPr>
            <w:tcW w:w="3640" w:type="dxa"/>
            <w:vAlign w:val="bottom"/>
          </w:tcPr>
          <w:p>
            <w:pPr>
              <w:ind w:left="1780"/>
              <w:spacing w:after="0"/>
              <w:rPr>
                <w:sz w:val="20"/>
                <w:szCs w:val="20"/>
                <w:color w:val="auto"/>
              </w:rPr>
            </w:pPr>
            <w:r>
              <w:rPr>
                <w:rFonts w:ascii="Arial" w:cs="Arial" w:eastAsia="Arial" w:hAnsi="Arial"/>
                <w:sz w:val="18"/>
                <w:szCs w:val="18"/>
                <w:color w:val="auto"/>
              </w:rPr>
              <w:t>Year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Volumes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2"/>
              </w:rPr>
              <w:t>price per unit</w:t>
            </w:r>
          </w:p>
        </w:tc>
        <w:tc>
          <w:tcPr>
            <w:tcW w:w="0" w:type="dxa"/>
            <w:vAlign w:val="bottom"/>
          </w:tcPr>
          <w:p>
            <w:pPr>
              <w:spacing w:after="0"/>
              <w:rPr>
                <w:sz w:val="1"/>
                <w:szCs w:val="1"/>
                <w:color w:val="auto"/>
              </w:rPr>
            </w:pPr>
          </w:p>
        </w:tc>
      </w:tr>
      <w:tr>
        <w:trPr>
          <w:trHeight w:val="34"/>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(MMBtu)</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60"/>
              <w:spacing w:after="0"/>
              <w:rPr>
                <w:sz w:val="20"/>
                <w:szCs w:val="20"/>
                <w:color w:val="auto"/>
              </w:rPr>
            </w:pPr>
            <w:r>
              <w:rPr>
                <w:rFonts w:ascii="Arial" w:cs="Arial" w:eastAsia="Arial" w:hAnsi="Arial"/>
                <w:sz w:val="18"/>
                <w:szCs w:val="18"/>
                <w:color w:val="auto"/>
              </w:rPr>
              <w:t>NYMEX</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IFNPCR</w:t>
            </w: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rPr>
              <w:t>NYMEX</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Oil Sales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(Bbls)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92.59</w:t>
            </w: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88.17</w:t>
            </w:r>
          </w:p>
        </w:tc>
        <w:tc>
          <w:tcPr>
            <w:tcW w:w="0" w:type="dxa"/>
            <w:vAlign w:val="bottom"/>
          </w:tcPr>
          <w:p>
            <w:pPr>
              <w:spacing w:after="0"/>
              <w:rPr>
                <w:sz w:val="1"/>
                <w:szCs w:val="1"/>
                <w:color w:val="auto"/>
              </w:rPr>
            </w:pPr>
          </w:p>
        </w:tc>
      </w:tr>
      <w:tr>
        <w:trPr>
          <w:trHeight w:val="891"/>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0"/>
              </w:rPr>
              <w:t>QEP Energy Oil Basis Swaps</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3640" w:type="dxa"/>
            <w:vAlign w:val="bottom"/>
          </w:tcPr>
          <w:p>
            <w:pPr>
              <w:ind w:left="1780"/>
              <w:spacing w:after="0"/>
              <w:rPr>
                <w:sz w:val="20"/>
                <w:szCs w:val="20"/>
                <w:color w:val="auto"/>
              </w:rPr>
            </w:pPr>
            <w:r>
              <w:rPr>
                <w:rFonts w:ascii="Arial" w:cs="Arial" w:eastAsia="Arial" w:hAnsi="Arial"/>
                <w:sz w:val="18"/>
                <w:szCs w:val="18"/>
                <w:color w:val="auto"/>
              </w:rPr>
              <w:t>Year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Index Less Differential</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Volumes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7"/>
              </w:rPr>
              <w:t>Differential</w:t>
            </w:r>
          </w:p>
        </w:tc>
        <w:tc>
          <w:tcPr>
            <w:tcW w:w="0" w:type="dxa"/>
            <w:vAlign w:val="bottom"/>
          </w:tcPr>
          <w:p>
            <w:pPr>
              <w:spacing w:after="0"/>
              <w:rPr>
                <w:sz w:val="1"/>
                <w:szCs w:val="1"/>
                <w:color w:val="auto"/>
              </w:rPr>
            </w:pPr>
          </w:p>
        </w:tc>
      </w:tr>
      <w:tr>
        <w:trPr>
          <w:trHeight w:val="34"/>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Oil basis swaps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(Bbls)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ICE Brent</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24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729"/>
        </w:trPr>
        <w:tc>
          <w:tcPr>
            <w:tcW w:w="3640" w:type="dxa"/>
            <w:vAlign w:val="bottom"/>
          </w:tcPr>
          <w:p>
            <w:pPr>
              <w:spacing w:after="0"/>
              <w:rPr>
                <w:sz w:val="24"/>
                <w:szCs w:val="24"/>
                <w:color w:val="auto"/>
              </w:rPr>
            </w:pPr>
          </w:p>
        </w:tc>
        <w:tc>
          <w:tcPr>
            <w:tcW w:w="5180" w:type="dxa"/>
            <w:vAlign w:val="bottom"/>
            <w:gridSpan w:val="6"/>
          </w:tcPr>
          <w:p>
            <w:pPr>
              <w:jc w:val="center"/>
              <w:ind w:right="1040"/>
              <w:spacing w:after="0"/>
              <w:rPr>
                <w:sz w:val="20"/>
                <w:szCs w:val="20"/>
                <w:color w:val="auto"/>
              </w:rPr>
            </w:pPr>
            <w:r>
              <w:rPr>
                <w:rFonts w:ascii="Arial" w:cs="Arial" w:eastAsia="Arial" w:hAnsi="Arial"/>
                <w:sz w:val="18"/>
                <w:szCs w:val="18"/>
                <w:b w:val="1"/>
                <w:bCs w:val="1"/>
                <w:color w:val="auto"/>
                <w:w w:val="92"/>
              </w:rPr>
              <w:t>QEP Marketing Commodity Derivative Positions</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Average Swap</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30"/>
        </w:trPr>
        <w:tc>
          <w:tcPr>
            <w:tcW w:w="3640" w:type="dxa"/>
            <w:vAlign w:val="bottom"/>
          </w:tcPr>
          <w:p>
            <w:pPr>
              <w:ind w:left="1780"/>
              <w:spacing w:after="0"/>
              <w:rPr>
                <w:sz w:val="20"/>
                <w:szCs w:val="20"/>
                <w:color w:val="auto"/>
              </w:rPr>
            </w:pPr>
            <w:r>
              <w:rPr>
                <w:rFonts w:ascii="Arial" w:cs="Arial" w:eastAsia="Arial" w:hAnsi="Arial"/>
                <w:sz w:val="18"/>
                <w:szCs w:val="18"/>
                <w:color w:val="auto"/>
              </w:rPr>
              <w:t>Year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Volumes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7"/>
              </w:rPr>
              <w:t>per MMBtu</w:t>
            </w:r>
          </w:p>
        </w:tc>
        <w:tc>
          <w:tcPr>
            <w:tcW w:w="0" w:type="dxa"/>
            <w:vAlign w:val="bottom"/>
          </w:tcPr>
          <w:p>
            <w:pPr>
              <w:spacing w:after="0"/>
              <w:rPr>
                <w:sz w:val="1"/>
                <w:szCs w:val="1"/>
                <w:color w:val="auto"/>
              </w:rPr>
            </w:pPr>
          </w:p>
        </w:tc>
      </w:tr>
      <w:tr>
        <w:trPr>
          <w:trHeight w:val="34"/>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(MMBtu)</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(MMBtu)</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459"/>
        </w:trPr>
        <w:tc>
          <w:tcPr>
            <w:tcW w:w="8820" w:type="dxa"/>
            <w:vAlign w:val="bottom"/>
            <w:gridSpan w:val="7"/>
          </w:tcPr>
          <w:p>
            <w:pPr>
              <w:spacing w:after="0"/>
              <w:rPr>
                <w:sz w:val="20"/>
                <w:szCs w:val="20"/>
                <w:color w:val="auto"/>
              </w:rPr>
            </w:pPr>
            <w:r>
              <w:rPr>
                <w:rFonts w:ascii="Arial" w:cs="Arial" w:eastAsia="Arial" w:hAnsi="Arial"/>
                <w:sz w:val="18"/>
                <w:szCs w:val="18"/>
                <w:color w:val="auto"/>
                <w:w w:val="96"/>
              </w:rPr>
              <w:t>Changes in the fair value of derivative contracts from December 31, 2013 to March 31, 2014, are presented below:</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0"/>
              </w:rPr>
              <w:t>Commodity</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derivative contracts</w:t>
            </w:r>
          </w:p>
        </w:tc>
        <w:tc>
          <w:tcPr>
            <w:tcW w:w="0" w:type="dxa"/>
            <w:vAlign w:val="bottom"/>
          </w:tcPr>
          <w:p>
            <w:pPr>
              <w:spacing w:after="0"/>
              <w:rPr>
                <w:sz w:val="1"/>
                <w:szCs w:val="1"/>
                <w:color w:val="auto"/>
              </w:rPr>
            </w:pPr>
          </w:p>
        </w:tc>
      </w:tr>
      <w:tr>
        <w:trPr>
          <w:trHeight w:val="34"/>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3"/>
          </w:tcPr>
          <w:p>
            <w:pPr>
              <w:jc w:val="center"/>
              <w:ind w:right="25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6420" w:type="dxa"/>
            <w:vAlign w:val="bottom"/>
            <w:gridSpan w:val="5"/>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6"/>
              </w:rPr>
              <w:t>Net fair value of gas and oil derivative contracts outstanding at December 31, 2013</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Change in gas and oil prices on futures markets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84"/>
        </w:trPr>
        <w:tc>
          <w:tcPr>
            <w:tcW w:w="3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Contracts added</w:t>
            </w: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7"/>
        </w:trPr>
        <w:tc>
          <w:tcPr>
            <w:tcW w:w="642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w w:val="94"/>
              </w:rPr>
              <w:t>Net fair value of gas and oil derivative contracts outstanding at March 31, 2014</w:t>
            </w:r>
          </w:p>
        </w:tc>
        <w:tc>
          <w:tcPr>
            <w:tcW w:w="2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gridSpan w:val="3"/>
            <w:vMerge w:val="restart"/>
          </w:tcPr>
          <w:p>
            <w:pPr>
              <w:jc w:val="center"/>
              <w:ind w:left="1370"/>
              <w:spacing w:after="0"/>
              <w:rPr>
                <w:sz w:val="20"/>
                <w:szCs w:val="20"/>
                <w:color w:val="auto"/>
              </w:rPr>
            </w:pPr>
            <w:r>
              <w:rPr>
                <w:rFonts w:ascii="Arial" w:cs="Arial" w:eastAsia="Arial" w:hAnsi="Arial"/>
                <w:sz w:val="18"/>
                <w:szCs w:val="18"/>
                <w:color w:val="auto"/>
                <w:w w:val="89"/>
              </w:rPr>
              <w:t>48</w:t>
            </w: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26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9" w:right="239" w:bottom="1440" w:gutter="0" w:footer="0" w:header="0"/>
        </w:sectPr>
      </w:pPr>
    </w:p>
    <w:bookmarkStart w:id="50" w:name="page51"/>
    <w:bookmarkEnd w:id="50"/>
    <w:p>
      <w:pPr>
        <w:ind w:right="900"/>
        <w:spacing w:after="0" w:line="277" w:lineRule="auto"/>
        <w:rPr>
          <w:sz w:val="20"/>
          <w:szCs w:val="20"/>
          <w:color w:val="auto"/>
        </w:rPr>
      </w:pPr>
      <w:r>
        <w:rPr>
          <w:rFonts w:ascii="Arial" w:cs="Arial" w:eastAsia="Arial" w:hAnsi="Arial"/>
          <w:sz w:val="18"/>
          <w:szCs w:val="18"/>
          <w:color w:val="auto"/>
        </w:rPr>
        <w:t>The following table shows sensitivity of fair value of gas and oil derivative contracts to changes in the market price of gas, oil and NGL and basis differentials: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March 31, 2014</w:t>
            </w:r>
          </w:p>
        </w:tc>
      </w:tr>
      <w:tr>
        <w:trPr>
          <w:trHeight w:val="34"/>
        </w:trPr>
        <w:tc>
          <w:tcPr>
            <w:tcW w:w="9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Fair value if market prices of gas and oil and basis differentials decline by 10%</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106.2</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gas and oil and basis differentials increase by 10%</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(244.0)</w:t>
            </w:r>
          </w:p>
        </w:tc>
      </w:tr>
      <w:tr>
        <w:trPr>
          <w:trHeight w:val="27"/>
        </w:trPr>
        <w:tc>
          <w:tcPr>
            <w:tcW w:w="9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Utilizing the actual derivative volumes, a 10% increase in underlying commodity prices would reduce the fair value of these instruments by $175.1 million, while a 10% decrease in underlying commodity prices would increase the fair value of these instruments by $175.1 million as of March 31, 2014. However, a gain or loss eventually would be offset by the actual sales value of the physical production covered by the derivative instruments. For additional information regarding the Company’s commodity derivative transactions, see Note 8 – Derivative Contracts under Part I, Item 1 of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ability to borrow and the rates offered by lenders can be adversely affected by illiquid credit markets as described in the risk factors in Part I, Item 1A of the Company’s Annual Report on Form 10-K for the year ended December 31, 2013. The Company’s credit facility has a floating interest rate, which exposes QEP to interest rate risk. At March 31, 2014, the Company had $1,101.5 million outstanding under its revolving credit facility. If interest rates were to increase or decrease 10% over the three months ended March 31, 2014, at our average level of borrowing for those same periods, our interest expense would increase or decrease by $0.4 million for the three months ended March 31, 2014.</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term loan has a floating interest rate, which also exposes QEP to interest rate risk. QEP uses interest rate swaps to mitigate a portion of its exposure to interest rate volatility risk associated with its $600.0 million term loan. For the $300.0 million term loan issued during 2012, QEP locked in a fixed interest rate of 1.07% in exchange for a variable interest rate indexed to the one-month LIBOR. For the $300.0 million term loan issued during 2014, QEP locked in a fixed interest rate of 0.86%. The interest rate swaps settle monthly and will mature in March 2017. At March 31, 2014, the fair value of the interest rate swaps was a derivative liability balance of $1.9 million. A 50 basis point decrease would cause the fair value of the interest rate swaps to decrease by $8.1 million while a 50 basis point increase would cause the fair value of the interest rate swaps to increase by $8.6 million.</w:t>
      </w:r>
    </w:p>
    <w:p>
      <w:pPr>
        <w:spacing w:after="0" w:line="17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remaining $2,221.8 million of the Company’s debt is Senior Notes with fixed interest rates; therefore it is not affected by interest rate movements. For additional information regarding the Company’s debt instruments, see Note 10 – Debt under Part I, Item 1 of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QEP’s growth strategies;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gas, oil and NGL prices and factors affecting the volatility of such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to drill or participate in wells and to defer completion of wells;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 forma results for acquired properties;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restructuring costs;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liquidity;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to divest of non-core assets and use of proceeds from such divestitures;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plans to separate the midstream business;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refinery and pipeline and other infrastructure constraints on oil prices;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assumptions regarding equity-based compensation;</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and operating expenses;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estimated accrual for loss contingencies and other items;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 of a recession;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plans to enter into derivative contracts for a portion of forecasted production;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contributions to the Company’s pension plans and returns from plan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significance of Adjusted EBITDA as a measure of cash flow and liquidity;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for future asset impairments;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estimated future purchase accounting adjustments;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closing and recognition of any gain or loss on dispositions.</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2013;</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gas, oil and NGL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available pipeline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QEP's ability to successfully integrate acquired assets or divest of non-core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permitting delays;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maintenance and construction costs, including possible inflationary pressures;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and cost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legislation regarding climate change and other initiatives related to drilling and completion techniques, including hydraulic fracturing;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liabilities from legal proceedings and environmental claims;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QEP's information technology infrastructure or applications;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future opportunities that QEP's Board of Directors may determine present greater potential value to stockholders than planned divestiture of assets;</w:t>
      </w:r>
    </w:p>
    <w:p>
      <w:pPr>
        <w:spacing w:after="0" w:line="32" w:lineRule="exact"/>
        <w:rPr>
          <w:rFonts w:ascii="Arial" w:cs="Arial" w:eastAsia="Arial" w:hAnsi="Arial"/>
          <w:sz w:val="16"/>
          <w:szCs w:val="16"/>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processing margins;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costs for constructing, modifying or operating midstream facilities;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QEP's products;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QEP undertakes no obligation to publicly correct or update the forward-looking statements in this Quarterly Report on Form 10-Q, in other documents, or on the website to reflect future events or circumstances. All such statements are expressly qualified by this cautionary statement.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2" w:name="page53"/>
    <w:bookmarkEnd w:id="52"/>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Chief Executive Officer and Chief Financial Officer have evaluated the effectiveness of the Company’s disclosure controls and procedures (as such term is defined in Rules 13a-15(e) under the Securities Exchange Act of 1934, as amended, the Exchange Act) as of March 31, 2014. Based on such evaluation, such officers have concluded that, as of March 31, 2014,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during the quarter ended March 31, 2014, that have materially affected, or that are reasonably likely to materially affect, the Company’s internal control over financial reporting.</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14, 2013, the Committee of Sponsoring Organizations of the Treadway Commission (COSO) issued an updated version of its Internal Control - Integrated Framework (the 2013 Framework). Originally issued in 1992 (the 1992 Framework), the framework helps organizations design, implement and evaluate the effectiveness of internal control concepts and simplify their use and application. The 1992 Framework remains available during the transition period, which extends to December 15, 2014, after which time COSO will consider it as superseded by the 2013 Framework. As of March 31, 2014, QEP has initiated the process to ensure we are in compliance with the 2013 Framework and we anticipate we will be in compliance by the required due date of December 15, 2014.</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Information regarding legal proceedings is set forth in Note 11 - Contingencies to the Company's condensed consolidated financial statements included in Item 1 of Part I of this Quarterly Report on Form 10-Q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2013. No material changes to such risk factors have occurred during the three months ended March 31, 2014.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0" w:right="259" w:bottom="1440" w:gutter="0" w:footer="0" w:header="0"/>
        </w:sectPr>
      </w:pPr>
    </w:p>
    <w:bookmarkStart w:id="53" w:name="page54"/>
    <w:bookmarkEnd w:id="53"/>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stock awards withheld for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 shares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 as part of</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Total shares</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average price</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publicly announced</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under the</w:t>
            </w:r>
          </w:p>
        </w:tc>
      </w:tr>
      <w:tr>
        <w:trPr>
          <w:trHeight w:val="234"/>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purchased (1)</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paid per share</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plans or programs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34"/>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2014 - January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February 1, 2014 - February 28, 2014</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2014 - March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188,927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r>
      <w:tr>
        <w:trPr>
          <w:trHeight w:val="212"/>
        </w:trPr>
        <w:tc>
          <w:tcPr>
            <w:tcW w:w="354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bl>
    <w:p>
      <w:pPr>
        <w:ind w:left="660" w:right="200" w:hanging="314"/>
        <w:spacing w:after="0" w:line="257" w:lineRule="auto"/>
        <w:tabs>
          <w:tab w:leader="none" w:pos="6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All of the 189,192 shares purchased during the three-month period ended March 31, 2014 were acquired from employees in connection with the settlement of income tax and related benefit withholding obligations arising from vesting in restricted stock grants. These shares were not part of a publicly announced program to purchase common stock. Stock options that are net settled do not involve the acquisition of any shares.</w:t>
      </w:r>
    </w:p>
    <w:p>
      <w:pPr>
        <w:spacing w:after="0" w:line="18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January 2014, QEP's Board of Directors authorized the repurchase of up to $500.0 million of the Company's outstanding shares of common stock. This authorization is effective until January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the quarter ended March 31, 2014, no shares were repurchased.</w:t>
      </w:r>
    </w:p>
    <w:p>
      <w:pPr>
        <w:spacing w:after="0" w:line="15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34"/>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Purchase and Sale Agreement, dated December 6, 2013, by and among QEP Energy Company, as purchaser, and Enervest Holding,</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L.P., Enervest Energy Institutional Fund XII-A, L.P., Enervest Energy Institutional Fund XII-WIB, L.P., and Enervest Energy</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Institutional Fund XII-WIC, L.P., as sellers, as amended by First Amendment to Purchase and Sale Agreement, date January 31, 2014,</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by and between EnerVest Holding, L.P. and QEP Energy Company, and Second Amendment to Purchase and Sale Agreement, date</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14, 2014, by and between EnerVest Holding, L.P. and QEP Energy Company.</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Second Amendment to Term Loan Agreement, dated as of February 25, 2014, by and among QEP Resources, Inc., the lenders party</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thereto and Wells Fargo Bank, National Association, in its capacity as administrative agent for the lenders.</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Third Amendment to Credit Agreement, dated as of January 31, 2014, by and among QEP Resources, Inc., the lenders party thereto</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Wells Fargo Bank, National Association, in its capacity as administrative agent for the lenders.</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2"/>
              </w:rPr>
              <w:t>Certification signed by Charles B. Stanley, QEP Resources, Inc.’s Chief Executive Officer, pursuant to Section 302 of the Sarbanes-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Oxley 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7"/>
              </w:rPr>
              <w:t>Certification signed by Charles B. Stanley and Richard J. Doleshek, QEP Resources, Inc.’s Chief Executive Officer and Chief</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Financial Officer, respectively, pursuant to Section 906 of the Sarbanes-Oxley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Instance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40" w:type="dxa"/>
            <w:vAlign w:val="bottom"/>
          </w:tcPr>
          <w:p>
            <w:pPr>
              <w:ind w:left="40"/>
              <w:spacing w:after="0"/>
              <w:rPr>
                <w:sz w:val="20"/>
                <w:szCs w:val="20"/>
                <w:color w:val="auto"/>
              </w:rPr>
            </w:pPr>
            <w:r>
              <w:rPr>
                <w:rFonts w:ascii="Arial" w:cs="Arial" w:eastAsia="Arial" w:hAnsi="Arial"/>
                <w:sz w:val="18"/>
                <w:szCs w:val="18"/>
                <w:color w:val="auto"/>
              </w:rPr>
              <w:t>XBRL Schema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40" w:type="dxa"/>
            <w:vAlign w:val="bottom"/>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40" w:type="dxa"/>
            <w:vAlign w:val="bottom"/>
          </w:tcPr>
          <w:p>
            <w:pPr>
              <w:ind w:left="40"/>
              <w:spacing w:after="0"/>
              <w:rPr>
                <w:sz w:val="20"/>
                <w:szCs w:val="20"/>
                <w:color w:val="auto"/>
              </w:rPr>
            </w:pPr>
            <w:r>
              <w:rPr>
                <w:rFonts w:ascii="Arial" w:cs="Arial" w:eastAsia="Arial" w:hAnsi="Arial"/>
                <w:sz w:val="18"/>
                <w:szCs w:val="18"/>
                <w:color w:val="auto"/>
              </w:rPr>
              <w:t>XBRL Definition Linkbase Document</w:t>
            </w:r>
          </w:p>
        </w:tc>
      </w:tr>
    </w:tbl>
    <w:p>
      <w:pPr>
        <w:spacing w:after="0" w:line="200" w:lineRule="exact"/>
        <w:rPr>
          <w:sz w:val="20"/>
          <w:szCs w:val="20"/>
          <w:color w:val="auto"/>
        </w:rPr>
      </w:pPr>
    </w:p>
    <w:p>
      <w:pPr>
        <w:sectPr>
          <w:pgSz w:w="11900" w:h="16838" w:orient="portrait"/>
          <w:cols w:equalWidth="0" w:num="1">
            <w:col w:w="11420"/>
          </w:cols>
          <w:pgMar w:left="240" w:top="580" w:right="239" w:bottom="1095"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80" w:right="239" w:bottom="1095"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9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0"/>
        </w:trPr>
        <w:tc>
          <w:tcPr>
            <w:tcW w:w="3240" w:type="dxa"/>
            <w:vAlign w:val="bottom"/>
            <w:gridSpan w:val="2"/>
          </w:tcPr>
          <w:p>
            <w:pPr>
              <w:spacing w:after="0"/>
              <w:rPr>
                <w:sz w:val="20"/>
                <w:szCs w:val="20"/>
                <w:color w:val="auto"/>
              </w:rPr>
            </w:pPr>
            <w:r>
              <w:rPr>
                <w:rFonts w:ascii="Arial" w:cs="Arial" w:eastAsia="Arial" w:hAnsi="Arial"/>
                <w:sz w:val="18"/>
                <w:szCs w:val="18"/>
                <w:color w:val="auto"/>
              </w:rPr>
              <w:t>May 7, 2014</w:t>
            </w:r>
          </w:p>
        </w:tc>
        <w:tc>
          <w:tcPr>
            <w:tcW w:w="26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55"/>
        </w:trPr>
        <w:tc>
          <w:tcPr>
            <w:tcW w:w="900" w:type="dxa"/>
            <w:vAlign w:val="bottom"/>
            <w:tcBorders>
              <w:top w:val="single" w:sz="8" w:color="auto"/>
            </w:tcBorders>
          </w:tcPr>
          <w:p>
            <w:pPr>
              <w:spacing w:after="0"/>
              <w:rPr>
                <w:sz w:val="4"/>
                <w:szCs w:val="4"/>
                <w:color w:val="auto"/>
              </w:rPr>
            </w:pPr>
          </w:p>
        </w:tc>
        <w:tc>
          <w:tcPr>
            <w:tcW w:w="23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43"/>
        </w:trPr>
        <w:tc>
          <w:tcPr>
            <w:tcW w:w="9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9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00"/>
        </w:trPr>
        <w:tc>
          <w:tcPr>
            <w:tcW w:w="3240" w:type="dxa"/>
            <w:vAlign w:val="bottom"/>
            <w:gridSpan w:val="2"/>
          </w:tcPr>
          <w:p>
            <w:pPr>
              <w:spacing w:after="0"/>
              <w:rPr>
                <w:sz w:val="20"/>
                <w:szCs w:val="20"/>
                <w:color w:val="auto"/>
              </w:rPr>
            </w:pPr>
            <w:r>
              <w:rPr>
                <w:rFonts w:ascii="Arial" w:cs="Arial" w:eastAsia="Arial" w:hAnsi="Arial"/>
                <w:sz w:val="18"/>
                <w:szCs w:val="18"/>
                <w:color w:val="auto"/>
              </w:rPr>
              <w:t>May 7, 2014</w:t>
            </w:r>
          </w:p>
        </w:tc>
        <w:tc>
          <w:tcPr>
            <w:tcW w:w="26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55"/>
        </w:trPr>
        <w:tc>
          <w:tcPr>
            <w:tcW w:w="900" w:type="dxa"/>
            <w:vAlign w:val="bottom"/>
            <w:tcBorders>
              <w:top w:val="single" w:sz="8" w:color="auto"/>
            </w:tcBorders>
          </w:tcPr>
          <w:p>
            <w:pPr>
              <w:spacing w:after="0"/>
              <w:rPr>
                <w:sz w:val="4"/>
                <w:szCs w:val="4"/>
                <w:color w:val="auto"/>
              </w:rPr>
            </w:pPr>
          </w:p>
        </w:tc>
        <w:tc>
          <w:tcPr>
            <w:tcW w:w="23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43"/>
        </w:trPr>
        <w:tc>
          <w:tcPr>
            <w:tcW w:w="9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9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70"/>
        </w:trPr>
        <w:tc>
          <w:tcPr>
            <w:tcW w:w="9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486"/>
        </w:trPr>
        <w:tc>
          <w:tcPr>
            <w:tcW w:w="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8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ENERVEST HOLDING, L.P.,</w:t>
      </w:r>
    </w:p>
    <w:p>
      <w:pPr>
        <w:spacing w:after="0" w:line="220" w:lineRule="exact"/>
        <w:rPr>
          <w:sz w:val="20"/>
          <w:szCs w:val="20"/>
          <w:color w:val="auto"/>
        </w:rPr>
      </w:pPr>
    </w:p>
    <w:p>
      <w:pPr>
        <w:jc w:val="center"/>
        <w:ind w:left="1500" w:right="2680"/>
        <w:spacing w:after="0" w:line="448" w:lineRule="auto"/>
        <w:rPr>
          <w:sz w:val="20"/>
          <w:szCs w:val="20"/>
          <w:color w:val="auto"/>
        </w:rPr>
      </w:pPr>
      <w:r>
        <w:rPr>
          <w:rFonts w:ascii="Arial" w:cs="Arial" w:eastAsia="Arial" w:hAnsi="Arial"/>
          <w:sz w:val="22"/>
          <w:szCs w:val="22"/>
          <w:b w:val="1"/>
          <w:bCs w:val="1"/>
          <w:color w:val="auto"/>
        </w:rPr>
        <w:t>ENERVEST ENERGY INSTITUTIONAL FUND XII-A, L.P., ENERVEST ENERGY INSTITUTIONAL FUND XII-WIB, L.P. and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ENERVEST ENERGY INSTITUTIONAL FUND XII-WIC, L.P.,</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Sellers,</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QEP Energy company,</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Buyer,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dated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December 6, 2013</w:t>
      </w:r>
    </w:p>
    <w:p>
      <w:pPr>
        <w:sectPr>
          <w:pgSz w:w="11900" w:h="16838" w:orient="portrait"/>
          <w:cols w:equalWidth="0" w:num="1">
            <w:col w:w="10220"/>
          </w:cols>
          <w:pgMar w:left="1440" w:top="12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510"/>
        </w:trPr>
        <w:tc>
          <w:tcPr>
            <w:tcW w:w="860" w:type="dxa"/>
            <w:vAlign w:val="bottom"/>
          </w:tcPr>
          <w:p>
            <w:pPr>
              <w:spacing w:after="0"/>
              <w:rPr>
                <w:sz w:val="24"/>
                <w:szCs w:val="24"/>
                <w:color w:val="auto"/>
              </w:rPr>
            </w:pPr>
          </w:p>
        </w:tc>
        <w:tc>
          <w:tcPr>
            <w:tcW w:w="7780" w:type="dxa"/>
            <w:vAlign w:val="bottom"/>
          </w:tcPr>
          <w:p>
            <w:pPr>
              <w:ind w:left="3660"/>
              <w:spacing w:after="0"/>
              <w:rPr>
                <w:sz w:val="20"/>
                <w:szCs w:val="20"/>
                <w:color w:val="auto"/>
              </w:rPr>
            </w:pPr>
            <w:r>
              <w:rPr>
                <w:rFonts w:ascii="Arial" w:cs="Arial" w:eastAsia="Arial" w:hAnsi="Arial"/>
                <w:sz w:val="22"/>
                <w:szCs w:val="22"/>
                <w:b w:val="1"/>
                <w:bCs w:val="1"/>
                <w:color w:val="auto"/>
              </w:rPr>
              <w:t>TABLE OF CONTENTS</w:t>
            </w: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15"/>
        </w:trPr>
        <w:tc>
          <w:tcPr>
            <w:tcW w:w="8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jc w:val="right"/>
              <w:ind w:right="41"/>
              <w:spacing w:after="0"/>
              <w:rPr>
                <w:sz w:val="20"/>
                <w:szCs w:val="20"/>
                <w:color w:val="auto"/>
              </w:rPr>
            </w:pPr>
            <w:r>
              <w:rPr>
                <w:rFonts w:ascii="Arial" w:cs="Arial" w:eastAsia="Arial" w:hAnsi="Arial"/>
                <w:sz w:val="20"/>
                <w:szCs w:val="20"/>
                <w:b w:val="1"/>
                <w:bCs w:val="1"/>
                <w:color w:val="auto"/>
              </w:rPr>
              <w:t>Page</w:t>
            </w:r>
          </w:p>
        </w:tc>
      </w:tr>
      <w:tr>
        <w:trPr>
          <w:trHeight w:val="23"/>
        </w:trPr>
        <w:tc>
          <w:tcPr>
            <w:tcW w:w="864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565"/>
        </w:trPr>
        <w:tc>
          <w:tcPr>
            <w:tcW w:w="8640" w:type="dxa"/>
            <w:vAlign w:val="bottom"/>
            <w:gridSpan w:val="2"/>
          </w:tcPr>
          <w:p>
            <w:pPr>
              <w:spacing w:after="0"/>
              <w:rPr>
                <w:sz w:val="20"/>
                <w:szCs w:val="20"/>
                <w:color w:val="auto"/>
              </w:rPr>
            </w:pPr>
            <w:r>
              <w:rPr>
                <w:rFonts w:ascii="Arial" w:cs="Arial" w:eastAsia="Arial" w:hAnsi="Arial"/>
                <w:sz w:val="20"/>
                <w:szCs w:val="20"/>
                <w:color w:val="auto"/>
              </w:rPr>
              <w:t>ARTICLE I DEFINITIONS AND INTERPRETATION</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1.1</w:t>
            </w:r>
          </w:p>
        </w:tc>
        <w:tc>
          <w:tcPr>
            <w:tcW w:w="7780" w:type="dxa"/>
            <w:vAlign w:val="bottom"/>
          </w:tcPr>
          <w:p>
            <w:pPr>
              <w:ind w:left="80"/>
              <w:spacing w:after="0"/>
              <w:rPr>
                <w:sz w:val="20"/>
                <w:szCs w:val="20"/>
                <w:color w:val="auto"/>
              </w:rPr>
            </w:pPr>
            <w:r>
              <w:rPr>
                <w:rFonts w:ascii="Arial" w:cs="Arial" w:eastAsia="Arial" w:hAnsi="Arial"/>
                <w:sz w:val="20"/>
                <w:szCs w:val="20"/>
                <w:color w:val="auto"/>
              </w:rPr>
              <w:t>Defined Terms</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1.2</w:t>
            </w:r>
          </w:p>
        </w:tc>
        <w:tc>
          <w:tcPr>
            <w:tcW w:w="7780" w:type="dxa"/>
            <w:vAlign w:val="bottom"/>
          </w:tcPr>
          <w:p>
            <w:pPr>
              <w:ind w:left="80"/>
              <w:spacing w:after="0"/>
              <w:rPr>
                <w:sz w:val="20"/>
                <w:szCs w:val="20"/>
                <w:color w:val="auto"/>
              </w:rPr>
            </w:pPr>
            <w:r>
              <w:rPr>
                <w:rFonts w:ascii="Arial" w:cs="Arial" w:eastAsia="Arial" w:hAnsi="Arial"/>
                <w:sz w:val="20"/>
                <w:szCs w:val="20"/>
                <w:color w:val="auto"/>
              </w:rPr>
              <w:t>References and Rules of Construction</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97"/>
        </w:trPr>
        <w:tc>
          <w:tcPr>
            <w:tcW w:w="8640" w:type="dxa"/>
            <w:vAlign w:val="bottom"/>
            <w:gridSpan w:val="2"/>
          </w:tcPr>
          <w:p>
            <w:pPr>
              <w:spacing w:after="0"/>
              <w:rPr>
                <w:sz w:val="20"/>
                <w:szCs w:val="20"/>
                <w:color w:val="auto"/>
              </w:rPr>
            </w:pPr>
            <w:r>
              <w:rPr>
                <w:rFonts w:ascii="Arial" w:cs="Arial" w:eastAsia="Arial" w:hAnsi="Arial"/>
                <w:sz w:val="20"/>
                <w:szCs w:val="20"/>
                <w:color w:val="auto"/>
              </w:rPr>
              <w:t>ARTICLE II PURCHASE AND SALE</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2.1</w:t>
            </w:r>
          </w:p>
        </w:tc>
        <w:tc>
          <w:tcPr>
            <w:tcW w:w="7780" w:type="dxa"/>
            <w:vAlign w:val="bottom"/>
          </w:tcPr>
          <w:p>
            <w:pPr>
              <w:ind w:left="80"/>
              <w:spacing w:after="0"/>
              <w:rPr>
                <w:sz w:val="20"/>
                <w:szCs w:val="20"/>
                <w:color w:val="auto"/>
              </w:rPr>
            </w:pPr>
            <w:r>
              <w:rPr>
                <w:rFonts w:ascii="Arial" w:cs="Arial" w:eastAsia="Arial" w:hAnsi="Arial"/>
                <w:sz w:val="20"/>
                <w:szCs w:val="20"/>
                <w:color w:val="auto"/>
              </w:rPr>
              <w:t>Purchase and Sale</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2.2</w:t>
            </w:r>
          </w:p>
        </w:tc>
        <w:tc>
          <w:tcPr>
            <w:tcW w:w="7780" w:type="dxa"/>
            <w:vAlign w:val="bottom"/>
          </w:tcPr>
          <w:p>
            <w:pPr>
              <w:ind w:left="80"/>
              <w:spacing w:after="0"/>
              <w:rPr>
                <w:sz w:val="20"/>
                <w:szCs w:val="20"/>
                <w:color w:val="auto"/>
              </w:rPr>
            </w:pPr>
            <w:r>
              <w:rPr>
                <w:rFonts w:ascii="Arial" w:cs="Arial" w:eastAsia="Arial" w:hAnsi="Arial"/>
                <w:sz w:val="20"/>
                <w:szCs w:val="20"/>
                <w:color w:val="auto"/>
              </w:rPr>
              <w:t>Excluded Assets</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2.3</w:t>
            </w:r>
          </w:p>
        </w:tc>
        <w:tc>
          <w:tcPr>
            <w:tcW w:w="7780" w:type="dxa"/>
            <w:vAlign w:val="bottom"/>
          </w:tcPr>
          <w:p>
            <w:pPr>
              <w:ind w:left="80"/>
              <w:spacing w:after="0"/>
              <w:rPr>
                <w:sz w:val="20"/>
                <w:szCs w:val="20"/>
                <w:color w:val="auto"/>
              </w:rPr>
            </w:pPr>
            <w:r>
              <w:rPr>
                <w:rFonts w:ascii="Arial" w:cs="Arial" w:eastAsia="Arial" w:hAnsi="Arial"/>
                <w:sz w:val="20"/>
                <w:szCs w:val="20"/>
                <w:color w:val="auto"/>
              </w:rPr>
              <w:t>Revenues and Expenses</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97"/>
        </w:trPr>
        <w:tc>
          <w:tcPr>
            <w:tcW w:w="8640" w:type="dxa"/>
            <w:vAlign w:val="bottom"/>
            <w:gridSpan w:val="2"/>
          </w:tcPr>
          <w:p>
            <w:pPr>
              <w:spacing w:after="0"/>
              <w:rPr>
                <w:sz w:val="20"/>
                <w:szCs w:val="20"/>
                <w:color w:val="auto"/>
              </w:rPr>
            </w:pPr>
            <w:r>
              <w:rPr>
                <w:rFonts w:ascii="Arial" w:cs="Arial" w:eastAsia="Arial" w:hAnsi="Arial"/>
                <w:sz w:val="20"/>
                <w:szCs w:val="20"/>
                <w:color w:val="auto"/>
              </w:rPr>
              <w:t>ARTICLE III PURCHASE PRICE</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3.1</w:t>
            </w:r>
          </w:p>
        </w:tc>
        <w:tc>
          <w:tcPr>
            <w:tcW w:w="7780" w:type="dxa"/>
            <w:vAlign w:val="bottom"/>
          </w:tcPr>
          <w:p>
            <w:pPr>
              <w:ind w:left="80"/>
              <w:spacing w:after="0"/>
              <w:rPr>
                <w:sz w:val="20"/>
                <w:szCs w:val="20"/>
                <w:color w:val="auto"/>
              </w:rPr>
            </w:pPr>
            <w:r>
              <w:rPr>
                <w:rFonts w:ascii="Arial" w:cs="Arial" w:eastAsia="Arial" w:hAnsi="Arial"/>
                <w:sz w:val="20"/>
                <w:szCs w:val="20"/>
                <w:color w:val="auto"/>
              </w:rPr>
              <w:t>Purchase Price</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3.2</w:t>
            </w:r>
          </w:p>
        </w:tc>
        <w:tc>
          <w:tcPr>
            <w:tcW w:w="7780" w:type="dxa"/>
            <w:vAlign w:val="bottom"/>
          </w:tcPr>
          <w:p>
            <w:pPr>
              <w:ind w:left="80"/>
              <w:spacing w:after="0"/>
              <w:rPr>
                <w:sz w:val="20"/>
                <w:szCs w:val="20"/>
                <w:color w:val="auto"/>
              </w:rPr>
            </w:pPr>
            <w:r>
              <w:rPr>
                <w:rFonts w:ascii="Arial" w:cs="Arial" w:eastAsia="Arial" w:hAnsi="Arial"/>
                <w:sz w:val="20"/>
                <w:szCs w:val="20"/>
                <w:color w:val="auto"/>
              </w:rPr>
              <w:t>Deposit</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3.3</w:t>
            </w:r>
          </w:p>
        </w:tc>
        <w:tc>
          <w:tcPr>
            <w:tcW w:w="7780" w:type="dxa"/>
            <w:vAlign w:val="bottom"/>
          </w:tcPr>
          <w:p>
            <w:pPr>
              <w:ind w:left="80"/>
              <w:spacing w:after="0"/>
              <w:rPr>
                <w:sz w:val="20"/>
                <w:szCs w:val="20"/>
                <w:color w:val="auto"/>
              </w:rPr>
            </w:pPr>
            <w:r>
              <w:rPr>
                <w:rFonts w:ascii="Arial" w:cs="Arial" w:eastAsia="Arial" w:hAnsi="Arial"/>
                <w:sz w:val="20"/>
                <w:szCs w:val="20"/>
                <w:color w:val="auto"/>
              </w:rPr>
              <w:t>Adjustments to Purchase Price</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3.4</w:t>
            </w:r>
          </w:p>
        </w:tc>
        <w:tc>
          <w:tcPr>
            <w:tcW w:w="7780" w:type="dxa"/>
            <w:vAlign w:val="bottom"/>
          </w:tcPr>
          <w:p>
            <w:pPr>
              <w:ind w:left="80"/>
              <w:spacing w:after="0"/>
              <w:rPr>
                <w:sz w:val="20"/>
                <w:szCs w:val="20"/>
                <w:color w:val="auto"/>
              </w:rPr>
            </w:pPr>
            <w:r>
              <w:rPr>
                <w:rFonts w:ascii="Arial" w:cs="Arial" w:eastAsia="Arial" w:hAnsi="Arial"/>
                <w:sz w:val="20"/>
                <w:szCs w:val="20"/>
                <w:color w:val="auto"/>
              </w:rPr>
              <w:t>Adjustment Methodology</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3.5</w:t>
            </w:r>
          </w:p>
        </w:tc>
        <w:tc>
          <w:tcPr>
            <w:tcW w:w="7780" w:type="dxa"/>
            <w:vAlign w:val="bottom"/>
          </w:tcPr>
          <w:p>
            <w:pPr>
              <w:ind w:left="80"/>
              <w:spacing w:after="0"/>
              <w:rPr>
                <w:sz w:val="20"/>
                <w:szCs w:val="20"/>
                <w:color w:val="auto"/>
              </w:rPr>
            </w:pPr>
            <w:r>
              <w:rPr>
                <w:rFonts w:ascii="Arial" w:cs="Arial" w:eastAsia="Arial" w:hAnsi="Arial"/>
                <w:sz w:val="20"/>
                <w:szCs w:val="20"/>
                <w:color w:val="auto"/>
              </w:rPr>
              <w:t>Preliminary Settlement Statement</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3.6</w:t>
            </w:r>
          </w:p>
        </w:tc>
        <w:tc>
          <w:tcPr>
            <w:tcW w:w="7780" w:type="dxa"/>
            <w:vAlign w:val="bottom"/>
          </w:tcPr>
          <w:p>
            <w:pPr>
              <w:ind w:left="80"/>
              <w:spacing w:after="0"/>
              <w:rPr>
                <w:sz w:val="20"/>
                <w:szCs w:val="20"/>
                <w:color w:val="auto"/>
              </w:rPr>
            </w:pPr>
            <w:r>
              <w:rPr>
                <w:rFonts w:ascii="Arial" w:cs="Arial" w:eastAsia="Arial" w:hAnsi="Arial"/>
                <w:sz w:val="20"/>
                <w:szCs w:val="20"/>
                <w:color w:val="auto"/>
              </w:rPr>
              <w:t>Final Settlement Statement</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3.7</w:t>
            </w:r>
          </w:p>
        </w:tc>
        <w:tc>
          <w:tcPr>
            <w:tcW w:w="7780" w:type="dxa"/>
            <w:vAlign w:val="bottom"/>
          </w:tcPr>
          <w:p>
            <w:pPr>
              <w:ind w:left="80"/>
              <w:spacing w:after="0"/>
              <w:rPr>
                <w:sz w:val="20"/>
                <w:szCs w:val="20"/>
                <w:color w:val="auto"/>
              </w:rPr>
            </w:pPr>
            <w:r>
              <w:rPr>
                <w:rFonts w:ascii="Arial" w:cs="Arial" w:eastAsia="Arial" w:hAnsi="Arial"/>
                <w:sz w:val="20"/>
                <w:szCs w:val="20"/>
                <w:color w:val="auto"/>
              </w:rPr>
              <w:t>Disputes</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3.8</w:t>
            </w:r>
          </w:p>
        </w:tc>
        <w:tc>
          <w:tcPr>
            <w:tcW w:w="7780" w:type="dxa"/>
            <w:vAlign w:val="bottom"/>
          </w:tcPr>
          <w:p>
            <w:pPr>
              <w:ind w:left="80"/>
              <w:spacing w:after="0"/>
              <w:rPr>
                <w:sz w:val="20"/>
                <w:szCs w:val="20"/>
                <w:color w:val="auto"/>
              </w:rPr>
            </w:pPr>
            <w:r>
              <w:rPr>
                <w:rFonts w:ascii="Arial" w:cs="Arial" w:eastAsia="Arial" w:hAnsi="Arial"/>
                <w:sz w:val="20"/>
                <w:szCs w:val="20"/>
                <w:color w:val="auto"/>
              </w:rPr>
              <w:t>Allocation of Purchase Price; Allocated Values</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3.9</w:t>
            </w:r>
          </w:p>
        </w:tc>
        <w:tc>
          <w:tcPr>
            <w:tcW w:w="7780" w:type="dxa"/>
            <w:vAlign w:val="bottom"/>
          </w:tcPr>
          <w:p>
            <w:pPr>
              <w:ind w:left="80"/>
              <w:spacing w:after="0"/>
              <w:rPr>
                <w:sz w:val="20"/>
                <w:szCs w:val="20"/>
                <w:color w:val="auto"/>
              </w:rPr>
            </w:pPr>
            <w:r>
              <w:rPr>
                <w:rFonts w:ascii="Arial" w:cs="Arial" w:eastAsia="Arial" w:hAnsi="Arial"/>
                <w:sz w:val="20"/>
                <w:szCs w:val="20"/>
                <w:color w:val="auto"/>
              </w:rPr>
              <w:t>Allocation for Imbalances at Closing</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3.10</w:t>
            </w:r>
          </w:p>
        </w:tc>
        <w:tc>
          <w:tcPr>
            <w:tcW w:w="7780" w:type="dxa"/>
            <w:vAlign w:val="bottom"/>
          </w:tcPr>
          <w:p>
            <w:pPr>
              <w:ind w:left="80"/>
              <w:spacing w:after="0"/>
              <w:rPr>
                <w:sz w:val="20"/>
                <w:szCs w:val="20"/>
                <w:color w:val="auto"/>
              </w:rPr>
            </w:pPr>
            <w:r>
              <w:rPr>
                <w:rFonts w:ascii="Arial" w:cs="Arial" w:eastAsia="Arial" w:hAnsi="Arial"/>
                <w:sz w:val="20"/>
                <w:szCs w:val="20"/>
                <w:color w:val="auto"/>
              </w:rPr>
              <w:t>Holdback Amount</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97"/>
        </w:trPr>
        <w:tc>
          <w:tcPr>
            <w:tcW w:w="8640" w:type="dxa"/>
            <w:vAlign w:val="bottom"/>
            <w:gridSpan w:val="2"/>
          </w:tcPr>
          <w:p>
            <w:pPr>
              <w:spacing w:after="0"/>
              <w:rPr>
                <w:sz w:val="20"/>
                <w:szCs w:val="20"/>
                <w:color w:val="auto"/>
              </w:rPr>
            </w:pPr>
            <w:r>
              <w:rPr>
                <w:rFonts w:ascii="Arial" w:cs="Arial" w:eastAsia="Arial" w:hAnsi="Arial"/>
                <w:sz w:val="20"/>
                <w:szCs w:val="20"/>
                <w:color w:val="auto"/>
              </w:rPr>
              <w:t>ARTICLE IV REPRESENTATIONS AND WARRANTIES OF SELLERS</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4.1</w:t>
            </w:r>
          </w:p>
        </w:tc>
        <w:tc>
          <w:tcPr>
            <w:tcW w:w="7780" w:type="dxa"/>
            <w:vAlign w:val="bottom"/>
          </w:tcPr>
          <w:p>
            <w:pPr>
              <w:ind w:left="80"/>
              <w:spacing w:after="0"/>
              <w:rPr>
                <w:sz w:val="20"/>
                <w:szCs w:val="20"/>
                <w:color w:val="auto"/>
              </w:rPr>
            </w:pPr>
            <w:r>
              <w:rPr>
                <w:rFonts w:ascii="Arial" w:cs="Arial" w:eastAsia="Arial" w:hAnsi="Arial"/>
                <w:sz w:val="20"/>
                <w:szCs w:val="20"/>
                <w:color w:val="auto"/>
              </w:rPr>
              <w:t>Organization, Existence and Qualification</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4.2</w:t>
            </w:r>
          </w:p>
        </w:tc>
        <w:tc>
          <w:tcPr>
            <w:tcW w:w="7780" w:type="dxa"/>
            <w:vAlign w:val="bottom"/>
          </w:tcPr>
          <w:p>
            <w:pPr>
              <w:ind w:left="80"/>
              <w:spacing w:after="0"/>
              <w:rPr>
                <w:sz w:val="20"/>
                <w:szCs w:val="20"/>
                <w:color w:val="auto"/>
              </w:rPr>
            </w:pPr>
            <w:r>
              <w:rPr>
                <w:rFonts w:ascii="Arial" w:cs="Arial" w:eastAsia="Arial" w:hAnsi="Arial"/>
                <w:sz w:val="20"/>
                <w:szCs w:val="20"/>
                <w:color w:val="auto"/>
              </w:rPr>
              <w:t>Authority, Approval and Enforceability</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4.3</w:t>
            </w:r>
          </w:p>
        </w:tc>
        <w:tc>
          <w:tcPr>
            <w:tcW w:w="7780" w:type="dxa"/>
            <w:vAlign w:val="bottom"/>
          </w:tcPr>
          <w:p>
            <w:pPr>
              <w:ind w:left="80"/>
              <w:spacing w:after="0"/>
              <w:rPr>
                <w:sz w:val="20"/>
                <w:szCs w:val="20"/>
                <w:color w:val="auto"/>
              </w:rPr>
            </w:pPr>
            <w:r>
              <w:rPr>
                <w:rFonts w:ascii="Arial" w:cs="Arial" w:eastAsia="Arial" w:hAnsi="Arial"/>
                <w:sz w:val="20"/>
                <w:szCs w:val="20"/>
                <w:color w:val="auto"/>
              </w:rPr>
              <w:t>No Conflicts</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4.4</w:t>
            </w:r>
          </w:p>
        </w:tc>
        <w:tc>
          <w:tcPr>
            <w:tcW w:w="7780" w:type="dxa"/>
            <w:vAlign w:val="bottom"/>
          </w:tcPr>
          <w:p>
            <w:pPr>
              <w:ind w:left="80"/>
              <w:spacing w:after="0"/>
              <w:rPr>
                <w:sz w:val="20"/>
                <w:szCs w:val="20"/>
                <w:color w:val="auto"/>
              </w:rPr>
            </w:pPr>
            <w:r>
              <w:rPr>
                <w:rFonts w:ascii="Arial" w:cs="Arial" w:eastAsia="Arial" w:hAnsi="Arial"/>
                <w:sz w:val="20"/>
                <w:szCs w:val="20"/>
                <w:color w:val="auto"/>
              </w:rPr>
              <w:t>Consents</w:t>
            </w:r>
          </w:p>
        </w:tc>
        <w:tc>
          <w:tcPr>
            <w:tcW w:w="2760" w:type="dxa"/>
            <w:vAlign w:val="bottom"/>
            <w:gridSpan w:val="2"/>
          </w:tcPr>
          <w:p>
            <w:pPr>
              <w:jc w:val="right"/>
              <w:spacing w:after="0"/>
              <w:rPr>
                <w:sz w:val="20"/>
                <w:szCs w:val="20"/>
                <w:color w:val="auto"/>
              </w:rPr>
            </w:pPr>
            <w:r>
              <w:rPr>
                <w:rFonts w:ascii="Arial" w:cs="Arial" w:eastAsia="Arial" w:hAnsi="Arial"/>
                <w:sz w:val="20"/>
                <w:szCs w:val="20"/>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6814820</wp:posOffset>
            </wp:positionH>
            <wp:positionV relativeFrom="paragraph">
              <wp:posOffset>14605</wp:posOffset>
            </wp:positionV>
            <wp:extent cx="8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14605</wp:posOffset>
            </wp:positionV>
            <wp:extent cx="8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6849110</wp:posOffset>
            </wp:positionH>
            <wp:positionV relativeFrom="paragraph">
              <wp:posOffset>14605</wp:posOffset>
            </wp:positionV>
            <wp:extent cx="8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6866255</wp:posOffset>
            </wp:positionH>
            <wp:positionV relativeFrom="paragraph">
              <wp:posOffset>14605</wp:posOffset>
            </wp:positionV>
            <wp:extent cx="8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14605</wp:posOffset>
            </wp:positionV>
            <wp:extent cx="8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14605</wp:posOffset>
            </wp:positionV>
            <wp:extent cx="8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14605</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14605</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6951980</wp:posOffset>
            </wp:positionH>
            <wp:positionV relativeFrom="paragraph">
              <wp:posOffset>14605</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14605</wp:posOffset>
            </wp:positionV>
            <wp:extent cx="8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6986270</wp:posOffset>
            </wp:positionH>
            <wp:positionV relativeFrom="paragraph">
              <wp:posOffset>14605</wp:posOffset>
            </wp:positionV>
            <wp:extent cx="8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14605</wp:posOffset>
            </wp:positionV>
            <wp:extent cx="8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14605</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14605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14605</wp:posOffset>
            </wp:positionV>
            <wp:extent cx="8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14605</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14605</wp:posOffset>
            </wp:positionV>
            <wp:extent cx="8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7106285</wp:posOffset>
            </wp:positionH>
            <wp:positionV relativeFrom="paragraph">
              <wp:posOffset>14605</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7123430</wp:posOffset>
            </wp:positionH>
            <wp:positionV relativeFrom="paragraph">
              <wp:posOffset>14605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7140575</wp:posOffset>
            </wp:positionH>
            <wp:positionV relativeFrom="paragraph">
              <wp:posOffset>14605</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7157720</wp:posOffset>
            </wp:positionH>
            <wp:positionV relativeFrom="paragraph">
              <wp:posOffset>14605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14605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7192010</wp:posOffset>
            </wp:positionH>
            <wp:positionV relativeFrom="paragraph">
              <wp:posOffset>14605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14605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-156210</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-139065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-121920</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-104775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-87630</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-70485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-53340</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-36195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-19050</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14605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14605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14605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14605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14605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14605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wp:posOffset>
            </wp:positionH>
            <wp:positionV relativeFrom="paragraph">
              <wp:posOffset>14605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14605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14605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14605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14605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14605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14605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14605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14605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14605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14605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14605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14605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14605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14605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14605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14605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14605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14605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14605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14605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14605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14605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14605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14605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14605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14605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14605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14605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14605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14605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14605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14605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14605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14605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14605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14605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14605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14605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14605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14605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14605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14605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14605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14605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14605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14605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14605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14605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14605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14605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14605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14605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14605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14605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14605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14605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1703705</wp:posOffset>
            </wp:positionH>
            <wp:positionV relativeFrom="paragraph">
              <wp:posOffset>14605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14605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14605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14605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14605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1789430</wp:posOffset>
            </wp:positionH>
            <wp:positionV relativeFrom="paragraph">
              <wp:posOffset>14605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14605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14605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1840865</wp:posOffset>
            </wp:positionH>
            <wp:positionV relativeFrom="paragraph">
              <wp:posOffset>14605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14605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1875155</wp:posOffset>
            </wp:positionH>
            <wp:positionV relativeFrom="paragraph">
              <wp:posOffset>14605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14605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1909445</wp:posOffset>
            </wp:positionH>
            <wp:positionV relativeFrom="paragraph">
              <wp:posOffset>14605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1926590</wp:posOffset>
            </wp:positionH>
            <wp:positionV relativeFrom="paragraph">
              <wp:posOffset>14605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14605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1960880</wp:posOffset>
            </wp:positionH>
            <wp:positionV relativeFrom="paragraph">
              <wp:posOffset>14605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1978025</wp:posOffset>
            </wp:positionH>
            <wp:positionV relativeFrom="paragraph">
              <wp:posOffset>14605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1995170</wp:posOffset>
            </wp:positionH>
            <wp:positionV relativeFrom="paragraph">
              <wp:posOffset>14605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2012315</wp:posOffset>
            </wp:positionH>
            <wp:positionV relativeFrom="paragraph">
              <wp:posOffset>14605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14605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14605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14605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14605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14605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14605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2132330</wp:posOffset>
            </wp:positionH>
            <wp:positionV relativeFrom="paragraph">
              <wp:posOffset>14605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14605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14605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14605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14605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14605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14605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14605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2269490</wp:posOffset>
            </wp:positionH>
            <wp:positionV relativeFrom="paragraph">
              <wp:posOffset>14605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2286635</wp:posOffset>
            </wp:positionH>
            <wp:positionV relativeFrom="paragraph">
              <wp:posOffset>14605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14605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14605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2338070</wp:posOffset>
            </wp:positionH>
            <wp:positionV relativeFrom="paragraph">
              <wp:posOffset>14605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14605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14605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14605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14605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14605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14605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14605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14605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14605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14605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14605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14605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14605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14605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14605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14605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14605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14605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14605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14605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14605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14605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14605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14605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14605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14605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14605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14605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14605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14605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14605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14605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14605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14605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14605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14605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14605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14605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14605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14605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14605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14605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14605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14605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14605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14605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14605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14605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14605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14605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14605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14605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14605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14605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3298825</wp:posOffset>
            </wp:positionH>
            <wp:positionV relativeFrom="paragraph">
              <wp:posOffset>14605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14605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14605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14605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14605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14605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14605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14605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14605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14605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14605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14605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14605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14605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14605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14605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14605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14605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14605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14605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14605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3658870</wp:posOffset>
            </wp:positionH>
            <wp:positionV relativeFrom="paragraph">
              <wp:posOffset>14605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14605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14605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14605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14605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14605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14605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14605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14605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14605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14605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14605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14605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14605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14605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14605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14605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14605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14605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14605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14605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14605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14605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14605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14605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14605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14605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14605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14605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14605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14605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14605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14605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14605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14605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14605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14605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14605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14605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14605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14605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14605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14605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14605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14605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14605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14605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14605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14605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14605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14605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14605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14605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14605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14605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14605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14605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14605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14605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14605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14605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14605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14605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14605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14605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14605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14605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14605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14605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14605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14605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14605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14605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14605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14605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14605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14605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14605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14605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14605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14605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14605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14605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14605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14605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14605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14605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14605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14605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14605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14605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14605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14605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14605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14605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14605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14605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14605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14605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14605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14605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14605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14605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14605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14605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14605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14605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14605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14605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14605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14605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14605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14605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5596890</wp:posOffset>
            </wp:positionH>
            <wp:positionV relativeFrom="paragraph">
              <wp:posOffset>14605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14605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14605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14605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5665470</wp:posOffset>
            </wp:positionH>
            <wp:positionV relativeFrom="paragraph">
              <wp:posOffset>14605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14605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14605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14605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14605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14605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14605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14605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14605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14605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14605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14605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14605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14605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14605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14605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14605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14605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14605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14605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14605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14605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14605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14605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14605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14605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14605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14605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14605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14605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14605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14605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14605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14605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14605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14605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14605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14605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14605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14605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14605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14605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14605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14605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14605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14605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14605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14605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14605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14605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14605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14605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14605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14605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14605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14605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14605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14605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14605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14605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6694805</wp:posOffset>
            </wp:positionH>
            <wp:positionV relativeFrom="paragraph">
              <wp:posOffset>14605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14605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14605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6746240</wp:posOffset>
            </wp:positionH>
            <wp:positionV relativeFrom="paragraph">
              <wp:posOffset>14605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14605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6780530</wp:posOffset>
            </wp:positionH>
            <wp:positionV relativeFrom="paragraph">
              <wp:posOffset>14605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-156210</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-139065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-121920</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-104775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-87630</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-70485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-53340</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-36195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-19050</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-1905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14605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-4709795</wp:posOffset>
            </wp:positionV>
            <wp:extent cx="7254875" cy="47339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4875" cy="4733925"/>
                    </a:xfrm>
                    <a:prstGeom prst="rect">
                      <a:avLst/>
                    </a:prstGeom>
                    <a:noFill/>
                  </pic:spPr>
                </pic:pic>
              </a:graphicData>
            </a:graphic>
          </wp:anchor>
        </w:drawing>
      </w:r>
    </w:p>
    <w:p>
      <w:pPr>
        <w:sectPr>
          <w:pgSz w:w="11900" w:h="16838" w:orient="portrait"/>
          <w:cols w:equalWidth="0" w:num="1">
            <w:col w:w="11400"/>
          </w:cols>
          <w:pgMar w:left="280" w:top="121"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652"/>
        </w:trPr>
        <w:tc>
          <w:tcPr>
            <w:tcW w:w="860" w:type="dxa"/>
            <w:vAlign w:val="bottom"/>
          </w:tcPr>
          <w:p>
            <w:pPr>
              <w:jc w:val="right"/>
              <w:spacing w:after="0"/>
              <w:rPr>
                <w:sz w:val="20"/>
                <w:szCs w:val="20"/>
                <w:color w:val="auto"/>
              </w:rPr>
            </w:pPr>
            <w:r>
              <w:rPr>
                <w:rFonts w:ascii="Arial" w:cs="Arial" w:eastAsia="Arial" w:hAnsi="Arial"/>
                <w:sz w:val="20"/>
                <w:szCs w:val="20"/>
                <w:color w:val="auto"/>
              </w:rPr>
              <w:t>4.5</w:t>
            </w:r>
          </w:p>
        </w:tc>
        <w:tc>
          <w:tcPr>
            <w:tcW w:w="7220" w:type="dxa"/>
            <w:vAlign w:val="bottom"/>
          </w:tcPr>
          <w:p>
            <w:pPr>
              <w:ind w:left="80"/>
              <w:spacing w:after="0"/>
              <w:rPr>
                <w:sz w:val="20"/>
                <w:szCs w:val="20"/>
                <w:color w:val="auto"/>
              </w:rPr>
            </w:pPr>
            <w:r>
              <w:rPr>
                <w:rFonts w:ascii="Arial" w:cs="Arial" w:eastAsia="Arial" w:hAnsi="Arial"/>
                <w:sz w:val="20"/>
                <w:szCs w:val="20"/>
                <w:color w:val="auto"/>
              </w:rPr>
              <w:t>Bankruptcy</w:t>
            </w:r>
          </w:p>
        </w:tc>
        <w:tc>
          <w:tcPr>
            <w:tcW w:w="33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4.6</w:t>
            </w:r>
          </w:p>
        </w:tc>
        <w:tc>
          <w:tcPr>
            <w:tcW w:w="7220" w:type="dxa"/>
            <w:vAlign w:val="bottom"/>
          </w:tcPr>
          <w:p>
            <w:pPr>
              <w:ind w:left="80"/>
              <w:spacing w:after="0"/>
              <w:rPr>
                <w:sz w:val="20"/>
                <w:szCs w:val="20"/>
                <w:color w:val="auto"/>
              </w:rPr>
            </w:pPr>
            <w:r>
              <w:rPr>
                <w:rFonts w:ascii="Arial" w:cs="Arial" w:eastAsia="Arial" w:hAnsi="Arial"/>
                <w:sz w:val="20"/>
                <w:szCs w:val="20"/>
                <w:color w:val="auto"/>
              </w:rPr>
              <w:t>Litigation</w:t>
            </w:r>
          </w:p>
        </w:tc>
        <w:tc>
          <w:tcPr>
            <w:tcW w:w="33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4.7</w:t>
            </w:r>
          </w:p>
        </w:tc>
        <w:tc>
          <w:tcPr>
            <w:tcW w:w="7220" w:type="dxa"/>
            <w:vAlign w:val="bottom"/>
          </w:tcPr>
          <w:p>
            <w:pPr>
              <w:ind w:left="80"/>
              <w:spacing w:after="0"/>
              <w:rPr>
                <w:sz w:val="20"/>
                <w:szCs w:val="20"/>
                <w:color w:val="auto"/>
              </w:rPr>
            </w:pPr>
            <w:r>
              <w:rPr>
                <w:rFonts w:ascii="Arial" w:cs="Arial" w:eastAsia="Arial" w:hAnsi="Arial"/>
                <w:sz w:val="20"/>
                <w:szCs w:val="20"/>
                <w:color w:val="auto"/>
              </w:rPr>
              <w:t>Material Contracts</w:t>
            </w:r>
          </w:p>
        </w:tc>
        <w:tc>
          <w:tcPr>
            <w:tcW w:w="33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4.8</w:t>
            </w:r>
          </w:p>
        </w:tc>
        <w:tc>
          <w:tcPr>
            <w:tcW w:w="7220" w:type="dxa"/>
            <w:vAlign w:val="bottom"/>
          </w:tcPr>
          <w:p>
            <w:pPr>
              <w:ind w:left="80"/>
              <w:spacing w:after="0"/>
              <w:rPr>
                <w:sz w:val="20"/>
                <w:szCs w:val="20"/>
                <w:color w:val="auto"/>
              </w:rPr>
            </w:pPr>
            <w:r>
              <w:rPr>
                <w:rFonts w:ascii="Arial" w:cs="Arial" w:eastAsia="Arial" w:hAnsi="Arial"/>
                <w:sz w:val="20"/>
                <w:szCs w:val="20"/>
                <w:color w:val="auto"/>
              </w:rPr>
              <w:t>Gathering and Transportation</w:t>
            </w:r>
          </w:p>
        </w:tc>
        <w:tc>
          <w:tcPr>
            <w:tcW w:w="33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4.9</w:t>
            </w:r>
          </w:p>
        </w:tc>
        <w:tc>
          <w:tcPr>
            <w:tcW w:w="7220" w:type="dxa"/>
            <w:vAlign w:val="bottom"/>
          </w:tcPr>
          <w:p>
            <w:pPr>
              <w:ind w:left="80"/>
              <w:spacing w:after="0"/>
              <w:rPr>
                <w:sz w:val="20"/>
                <w:szCs w:val="20"/>
                <w:color w:val="auto"/>
              </w:rPr>
            </w:pPr>
            <w:r>
              <w:rPr>
                <w:rFonts w:ascii="Arial" w:cs="Arial" w:eastAsia="Arial" w:hAnsi="Arial"/>
                <w:sz w:val="20"/>
                <w:szCs w:val="20"/>
                <w:color w:val="auto"/>
              </w:rPr>
              <w:t>Compliance with Law</w:t>
            </w:r>
          </w:p>
        </w:tc>
        <w:tc>
          <w:tcPr>
            <w:tcW w:w="33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4.10</w:t>
            </w:r>
          </w:p>
        </w:tc>
        <w:tc>
          <w:tcPr>
            <w:tcW w:w="7220" w:type="dxa"/>
            <w:vAlign w:val="bottom"/>
          </w:tcPr>
          <w:p>
            <w:pPr>
              <w:ind w:left="80"/>
              <w:spacing w:after="0"/>
              <w:rPr>
                <w:sz w:val="20"/>
                <w:szCs w:val="20"/>
                <w:color w:val="auto"/>
              </w:rPr>
            </w:pPr>
            <w:r>
              <w:rPr>
                <w:rFonts w:ascii="Arial" w:cs="Arial" w:eastAsia="Arial" w:hAnsi="Arial"/>
                <w:sz w:val="20"/>
                <w:szCs w:val="20"/>
                <w:color w:val="auto"/>
              </w:rPr>
              <w:t>Preferential Purchase Rights</w:t>
            </w:r>
          </w:p>
        </w:tc>
        <w:tc>
          <w:tcPr>
            <w:tcW w:w="33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4.11</w:t>
            </w:r>
          </w:p>
        </w:tc>
        <w:tc>
          <w:tcPr>
            <w:tcW w:w="7220" w:type="dxa"/>
            <w:vAlign w:val="bottom"/>
          </w:tcPr>
          <w:p>
            <w:pPr>
              <w:ind w:left="80"/>
              <w:spacing w:after="0"/>
              <w:rPr>
                <w:sz w:val="20"/>
                <w:szCs w:val="20"/>
                <w:color w:val="auto"/>
              </w:rPr>
            </w:pPr>
            <w:r>
              <w:rPr>
                <w:rFonts w:ascii="Arial" w:cs="Arial" w:eastAsia="Arial" w:hAnsi="Arial"/>
                <w:sz w:val="20"/>
                <w:szCs w:val="20"/>
                <w:color w:val="auto"/>
              </w:rPr>
              <w:t>Royalties, Etc</w:t>
            </w:r>
          </w:p>
        </w:tc>
        <w:tc>
          <w:tcPr>
            <w:tcW w:w="33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4.12</w:t>
            </w:r>
          </w:p>
        </w:tc>
        <w:tc>
          <w:tcPr>
            <w:tcW w:w="7220" w:type="dxa"/>
            <w:vAlign w:val="bottom"/>
          </w:tcPr>
          <w:p>
            <w:pPr>
              <w:ind w:left="80"/>
              <w:spacing w:after="0"/>
              <w:rPr>
                <w:sz w:val="20"/>
                <w:szCs w:val="20"/>
                <w:color w:val="auto"/>
              </w:rPr>
            </w:pPr>
            <w:r>
              <w:rPr>
                <w:rFonts w:ascii="Arial" w:cs="Arial" w:eastAsia="Arial" w:hAnsi="Arial"/>
                <w:sz w:val="20"/>
                <w:szCs w:val="20"/>
                <w:color w:val="auto"/>
              </w:rPr>
              <w:t>Imbalances</w:t>
            </w:r>
          </w:p>
        </w:tc>
        <w:tc>
          <w:tcPr>
            <w:tcW w:w="33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4.13</w:t>
            </w:r>
          </w:p>
        </w:tc>
        <w:tc>
          <w:tcPr>
            <w:tcW w:w="7220" w:type="dxa"/>
            <w:vAlign w:val="bottom"/>
          </w:tcPr>
          <w:p>
            <w:pPr>
              <w:ind w:left="80"/>
              <w:spacing w:after="0"/>
              <w:rPr>
                <w:sz w:val="20"/>
                <w:szCs w:val="20"/>
                <w:color w:val="auto"/>
              </w:rPr>
            </w:pPr>
            <w:r>
              <w:rPr>
                <w:rFonts w:ascii="Arial" w:cs="Arial" w:eastAsia="Arial" w:hAnsi="Arial"/>
                <w:sz w:val="20"/>
                <w:szCs w:val="20"/>
                <w:color w:val="auto"/>
              </w:rPr>
              <w:t>Current Commitments</w:t>
            </w:r>
          </w:p>
        </w:tc>
        <w:tc>
          <w:tcPr>
            <w:tcW w:w="33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4.14</w:t>
            </w:r>
          </w:p>
        </w:tc>
        <w:tc>
          <w:tcPr>
            <w:tcW w:w="7220" w:type="dxa"/>
            <w:vAlign w:val="bottom"/>
          </w:tcPr>
          <w:p>
            <w:pPr>
              <w:ind w:left="80"/>
              <w:spacing w:after="0"/>
              <w:rPr>
                <w:sz w:val="20"/>
                <w:szCs w:val="20"/>
                <w:color w:val="auto"/>
              </w:rPr>
            </w:pPr>
            <w:r>
              <w:rPr>
                <w:rFonts w:ascii="Arial" w:cs="Arial" w:eastAsia="Arial" w:hAnsi="Arial"/>
                <w:sz w:val="20"/>
                <w:szCs w:val="20"/>
                <w:color w:val="auto"/>
              </w:rPr>
              <w:t>Operating Expenses for New Wells</w:t>
            </w:r>
          </w:p>
        </w:tc>
        <w:tc>
          <w:tcPr>
            <w:tcW w:w="33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4.15</w:t>
            </w:r>
          </w:p>
        </w:tc>
        <w:tc>
          <w:tcPr>
            <w:tcW w:w="7220" w:type="dxa"/>
            <w:vAlign w:val="bottom"/>
          </w:tcPr>
          <w:p>
            <w:pPr>
              <w:ind w:left="80"/>
              <w:spacing w:after="0"/>
              <w:rPr>
                <w:sz w:val="20"/>
                <w:szCs w:val="20"/>
                <w:color w:val="auto"/>
              </w:rPr>
            </w:pPr>
            <w:r>
              <w:rPr>
                <w:rFonts w:ascii="Arial" w:cs="Arial" w:eastAsia="Arial" w:hAnsi="Arial"/>
                <w:sz w:val="20"/>
                <w:szCs w:val="20"/>
                <w:color w:val="auto"/>
              </w:rPr>
              <w:t>Environmental Representation and Warranty</w:t>
            </w:r>
          </w:p>
        </w:tc>
        <w:tc>
          <w:tcPr>
            <w:tcW w:w="33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4.16</w:t>
            </w:r>
          </w:p>
        </w:tc>
        <w:tc>
          <w:tcPr>
            <w:tcW w:w="7220" w:type="dxa"/>
            <w:vAlign w:val="bottom"/>
          </w:tcPr>
          <w:p>
            <w:pPr>
              <w:ind w:left="80"/>
              <w:spacing w:after="0"/>
              <w:rPr>
                <w:sz w:val="20"/>
                <w:szCs w:val="20"/>
                <w:color w:val="auto"/>
              </w:rPr>
            </w:pPr>
            <w:r>
              <w:rPr>
                <w:rFonts w:ascii="Arial" w:cs="Arial" w:eastAsia="Arial" w:hAnsi="Arial"/>
                <w:sz w:val="20"/>
                <w:szCs w:val="20"/>
                <w:color w:val="auto"/>
              </w:rPr>
              <w:t>Taxes</w:t>
            </w:r>
          </w:p>
        </w:tc>
        <w:tc>
          <w:tcPr>
            <w:tcW w:w="33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4.17</w:t>
            </w:r>
          </w:p>
        </w:tc>
        <w:tc>
          <w:tcPr>
            <w:tcW w:w="7220" w:type="dxa"/>
            <w:vAlign w:val="bottom"/>
          </w:tcPr>
          <w:p>
            <w:pPr>
              <w:ind w:left="80"/>
              <w:spacing w:after="0"/>
              <w:rPr>
                <w:sz w:val="20"/>
                <w:szCs w:val="20"/>
                <w:color w:val="auto"/>
              </w:rPr>
            </w:pPr>
            <w:r>
              <w:rPr>
                <w:rFonts w:ascii="Arial" w:cs="Arial" w:eastAsia="Arial" w:hAnsi="Arial"/>
                <w:sz w:val="20"/>
                <w:szCs w:val="20"/>
                <w:color w:val="auto"/>
              </w:rPr>
              <w:t>Well Status</w:t>
            </w:r>
          </w:p>
        </w:tc>
        <w:tc>
          <w:tcPr>
            <w:tcW w:w="33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4.18</w:t>
            </w:r>
          </w:p>
        </w:tc>
        <w:tc>
          <w:tcPr>
            <w:tcW w:w="7220" w:type="dxa"/>
            <w:vAlign w:val="bottom"/>
          </w:tcPr>
          <w:p>
            <w:pPr>
              <w:ind w:left="80"/>
              <w:spacing w:after="0"/>
              <w:rPr>
                <w:sz w:val="20"/>
                <w:szCs w:val="20"/>
                <w:color w:val="auto"/>
              </w:rPr>
            </w:pPr>
            <w:r>
              <w:rPr>
                <w:rFonts w:ascii="Arial" w:cs="Arial" w:eastAsia="Arial" w:hAnsi="Arial"/>
                <w:sz w:val="20"/>
                <w:szCs w:val="20"/>
                <w:color w:val="auto"/>
              </w:rPr>
              <w:t>Calls on Production</w:t>
            </w:r>
          </w:p>
        </w:tc>
        <w:tc>
          <w:tcPr>
            <w:tcW w:w="33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4.19</w:t>
            </w:r>
          </w:p>
        </w:tc>
        <w:tc>
          <w:tcPr>
            <w:tcW w:w="7220" w:type="dxa"/>
            <w:vAlign w:val="bottom"/>
          </w:tcPr>
          <w:p>
            <w:pPr>
              <w:ind w:left="80"/>
              <w:spacing w:after="0"/>
              <w:rPr>
                <w:sz w:val="20"/>
                <w:szCs w:val="20"/>
                <w:color w:val="auto"/>
              </w:rPr>
            </w:pPr>
            <w:r>
              <w:rPr>
                <w:rFonts w:ascii="Arial" w:cs="Arial" w:eastAsia="Arial" w:hAnsi="Arial"/>
                <w:sz w:val="20"/>
                <w:szCs w:val="20"/>
                <w:color w:val="auto"/>
              </w:rPr>
              <w:t>Tax Partnerships</w:t>
            </w:r>
          </w:p>
        </w:tc>
        <w:tc>
          <w:tcPr>
            <w:tcW w:w="33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4.20</w:t>
            </w:r>
          </w:p>
        </w:tc>
        <w:tc>
          <w:tcPr>
            <w:tcW w:w="7220" w:type="dxa"/>
            <w:vAlign w:val="bottom"/>
          </w:tcPr>
          <w:p>
            <w:pPr>
              <w:ind w:left="80"/>
              <w:spacing w:after="0"/>
              <w:rPr>
                <w:sz w:val="20"/>
                <w:szCs w:val="20"/>
                <w:color w:val="auto"/>
              </w:rPr>
            </w:pPr>
            <w:r>
              <w:rPr>
                <w:rFonts w:ascii="Arial" w:cs="Arial" w:eastAsia="Arial" w:hAnsi="Arial"/>
                <w:sz w:val="20"/>
                <w:szCs w:val="20"/>
                <w:color w:val="auto"/>
              </w:rPr>
              <w:t>Wells</w:t>
            </w:r>
          </w:p>
        </w:tc>
        <w:tc>
          <w:tcPr>
            <w:tcW w:w="33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4.21</w:t>
            </w:r>
          </w:p>
        </w:tc>
        <w:tc>
          <w:tcPr>
            <w:tcW w:w="7220" w:type="dxa"/>
            <w:vAlign w:val="bottom"/>
          </w:tcPr>
          <w:p>
            <w:pPr>
              <w:ind w:left="80"/>
              <w:spacing w:after="0"/>
              <w:rPr>
                <w:sz w:val="20"/>
                <w:szCs w:val="20"/>
                <w:color w:val="auto"/>
              </w:rPr>
            </w:pPr>
            <w:r>
              <w:rPr>
                <w:rFonts w:ascii="Arial" w:cs="Arial" w:eastAsia="Arial" w:hAnsi="Arial"/>
                <w:sz w:val="20"/>
                <w:szCs w:val="20"/>
                <w:color w:val="auto"/>
              </w:rPr>
              <w:t>Brokers’ Fees</w:t>
            </w:r>
          </w:p>
        </w:tc>
        <w:tc>
          <w:tcPr>
            <w:tcW w:w="33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4.22</w:t>
            </w:r>
          </w:p>
        </w:tc>
        <w:tc>
          <w:tcPr>
            <w:tcW w:w="7220" w:type="dxa"/>
            <w:vAlign w:val="bottom"/>
          </w:tcPr>
          <w:p>
            <w:pPr>
              <w:ind w:left="80"/>
              <w:spacing w:after="0"/>
              <w:rPr>
                <w:sz w:val="20"/>
                <w:szCs w:val="20"/>
                <w:color w:val="auto"/>
              </w:rPr>
            </w:pPr>
            <w:r>
              <w:rPr>
                <w:rFonts w:ascii="Arial" w:cs="Arial" w:eastAsia="Arial" w:hAnsi="Arial"/>
                <w:sz w:val="20"/>
                <w:szCs w:val="20"/>
                <w:color w:val="auto"/>
              </w:rPr>
              <w:t>EnerVest Assets</w:t>
            </w:r>
          </w:p>
        </w:tc>
        <w:tc>
          <w:tcPr>
            <w:tcW w:w="33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8080" w:type="dxa"/>
            <w:vAlign w:val="bottom"/>
            <w:gridSpan w:val="2"/>
          </w:tcPr>
          <w:p>
            <w:pPr>
              <w:spacing w:after="0"/>
              <w:rPr>
                <w:sz w:val="20"/>
                <w:szCs w:val="20"/>
                <w:color w:val="auto"/>
              </w:rPr>
            </w:pPr>
            <w:r>
              <w:rPr>
                <w:rFonts w:ascii="Arial" w:cs="Arial" w:eastAsia="Arial" w:hAnsi="Arial"/>
                <w:sz w:val="20"/>
                <w:szCs w:val="20"/>
                <w:color w:val="auto"/>
              </w:rPr>
              <w:t>ARTICLE V REPRESENTATIONS AND WARRANTIES OF BUYER</w:t>
            </w:r>
          </w:p>
        </w:tc>
        <w:tc>
          <w:tcPr>
            <w:tcW w:w="3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5.1</w:t>
            </w:r>
          </w:p>
        </w:tc>
        <w:tc>
          <w:tcPr>
            <w:tcW w:w="7220" w:type="dxa"/>
            <w:vAlign w:val="bottom"/>
          </w:tcPr>
          <w:p>
            <w:pPr>
              <w:ind w:left="80"/>
              <w:spacing w:after="0"/>
              <w:rPr>
                <w:sz w:val="20"/>
                <w:szCs w:val="20"/>
                <w:color w:val="auto"/>
              </w:rPr>
            </w:pPr>
            <w:r>
              <w:rPr>
                <w:rFonts w:ascii="Arial" w:cs="Arial" w:eastAsia="Arial" w:hAnsi="Arial"/>
                <w:sz w:val="20"/>
                <w:szCs w:val="20"/>
                <w:color w:val="auto"/>
              </w:rPr>
              <w:t>Organization, Existence and Qualification</w:t>
            </w:r>
          </w:p>
        </w:tc>
        <w:tc>
          <w:tcPr>
            <w:tcW w:w="3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5.2</w:t>
            </w:r>
          </w:p>
        </w:tc>
        <w:tc>
          <w:tcPr>
            <w:tcW w:w="7220" w:type="dxa"/>
            <w:vAlign w:val="bottom"/>
          </w:tcPr>
          <w:p>
            <w:pPr>
              <w:ind w:left="80"/>
              <w:spacing w:after="0"/>
              <w:rPr>
                <w:sz w:val="20"/>
                <w:szCs w:val="20"/>
                <w:color w:val="auto"/>
              </w:rPr>
            </w:pPr>
            <w:r>
              <w:rPr>
                <w:rFonts w:ascii="Arial" w:cs="Arial" w:eastAsia="Arial" w:hAnsi="Arial"/>
                <w:sz w:val="20"/>
                <w:szCs w:val="20"/>
                <w:color w:val="auto"/>
              </w:rPr>
              <w:t>Authority, Approval and Enforceability</w:t>
            </w:r>
          </w:p>
        </w:tc>
        <w:tc>
          <w:tcPr>
            <w:tcW w:w="3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5.3</w:t>
            </w:r>
          </w:p>
        </w:tc>
        <w:tc>
          <w:tcPr>
            <w:tcW w:w="7220" w:type="dxa"/>
            <w:vAlign w:val="bottom"/>
          </w:tcPr>
          <w:p>
            <w:pPr>
              <w:ind w:left="80"/>
              <w:spacing w:after="0"/>
              <w:rPr>
                <w:sz w:val="20"/>
                <w:szCs w:val="20"/>
                <w:color w:val="auto"/>
              </w:rPr>
            </w:pPr>
            <w:r>
              <w:rPr>
                <w:rFonts w:ascii="Arial" w:cs="Arial" w:eastAsia="Arial" w:hAnsi="Arial"/>
                <w:sz w:val="20"/>
                <w:szCs w:val="20"/>
                <w:color w:val="auto"/>
              </w:rPr>
              <w:t>No Conflicts</w:t>
            </w:r>
          </w:p>
        </w:tc>
        <w:tc>
          <w:tcPr>
            <w:tcW w:w="3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5.4</w:t>
            </w:r>
          </w:p>
        </w:tc>
        <w:tc>
          <w:tcPr>
            <w:tcW w:w="7220" w:type="dxa"/>
            <w:vAlign w:val="bottom"/>
          </w:tcPr>
          <w:p>
            <w:pPr>
              <w:ind w:left="80"/>
              <w:spacing w:after="0"/>
              <w:rPr>
                <w:sz w:val="20"/>
                <w:szCs w:val="20"/>
                <w:color w:val="auto"/>
              </w:rPr>
            </w:pPr>
            <w:r>
              <w:rPr>
                <w:rFonts w:ascii="Arial" w:cs="Arial" w:eastAsia="Arial" w:hAnsi="Arial"/>
                <w:sz w:val="20"/>
                <w:szCs w:val="20"/>
                <w:color w:val="auto"/>
              </w:rPr>
              <w:t>Consents</w:t>
            </w:r>
          </w:p>
        </w:tc>
        <w:tc>
          <w:tcPr>
            <w:tcW w:w="3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5.5</w:t>
            </w:r>
          </w:p>
        </w:tc>
        <w:tc>
          <w:tcPr>
            <w:tcW w:w="7220" w:type="dxa"/>
            <w:vAlign w:val="bottom"/>
          </w:tcPr>
          <w:p>
            <w:pPr>
              <w:ind w:left="80"/>
              <w:spacing w:after="0"/>
              <w:rPr>
                <w:sz w:val="20"/>
                <w:szCs w:val="20"/>
                <w:color w:val="auto"/>
              </w:rPr>
            </w:pPr>
            <w:r>
              <w:rPr>
                <w:rFonts w:ascii="Arial" w:cs="Arial" w:eastAsia="Arial" w:hAnsi="Arial"/>
                <w:sz w:val="20"/>
                <w:szCs w:val="20"/>
                <w:color w:val="auto"/>
              </w:rPr>
              <w:t>Bankruptcy</w:t>
            </w:r>
          </w:p>
        </w:tc>
        <w:tc>
          <w:tcPr>
            <w:tcW w:w="3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5.6</w:t>
            </w:r>
          </w:p>
        </w:tc>
        <w:tc>
          <w:tcPr>
            <w:tcW w:w="7220" w:type="dxa"/>
            <w:vAlign w:val="bottom"/>
          </w:tcPr>
          <w:p>
            <w:pPr>
              <w:ind w:left="80"/>
              <w:spacing w:after="0"/>
              <w:rPr>
                <w:sz w:val="20"/>
                <w:szCs w:val="20"/>
                <w:color w:val="auto"/>
              </w:rPr>
            </w:pPr>
            <w:r>
              <w:rPr>
                <w:rFonts w:ascii="Arial" w:cs="Arial" w:eastAsia="Arial" w:hAnsi="Arial"/>
                <w:sz w:val="20"/>
                <w:szCs w:val="20"/>
                <w:color w:val="auto"/>
              </w:rPr>
              <w:t>Litigation</w:t>
            </w:r>
          </w:p>
        </w:tc>
        <w:tc>
          <w:tcPr>
            <w:tcW w:w="33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5.7</w:t>
            </w:r>
          </w:p>
        </w:tc>
        <w:tc>
          <w:tcPr>
            <w:tcW w:w="7220" w:type="dxa"/>
            <w:vAlign w:val="bottom"/>
          </w:tcPr>
          <w:p>
            <w:pPr>
              <w:ind w:left="80"/>
              <w:spacing w:after="0"/>
              <w:rPr>
                <w:sz w:val="20"/>
                <w:szCs w:val="20"/>
                <w:color w:val="auto"/>
              </w:rPr>
            </w:pPr>
            <w:r>
              <w:rPr>
                <w:rFonts w:ascii="Arial" w:cs="Arial" w:eastAsia="Arial" w:hAnsi="Arial"/>
                <w:sz w:val="20"/>
                <w:szCs w:val="20"/>
                <w:color w:val="auto"/>
              </w:rPr>
              <w:t>Financing</w:t>
            </w:r>
          </w:p>
        </w:tc>
        <w:tc>
          <w:tcPr>
            <w:tcW w:w="3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5.8</w:t>
            </w:r>
          </w:p>
        </w:tc>
        <w:tc>
          <w:tcPr>
            <w:tcW w:w="7220" w:type="dxa"/>
            <w:vAlign w:val="bottom"/>
          </w:tcPr>
          <w:p>
            <w:pPr>
              <w:ind w:left="80"/>
              <w:spacing w:after="0"/>
              <w:rPr>
                <w:sz w:val="20"/>
                <w:szCs w:val="20"/>
                <w:color w:val="auto"/>
              </w:rPr>
            </w:pPr>
            <w:r>
              <w:rPr>
                <w:rFonts w:ascii="Arial" w:cs="Arial" w:eastAsia="Arial" w:hAnsi="Arial"/>
                <w:sz w:val="20"/>
                <w:szCs w:val="20"/>
                <w:color w:val="auto"/>
              </w:rPr>
              <w:t>Regulatory</w:t>
            </w:r>
          </w:p>
        </w:tc>
        <w:tc>
          <w:tcPr>
            <w:tcW w:w="3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5.9</w:t>
            </w:r>
          </w:p>
        </w:tc>
        <w:tc>
          <w:tcPr>
            <w:tcW w:w="7220" w:type="dxa"/>
            <w:vAlign w:val="bottom"/>
          </w:tcPr>
          <w:p>
            <w:pPr>
              <w:ind w:left="80"/>
              <w:spacing w:after="0"/>
              <w:rPr>
                <w:sz w:val="20"/>
                <w:szCs w:val="20"/>
                <w:color w:val="auto"/>
              </w:rPr>
            </w:pPr>
            <w:r>
              <w:rPr>
                <w:rFonts w:ascii="Arial" w:cs="Arial" w:eastAsia="Arial" w:hAnsi="Arial"/>
                <w:sz w:val="20"/>
                <w:szCs w:val="20"/>
                <w:color w:val="auto"/>
              </w:rPr>
              <w:t>Independent Evaluation</w:t>
            </w:r>
          </w:p>
        </w:tc>
        <w:tc>
          <w:tcPr>
            <w:tcW w:w="3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5.10</w:t>
            </w:r>
          </w:p>
        </w:tc>
        <w:tc>
          <w:tcPr>
            <w:tcW w:w="7220" w:type="dxa"/>
            <w:vAlign w:val="bottom"/>
          </w:tcPr>
          <w:p>
            <w:pPr>
              <w:ind w:left="80"/>
              <w:spacing w:after="0"/>
              <w:rPr>
                <w:sz w:val="20"/>
                <w:szCs w:val="20"/>
                <w:color w:val="auto"/>
              </w:rPr>
            </w:pPr>
            <w:r>
              <w:rPr>
                <w:rFonts w:ascii="Arial" w:cs="Arial" w:eastAsia="Arial" w:hAnsi="Arial"/>
                <w:sz w:val="20"/>
                <w:szCs w:val="20"/>
                <w:color w:val="auto"/>
              </w:rPr>
              <w:t>Brokers’ Fees</w:t>
            </w:r>
          </w:p>
        </w:tc>
        <w:tc>
          <w:tcPr>
            <w:tcW w:w="3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5.11</w:t>
            </w:r>
          </w:p>
        </w:tc>
        <w:tc>
          <w:tcPr>
            <w:tcW w:w="7220" w:type="dxa"/>
            <w:vAlign w:val="bottom"/>
          </w:tcPr>
          <w:p>
            <w:pPr>
              <w:ind w:left="80"/>
              <w:spacing w:after="0"/>
              <w:rPr>
                <w:sz w:val="20"/>
                <w:szCs w:val="20"/>
                <w:color w:val="auto"/>
              </w:rPr>
            </w:pPr>
            <w:r>
              <w:rPr>
                <w:rFonts w:ascii="Arial" w:cs="Arial" w:eastAsia="Arial" w:hAnsi="Arial"/>
                <w:sz w:val="20"/>
                <w:szCs w:val="20"/>
                <w:color w:val="auto"/>
              </w:rPr>
              <w:t>Accredited Investor</w:t>
            </w:r>
          </w:p>
        </w:tc>
        <w:tc>
          <w:tcPr>
            <w:tcW w:w="3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8080" w:type="dxa"/>
            <w:vAlign w:val="bottom"/>
            <w:gridSpan w:val="2"/>
          </w:tcPr>
          <w:p>
            <w:pPr>
              <w:spacing w:after="0"/>
              <w:rPr>
                <w:sz w:val="20"/>
                <w:szCs w:val="20"/>
                <w:color w:val="auto"/>
              </w:rPr>
            </w:pPr>
            <w:r>
              <w:rPr>
                <w:rFonts w:ascii="Arial" w:cs="Arial" w:eastAsia="Arial" w:hAnsi="Arial"/>
                <w:sz w:val="20"/>
                <w:szCs w:val="20"/>
                <w:color w:val="auto"/>
              </w:rPr>
              <w:t>ARTICLE VI CERTAIN AGREEMENTS</w:t>
            </w:r>
          </w:p>
        </w:tc>
        <w:tc>
          <w:tcPr>
            <w:tcW w:w="3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6.1</w:t>
            </w:r>
          </w:p>
        </w:tc>
        <w:tc>
          <w:tcPr>
            <w:tcW w:w="7220" w:type="dxa"/>
            <w:vAlign w:val="bottom"/>
          </w:tcPr>
          <w:p>
            <w:pPr>
              <w:ind w:left="80"/>
              <w:spacing w:after="0"/>
              <w:rPr>
                <w:sz w:val="20"/>
                <w:szCs w:val="20"/>
                <w:color w:val="auto"/>
              </w:rPr>
            </w:pPr>
            <w:r>
              <w:rPr>
                <w:rFonts w:ascii="Arial" w:cs="Arial" w:eastAsia="Arial" w:hAnsi="Arial"/>
                <w:sz w:val="20"/>
                <w:szCs w:val="20"/>
                <w:color w:val="auto"/>
              </w:rPr>
              <w:t>Conduct of Business</w:t>
            </w:r>
          </w:p>
        </w:tc>
        <w:tc>
          <w:tcPr>
            <w:tcW w:w="33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6.2</w:t>
            </w:r>
          </w:p>
        </w:tc>
        <w:tc>
          <w:tcPr>
            <w:tcW w:w="7220" w:type="dxa"/>
            <w:vAlign w:val="bottom"/>
          </w:tcPr>
          <w:p>
            <w:pPr>
              <w:ind w:left="80"/>
              <w:spacing w:after="0"/>
              <w:rPr>
                <w:sz w:val="20"/>
                <w:szCs w:val="20"/>
                <w:color w:val="auto"/>
              </w:rPr>
            </w:pPr>
            <w:r>
              <w:rPr>
                <w:rFonts w:ascii="Arial" w:cs="Arial" w:eastAsia="Arial" w:hAnsi="Arial"/>
                <w:sz w:val="20"/>
                <w:szCs w:val="20"/>
                <w:color w:val="auto"/>
              </w:rPr>
              <w:t>Successor Operator</w:t>
            </w:r>
          </w:p>
        </w:tc>
        <w:tc>
          <w:tcPr>
            <w:tcW w:w="33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6.3</w:t>
            </w:r>
          </w:p>
        </w:tc>
        <w:tc>
          <w:tcPr>
            <w:tcW w:w="7220" w:type="dxa"/>
            <w:vAlign w:val="bottom"/>
          </w:tcPr>
          <w:p>
            <w:pPr>
              <w:ind w:left="80"/>
              <w:spacing w:after="0"/>
              <w:rPr>
                <w:sz w:val="20"/>
                <w:szCs w:val="20"/>
                <w:color w:val="auto"/>
              </w:rPr>
            </w:pPr>
            <w:r>
              <w:rPr>
                <w:rFonts w:ascii="Arial" w:cs="Arial" w:eastAsia="Arial" w:hAnsi="Arial"/>
                <w:sz w:val="20"/>
                <w:szCs w:val="20"/>
                <w:color w:val="auto"/>
              </w:rPr>
              <w:t>Governmental Bonds</w:t>
            </w:r>
          </w:p>
        </w:tc>
        <w:tc>
          <w:tcPr>
            <w:tcW w:w="33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6.4</w:t>
            </w:r>
          </w:p>
        </w:tc>
        <w:tc>
          <w:tcPr>
            <w:tcW w:w="7220" w:type="dxa"/>
            <w:vAlign w:val="bottom"/>
          </w:tcPr>
          <w:p>
            <w:pPr>
              <w:ind w:left="80"/>
              <w:spacing w:after="0"/>
              <w:rPr>
                <w:sz w:val="20"/>
                <w:szCs w:val="20"/>
                <w:color w:val="auto"/>
              </w:rPr>
            </w:pPr>
            <w:r>
              <w:rPr>
                <w:rFonts w:ascii="Arial" w:cs="Arial" w:eastAsia="Arial" w:hAnsi="Arial"/>
                <w:sz w:val="20"/>
                <w:szCs w:val="20"/>
                <w:color w:val="auto"/>
              </w:rPr>
              <w:t>Record Retention</w:t>
            </w:r>
          </w:p>
        </w:tc>
        <w:tc>
          <w:tcPr>
            <w:tcW w:w="33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6.5</w:t>
            </w:r>
          </w:p>
        </w:tc>
        <w:tc>
          <w:tcPr>
            <w:tcW w:w="7220" w:type="dxa"/>
            <w:vAlign w:val="bottom"/>
          </w:tcPr>
          <w:p>
            <w:pPr>
              <w:ind w:left="80"/>
              <w:spacing w:after="0"/>
              <w:rPr>
                <w:sz w:val="20"/>
                <w:szCs w:val="20"/>
                <w:color w:val="auto"/>
              </w:rPr>
            </w:pPr>
            <w:r>
              <w:rPr>
                <w:rFonts w:ascii="Arial" w:cs="Arial" w:eastAsia="Arial" w:hAnsi="Arial"/>
                <w:sz w:val="20"/>
                <w:szCs w:val="20"/>
                <w:color w:val="auto"/>
              </w:rPr>
              <w:t>Knowledge of Breach</w:t>
            </w:r>
          </w:p>
        </w:tc>
        <w:tc>
          <w:tcPr>
            <w:tcW w:w="3300" w:type="dxa"/>
            <w:vAlign w:val="bottom"/>
          </w:tcPr>
          <w:p>
            <w:pPr>
              <w:jc w:val="right"/>
              <w:spacing w:after="0"/>
              <w:rPr>
                <w:sz w:val="20"/>
                <w:szCs w:val="20"/>
                <w:color w:val="auto"/>
              </w:rPr>
            </w:pPr>
            <w:r>
              <w:rPr>
                <w:rFonts w:ascii="Arial" w:cs="Arial" w:eastAsia="Arial" w:hAnsi="Arial"/>
                <w:sz w:val="20"/>
                <w:szCs w:val="20"/>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6814820</wp:posOffset>
            </wp:positionH>
            <wp:positionV relativeFrom="paragraph">
              <wp:posOffset>14605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14605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6849110</wp:posOffset>
            </wp:positionH>
            <wp:positionV relativeFrom="paragraph">
              <wp:posOffset>14605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6866255</wp:posOffset>
            </wp:positionH>
            <wp:positionV relativeFrom="paragraph">
              <wp:posOffset>14605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14605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14605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14605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14605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6951980</wp:posOffset>
            </wp:positionH>
            <wp:positionV relativeFrom="paragraph">
              <wp:posOffset>14605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14605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6986270</wp:posOffset>
            </wp:positionH>
            <wp:positionV relativeFrom="paragraph">
              <wp:posOffset>14605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14605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14605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14605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14605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14605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14605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7106285</wp:posOffset>
            </wp:positionH>
            <wp:positionV relativeFrom="paragraph">
              <wp:posOffset>14605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7123430</wp:posOffset>
            </wp:positionH>
            <wp:positionV relativeFrom="paragraph">
              <wp:posOffset>14605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7140575</wp:posOffset>
            </wp:positionH>
            <wp:positionV relativeFrom="paragraph">
              <wp:posOffset>14605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7157720</wp:posOffset>
            </wp:positionH>
            <wp:positionV relativeFrom="paragraph">
              <wp:posOffset>14605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14605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7192010</wp:posOffset>
            </wp:positionH>
            <wp:positionV relativeFrom="paragraph">
              <wp:posOffset>14605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14605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-156210</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-139065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-121920</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-104775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-87630</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-70485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-53340</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-36195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-19050</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14605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14605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14605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14605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14605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14605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wp:posOffset>
            </wp:positionH>
            <wp:positionV relativeFrom="paragraph">
              <wp:posOffset>14605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14605</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14605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14605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14605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14605</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14605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14605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14605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14605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14605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14605</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14605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14605</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14605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14605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14605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14605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14605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14605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14605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14605</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14605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14605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14605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14605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14605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14605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14605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14605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14605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14605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14605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14605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14605</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14605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14605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14605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14605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14605</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14605</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14605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14605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14605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14605</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14605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14605</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14605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14605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14605</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14605</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14605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14605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14605</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14605</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14605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14605</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1703705</wp:posOffset>
            </wp:positionH>
            <wp:positionV relativeFrom="paragraph">
              <wp:posOffset>14605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14605</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14605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14605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14605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1789430</wp:posOffset>
            </wp:positionH>
            <wp:positionV relativeFrom="paragraph">
              <wp:posOffset>14605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14605</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14605</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1840865</wp:posOffset>
            </wp:positionH>
            <wp:positionV relativeFrom="paragraph">
              <wp:posOffset>14605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14605</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1875155</wp:posOffset>
            </wp:positionH>
            <wp:positionV relativeFrom="paragraph">
              <wp:posOffset>14605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14605</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1909445</wp:posOffset>
            </wp:positionH>
            <wp:positionV relativeFrom="paragraph">
              <wp:posOffset>14605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1926590</wp:posOffset>
            </wp:positionH>
            <wp:positionV relativeFrom="paragraph">
              <wp:posOffset>14605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14605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1960880</wp:posOffset>
            </wp:positionH>
            <wp:positionV relativeFrom="paragraph">
              <wp:posOffset>14605</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1978025</wp:posOffset>
            </wp:positionH>
            <wp:positionV relativeFrom="paragraph">
              <wp:posOffset>14605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1995170</wp:posOffset>
            </wp:positionH>
            <wp:positionV relativeFrom="paragraph">
              <wp:posOffset>14605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2012315</wp:posOffset>
            </wp:positionH>
            <wp:positionV relativeFrom="paragraph">
              <wp:posOffset>14605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14605</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14605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14605</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14605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14605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14605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2132330</wp:posOffset>
            </wp:positionH>
            <wp:positionV relativeFrom="paragraph">
              <wp:posOffset>14605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14605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14605</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14605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14605</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14605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14605</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14605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2269490</wp:posOffset>
            </wp:positionH>
            <wp:positionV relativeFrom="paragraph">
              <wp:posOffset>14605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2286635</wp:posOffset>
            </wp:positionH>
            <wp:positionV relativeFrom="paragraph">
              <wp:posOffset>14605</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14605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14605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2338070</wp:posOffset>
            </wp:positionH>
            <wp:positionV relativeFrom="paragraph">
              <wp:posOffset>14605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14605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14605</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14605</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14605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14605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14605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14605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14605</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14605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14605</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14605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14605</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14605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14605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14605</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14605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14605</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14605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14605</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14605</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14605</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14605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14605</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14605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14605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14605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14605</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14605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14605</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14605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14605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14605</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14605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14605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14605</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14605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14605</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14605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14605</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14605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14605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14605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14605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14605</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14605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14605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14605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14605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14605</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14605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14605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14605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14605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14605</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3298825</wp:posOffset>
            </wp:positionH>
            <wp:positionV relativeFrom="paragraph">
              <wp:posOffset>14605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14605</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14605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14605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14605</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14605</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14605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14605</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14605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14605</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14605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14605</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14605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14605</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14605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14605</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14605</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14605</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14605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14605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14605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3658870</wp:posOffset>
            </wp:positionH>
            <wp:positionV relativeFrom="paragraph">
              <wp:posOffset>14605</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14605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14605</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14605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14605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14605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14605</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14605</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14605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14605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14605</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14605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14605</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14605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14605</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14605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14605</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14605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14605</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14605</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14605</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14605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14605</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14605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14605</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14605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14605</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14605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14605</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14605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14605</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14605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14605</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14605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14605</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14605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14605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14605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14605</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14605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14605</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14605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14605</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14605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14605</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14605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14605</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14605</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14605</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14605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14605</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14605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14605</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14605</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14605</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14605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14605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14605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14605</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14605</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14605</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14605</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14605</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14605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14605</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14605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14605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14605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14605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14605</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14605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14605</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14605</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14605</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14605</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14605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14605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14605</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14605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14605</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14605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14605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14605</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14605</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14605</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14605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14605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14605</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14605</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14605</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14605</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14605</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14605</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14605</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14605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14605</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14605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14605</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14605</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14605</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14605</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14605</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14605</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14605</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14605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14605</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14605</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14605</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14605</wp:posOffset>
            </wp:positionV>
            <wp:extent cx="8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14605</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14605</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14605</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14605</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5596890</wp:posOffset>
            </wp:positionH>
            <wp:positionV relativeFrom="paragraph">
              <wp:posOffset>14605</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14605</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14605</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14605</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5665470</wp:posOffset>
            </wp:positionH>
            <wp:positionV relativeFrom="paragraph">
              <wp:posOffset>14605</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14605</wp:posOffset>
            </wp:positionV>
            <wp:extent cx="88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14605</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14605</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14605</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14605</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14605</wp:posOffset>
            </wp:positionV>
            <wp:extent cx="889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14605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14605</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14605</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14605</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14605</wp:posOffset>
            </wp:positionV>
            <wp:extent cx="88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14605</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14605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14605</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14605</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14605</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14605</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14605</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14605</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14605</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14605</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14605</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14605</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14605</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14605</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14605</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14605</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14605</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14605</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14605</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14605</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14605</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14605</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14605</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14605</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14605</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14605</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14605</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14605</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14605</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14605</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14605</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14605</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14605</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14605</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14605</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14605</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14605</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14605</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14605</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14605</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14605</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14605</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14605</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14605</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14605</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14605</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14605</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14605</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6694805</wp:posOffset>
            </wp:positionH>
            <wp:positionV relativeFrom="paragraph">
              <wp:posOffset>14605</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14605</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14605</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6746240</wp:posOffset>
            </wp:positionH>
            <wp:positionV relativeFrom="paragraph">
              <wp:posOffset>14605</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14605</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6780530</wp:posOffset>
            </wp:positionH>
            <wp:positionV relativeFrom="paragraph">
              <wp:posOffset>14605</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-156210</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-139065</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-121920</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-104775</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-87630</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-70485</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-53340</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-36195</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-19050</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-1905</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14605</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-6776720</wp:posOffset>
            </wp:positionV>
            <wp:extent cx="7254875" cy="680085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54875" cy="6800850"/>
                    </a:xfrm>
                    <a:prstGeom prst="rect">
                      <a:avLst/>
                    </a:prstGeom>
                    <a:noFill/>
                  </pic:spPr>
                </pic:pic>
              </a:graphicData>
            </a:graphic>
          </wp:anchor>
        </w:drawing>
      </w:r>
    </w:p>
    <w:p>
      <w:pPr>
        <w:sectPr>
          <w:pgSz w:w="11900" w:h="16838" w:orient="portrait"/>
          <w:cols w:equalWidth="0" w:num="1">
            <w:col w:w="11380"/>
          </w:cols>
          <w:pgMar w:left="280" w:top="121"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652"/>
        </w:trPr>
        <w:tc>
          <w:tcPr>
            <w:tcW w:w="860" w:type="dxa"/>
            <w:vAlign w:val="bottom"/>
          </w:tcPr>
          <w:p>
            <w:pPr>
              <w:jc w:val="right"/>
              <w:spacing w:after="0"/>
              <w:rPr>
                <w:sz w:val="20"/>
                <w:szCs w:val="20"/>
                <w:color w:val="auto"/>
              </w:rPr>
            </w:pPr>
            <w:r>
              <w:rPr>
                <w:rFonts w:ascii="Arial" w:cs="Arial" w:eastAsia="Arial" w:hAnsi="Arial"/>
                <w:sz w:val="20"/>
                <w:szCs w:val="20"/>
                <w:color w:val="auto"/>
              </w:rPr>
              <w:t>6.6</w:t>
            </w:r>
          </w:p>
        </w:tc>
        <w:tc>
          <w:tcPr>
            <w:tcW w:w="6680" w:type="dxa"/>
            <w:vAlign w:val="bottom"/>
          </w:tcPr>
          <w:p>
            <w:pPr>
              <w:ind w:left="80"/>
              <w:spacing w:after="0"/>
              <w:rPr>
                <w:sz w:val="20"/>
                <w:szCs w:val="20"/>
                <w:color w:val="auto"/>
              </w:rPr>
            </w:pPr>
            <w:r>
              <w:rPr>
                <w:rFonts w:ascii="Arial" w:cs="Arial" w:eastAsia="Arial" w:hAnsi="Arial"/>
                <w:sz w:val="20"/>
                <w:szCs w:val="20"/>
                <w:color w:val="auto"/>
              </w:rPr>
              <w:t>Amendment of Schedules</w:t>
            </w:r>
          </w:p>
        </w:tc>
        <w:tc>
          <w:tcPr>
            <w:tcW w:w="38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6.7</w:t>
            </w:r>
          </w:p>
        </w:tc>
        <w:tc>
          <w:tcPr>
            <w:tcW w:w="6680" w:type="dxa"/>
            <w:vAlign w:val="bottom"/>
          </w:tcPr>
          <w:p>
            <w:pPr>
              <w:ind w:left="80"/>
              <w:spacing w:after="0"/>
              <w:rPr>
                <w:sz w:val="20"/>
                <w:szCs w:val="20"/>
                <w:color w:val="auto"/>
              </w:rPr>
            </w:pPr>
            <w:r>
              <w:rPr>
                <w:rFonts w:ascii="Arial" w:cs="Arial" w:eastAsia="Arial" w:hAnsi="Arial"/>
                <w:sz w:val="20"/>
                <w:szCs w:val="20"/>
                <w:color w:val="auto"/>
              </w:rPr>
              <w:t>Non-Solicitation of Employees</w:t>
            </w:r>
          </w:p>
        </w:tc>
        <w:tc>
          <w:tcPr>
            <w:tcW w:w="38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6.8</w:t>
            </w:r>
          </w:p>
        </w:tc>
        <w:tc>
          <w:tcPr>
            <w:tcW w:w="6680" w:type="dxa"/>
            <w:vAlign w:val="bottom"/>
          </w:tcPr>
          <w:p>
            <w:pPr>
              <w:ind w:left="80"/>
              <w:spacing w:after="0"/>
              <w:rPr>
                <w:sz w:val="20"/>
                <w:szCs w:val="20"/>
                <w:color w:val="auto"/>
              </w:rPr>
            </w:pPr>
            <w:r>
              <w:rPr>
                <w:rFonts w:ascii="Arial" w:cs="Arial" w:eastAsia="Arial" w:hAnsi="Arial"/>
                <w:sz w:val="20"/>
                <w:szCs w:val="20"/>
                <w:color w:val="auto"/>
              </w:rPr>
              <w:t>Sellers’ Existence</w:t>
            </w:r>
          </w:p>
        </w:tc>
        <w:tc>
          <w:tcPr>
            <w:tcW w:w="38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6.9</w:t>
            </w:r>
          </w:p>
        </w:tc>
        <w:tc>
          <w:tcPr>
            <w:tcW w:w="6680" w:type="dxa"/>
            <w:vAlign w:val="bottom"/>
          </w:tcPr>
          <w:p>
            <w:pPr>
              <w:ind w:left="80"/>
              <w:spacing w:after="0"/>
              <w:rPr>
                <w:sz w:val="20"/>
                <w:szCs w:val="20"/>
                <w:color w:val="auto"/>
              </w:rPr>
            </w:pPr>
            <w:r>
              <w:rPr>
                <w:rFonts w:ascii="Arial" w:cs="Arial" w:eastAsia="Arial" w:hAnsi="Arial"/>
                <w:sz w:val="20"/>
                <w:szCs w:val="20"/>
                <w:color w:val="auto"/>
              </w:rPr>
              <w:t>Financial Statements</w:t>
            </w:r>
          </w:p>
        </w:tc>
        <w:tc>
          <w:tcPr>
            <w:tcW w:w="38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7"/>
        </w:trPr>
        <w:tc>
          <w:tcPr>
            <w:tcW w:w="7540" w:type="dxa"/>
            <w:vAlign w:val="bottom"/>
            <w:gridSpan w:val="2"/>
          </w:tcPr>
          <w:p>
            <w:pPr>
              <w:spacing w:after="0"/>
              <w:rPr>
                <w:sz w:val="20"/>
                <w:szCs w:val="20"/>
                <w:color w:val="auto"/>
              </w:rPr>
            </w:pPr>
            <w:r>
              <w:rPr>
                <w:rFonts w:ascii="Arial" w:cs="Arial" w:eastAsia="Arial" w:hAnsi="Arial"/>
                <w:sz w:val="20"/>
                <w:szCs w:val="20"/>
                <w:color w:val="auto"/>
              </w:rPr>
              <w:t>ARTICLE VII BUYER’S CONDITIONS TO CLOSING</w:t>
            </w:r>
          </w:p>
        </w:tc>
        <w:tc>
          <w:tcPr>
            <w:tcW w:w="38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7.1</w:t>
            </w:r>
          </w:p>
        </w:tc>
        <w:tc>
          <w:tcPr>
            <w:tcW w:w="6680" w:type="dxa"/>
            <w:vAlign w:val="bottom"/>
          </w:tcPr>
          <w:p>
            <w:pPr>
              <w:ind w:left="80"/>
              <w:spacing w:after="0"/>
              <w:rPr>
                <w:sz w:val="20"/>
                <w:szCs w:val="20"/>
                <w:color w:val="auto"/>
              </w:rPr>
            </w:pPr>
            <w:r>
              <w:rPr>
                <w:rFonts w:ascii="Arial" w:cs="Arial" w:eastAsia="Arial" w:hAnsi="Arial"/>
                <w:sz w:val="20"/>
                <w:szCs w:val="20"/>
                <w:color w:val="auto"/>
              </w:rPr>
              <w:t>Representations</w:t>
            </w:r>
          </w:p>
        </w:tc>
        <w:tc>
          <w:tcPr>
            <w:tcW w:w="38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7.2</w:t>
            </w:r>
          </w:p>
        </w:tc>
        <w:tc>
          <w:tcPr>
            <w:tcW w:w="6680" w:type="dxa"/>
            <w:vAlign w:val="bottom"/>
          </w:tcPr>
          <w:p>
            <w:pPr>
              <w:ind w:left="80"/>
              <w:spacing w:after="0"/>
              <w:rPr>
                <w:sz w:val="20"/>
                <w:szCs w:val="20"/>
                <w:color w:val="auto"/>
              </w:rPr>
            </w:pPr>
            <w:r>
              <w:rPr>
                <w:rFonts w:ascii="Arial" w:cs="Arial" w:eastAsia="Arial" w:hAnsi="Arial"/>
                <w:sz w:val="20"/>
                <w:szCs w:val="20"/>
                <w:color w:val="auto"/>
              </w:rPr>
              <w:t>Performance</w:t>
            </w:r>
          </w:p>
        </w:tc>
        <w:tc>
          <w:tcPr>
            <w:tcW w:w="38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7.3</w:t>
            </w:r>
          </w:p>
        </w:tc>
        <w:tc>
          <w:tcPr>
            <w:tcW w:w="6680" w:type="dxa"/>
            <w:vAlign w:val="bottom"/>
          </w:tcPr>
          <w:p>
            <w:pPr>
              <w:ind w:left="80"/>
              <w:spacing w:after="0"/>
              <w:rPr>
                <w:sz w:val="20"/>
                <w:szCs w:val="20"/>
                <w:color w:val="auto"/>
              </w:rPr>
            </w:pPr>
            <w:r>
              <w:rPr>
                <w:rFonts w:ascii="Arial" w:cs="Arial" w:eastAsia="Arial" w:hAnsi="Arial"/>
                <w:sz w:val="20"/>
                <w:szCs w:val="20"/>
                <w:color w:val="auto"/>
              </w:rPr>
              <w:t>No Legal Proceedings</w:t>
            </w:r>
          </w:p>
        </w:tc>
        <w:tc>
          <w:tcPr>
            <w:tcW w:w="38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7.4</w:t>
            </w:r>
          </w:p>
        </w:tc>
        <w:tc>
          <w:tcPr>
            <w:tcW w:w="6680" w:type="dxa"/>
            <w:vAlign w:val="bottom"/>
          </w:tcPr>
          <w:p>
            <w:pPr>
              <w:ind w:left="80"/>
              <w:spacing w:after="0"/>
              <w:rPr>
                <w:sz w:val="20"/>
                <w:szCs w:val="20"/>
                <w:color w:val="auto"/>
              </w:rPr>
            </w:pPr>
            <w:r>
              <w:rPr>
                <w:rFonts w:ascii="Arial" w:cs="Arial" w:eastAsia="Arial" w:hAnsi="Arial"/>
                <w:sz w:val="20"/>
                <w:szCs w:val="20"/>
                <w:color w:val="auto"/>
              </w:rPr>
              <w:t>Title Defects and Environmental Defects</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7.5</w:t>
            </w:r>
          </w:p>
        </w:tc>
        <w:tc>
          <w:tcPr>
            <w:tcW w:w="6680" w:type="dxa"/>
            <w:vAlign w:val="bottom"/>
          </w:tcPr>
          <w:p>
            <w:pPr>
              <w:ind w:left="80"/>
              <w:spacing w:after="0"/>
              <w:rPr>
                <w:sz w:val="20"/>
                <w:szCs w:val="20"/>
                <w:color w:val="auto"/>
              </w:rPr>
            </w:pPr>
            <w:r>
              <w:rPr>
                <w:rFonts w:ascii="Arial" w:cs="Arial" w:eastAsia="Arial" w:hAnsi="Arial"/>
                <w:sz w:val="20"/>
                <w:szCs w:val="20"/>
                <w:color w:val="auto"/>
              </w:rPr>
              <w:t>Closing Deliverables</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7540" w:type="dxa"/>
            <w:vAlign w:val="bottom"/>
            <w:gridSpan w:val="2"/>
          </w:tcPr>
          <w:p>
            <w:pPr>
              <w:spacing w:after="0"/>
              <w:rPr>
                <w:sz w:val="20"/>
                <w:szCs w:val="20"/>
                <w:color w:val="auto"/>
              </w:rPr>
            </w:pPr>
            <w:r>
              <w:rPr>
                <w:rFonts w:ascii="Arial" w:cs="Arial" w:eastAsia="Arial" w:hAnsi="Arial"/>
                <w:sz w:val="20"/>
                <w:szCs w:val="20"/>
                <w:color w:val="auto"/>
              </w:rPr>
              <w:t>ARTICLE VIII SELLERS’ CONDITIONS TO CLOSING</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8.1</w:t>
            </w:r>
          </w:p>
        </w:tc>
        <w:tc>
          <w:tcPr>
            <w:tcW w:w="6680" w:type="dxa"/>
            <w:vAlign w:val="bottom"/>
          </w:tcPr>
          <w:p>
            <w:pPr>
              <w:ind w:left="80"/>
              <w:spacing w:after="0"/>
              <w:rPr>
                <w:sz w:val="20"/>
                <w:szCs w:val="20"/>
                <w:color w:val="auto"/>
              </w:rPr>
            </w:pPr>
            <w:r>
              <w:rPr>
                <w:rFonts w:ascii="Arial" w:cs="Arial" w:eastAsia="Arial" w:hAnsi="Arial"/>
                <w:sz w:val="20"/>
                <w:szCs w:val="20"/>
                <w:color w:val="auto"/>
              </w:rPr>
              <w:t>Representations</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8.2</w:t>
            </w:r>
          </w:p>
        </w:tc>
        <w:tc>
          <w:tcPr>
            <w:tcW w:w="6680" w:type="dxa"/>
            <w:vAlign w:val="bottom"/>
          </w:tcPr>
          <w:p>
            <w:pPr>
              <w:ind w:left="80"/>
              <w:spacing w:after="0"/>
              <w:rPr>
                <w:sz w:val="20"/>
                <w:szCs w:val="20"/>
                <w:color w:val="auto"/>
              </w:rPr>
            </w:pPr>
            <w:r>
              <w:rPr>
                <w:rFonts w:ascii="Arial" w:cs="Arial" w:eastAsia="Arial" w:hAnsi="Arial"/>
                <w:sz w:val="20"/>
                <w:szCs w:val="20"/>
                <w:color w:val="auto"/>
              </w:rPr>
              <w:t>Performance</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8.3</w:t>
            </w:r>
          </w:p>
        </w:tc>
        <w:tc>
          <w:tcPr>
            <w:tcW w:w="6680" w:type="dxa"/>
            <w:vAlign w:val="bottom"/>
          </w:tcPr>
          <w:p>
            <w:pPr>
              <w:ind w:left="80"/>
              <w:spacing w:after="0"/>
              <w:rPr>
                <w:sz w:val="20"/>
                <w:szCs w:val="20"/>
                <w:color w:val="auto"/>
              </w:rPr>
            </w:pPr>
            <w:r>
              <w:rPr>
                <w:rFonts w:ascii="Arial" w:cs="Arial" w:eastAsia="Arial" w:hAnsi="Arial"/>
                <w:sz w:val="20"/>
                <w:szCs w:val="20"/>
                <w:color w:val="auto"/>
              </w:rPr>
              <w:t>No Legal Proceedings</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8.4</w:t>
            </w:r>
          </w:p>
        </w:tc>
        <w:tc>
          <w:tcPr>
            <w:tcW w:w="6680" w:type="dxa"/>
            <w:vAlign w:val="bottom"/>
          </w:tcPr>
          <w:p>
            <w:pPr>
              <w:ind w:left="80"/>
              <w:spacing w:after="0"/>
              <w:rPr>
                <w:sz w:val="20"/>
                <w:szCs w:val="20"/>
                <w:color w:val="auto"/>
              </w:rPr>
            </w:pPr>
            <w:r>
              <w:rPr>
                <w:rFonts w:ascii="Arial" w:cs="Arial" w:eastAsia="Arial" w:hAnsi="Arial"/>
                <w:sz w:val="20"/>
                <w:szCs w:val="20"/>
                <w:color w:val="auto"/>
              </w:rPr>
              <w:t>Title Defects and Environmental Defects</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8.5</w:t>
            </w:r>
          </w:p>
        </w:tc>
        <w:tc>
          <w:tcPr>
            <w:tcW w:w="6680" w:type="dxa"/>
            <w:vAlign w:val="bottom"/>
          </w:tcPr>
          <w:p>
            <w:pPr>
              <w:ind w:left="80"/>
              <w:spacing w:after="0"/>
              <w:rPr>
                <w:sz w:val="20"/>
                <w:szCs w:val="20"/>
                <w:color w:val="auto"/>
              </w:rPr>
            </w:pPr>
            <w:r>
              <w:rPr>
                <w:rFonts w:ascii="Arial" w:cs="Arial" w:eastAsia="Arial" w:hAnsi="Arial"/>
                <w:sz w:val="20"/>
                <w:szCs w:val="20"/>
                <w:color w:val="auto"/>
              </w:rPr>
              <w:t>Replacement Bonds and Guarantees</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8.6</w:t>
            </w:r>
          </w:p>
        </w:tc>
        <w:tc>
          <w:tcPr>
            <w:tcW w:w="6680" w:type="dxa"/>
            <w:vAlign w:val="bottom"/>
          </w:tcPr>
          <w:p>
            <w:pPr>
              <w:ind w:left="80"/>
              <w:spacing w:after="0"/>
              <w:rPr>
                <w:sz w:val="20"/>
                <w:szCs w:val="20"/>
                <w:color w:val="auto"/>
              </w:rPr>
            </w:pPr>
            <w:r>
              <w:rPr>
                <w:rFonts w:ascii="Arial" w:cs="Arial" w:eastAsia="Arial" w:hAnsi="Arial"/>
                <w:sz w:val="20"/>
                <w:szCs w:val="20"/>
                <w:color w:val="auto"/>
              </w:rPr>
              <w:t>Closing Deliverables</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7540" w:type="dxa"/>
            <w:vAlign w:val="bottom"/>
            <w:gridSpan w:val="2"/>
          </w:tcPr>
          <w:p>
            <w:pPr>
              <w:spacing w:after="0"/>
              <w:rPr>
                <w:sz w:val="20"/>
                <w:szCs w:val="20"/>
                <w:color w:val="auto"/>
              </w:rPr>
            </w:pPr>
            <w:r>
              <w:rPr>
                <w:rFonts w:ascii="Arial" w:cs="Arial" w:eastAsia="Arial" w:hAnsi="Arial"/>
                <w:sz w:val="20"/>
                <w:szCs w:val="20"/>
                <w:color w:val="auto"/>
              </w:rPr>
              <w:t>ARTICLE IX CLOSING</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9.1</w:t>
            </w:r>
          </w:p>
        </w:tc>
        <w:tc>
          <w:tcPr>
            <w:tcW w:w="6680" w:type="dxa"/>
            <w:vAlign w:val="bottom"/>
          </w:tcPr>
          <w:p>
            <w:pPr>
              <w:ind w:left="80"/>
              <w:spacing w:after="0"/>
              <w:rPr>
                <w:sz w:val="20"/>
                <w:szCs w:val="20"/>
                <w:color w:val="auto"/>
              </w:rPr>
            </w:pPr>
            <w:r>
              <w:rPr>
                <w:rFonts w:ascii="Arial" w:cs="Arial" w:eastAsia="Arial" w:hAnsi="Arial"/>
                <w:sz w:val="20"/>
                <w:szCs w:val="20"/>
                <w:color w:val="auto"/>
              </w:rPr>
              <w:t>Date of Closing</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9.2</w:t>
            </w:r>
          </w:p>
        </w:tc>
        <w:tc>
          <w:tcPr>
            <w:tcW w:w="6680" w:type="dxa"/>
            <w:vAlign w:val="bottom"/>
          </w:tcPr>
          <w:p>
            <w:pPr>
              <w:ind w:left="80"/>
              <w:spacing w:after="0"/>
              <w:rPr>
                <w:sz w:val="20"/>
                <w:szCs w:val="20"/>
                <w:color w:val="auto"/>
              </w:rPr>
            </w:pPr>
            <w:r>
              <w:rPr>
                <w:rFonts w:ascii="Arial" w:cs="Arial" w:eastAsia="Arial" w:hAnsi="Arial"/>
                <w:sz w:val="20"/>
                <w:szCs w:val="20"/>
                <w:color w:val="auto"/>
              </w:rPr>
              <w:t>Place of Closing</w:t>
            </w:r>
          </w:p>
        </w:tc>
        <w:tc>
          <w:tcPr>
            <w:tcW w:w="38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9.3</w:t>
            </w:r>
          </w:p>
        </w:tc>
        <w:tc>
          <w:tcPr>
            <w:tcW w:w="6680" w:type="dxa"/>
            <w:vAlign w:val="bottom"/>
          </w:tcPr>
          <w:p>
            <w:pPr>
              <w:ind w:left="80"/>
              <w:spacing w:after="0"/>
              <w:rPr>
                <w:sz w:val="20"/>
                <w:szCs w:val="20"/>
                <w:color w:val="auto"/>
              </w:rPr>
            </w:pPr>
            <w:r>
              <w:rPr>
                <w:rFonts w:ascii="Arial" w:cs="Arial" w:eastAsia="Arial" w:hAnsi="Arial"/>
                <w:sz w:val="20"/>
                <w:szCs w:val="20"/>
                <w:color w:val="auto"/>
              </w:rPr>
              <w:t>Closing Obligations</w:t>
            </w:r>
          </w:p>
        </w:tc>
        <w:tc>
          <w:tcPr>
            <w:tcW w:w="38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9.4</w:t>
            </w:r>
          </w:p>
        </w:tc>
        <w:tc>
          <w:tcPr>
            <w:tcW w:w="6680" w:type="dxa"/>
            <w:vAlign w:val="bottom"/>
          </w:tcPr>
          <w:p>
            <w:pPr>
              <w:ind w:left="80"/>
              <w:spacing w:after="0"/>
              <w:rPr>
                <w:sz w:val="20"/>
                <w:szCs w:val="20"/>
                <w:color w:val="auto"/>
              </w:rPr>
            </w:pPr>
            <w:r>
              <w:rPr>
                <w:rFonts w:ascii="Arial" w:cs="Arial" w:eastAsia="Arial" w:hAnsi="Arial"/>
                <w:sz w:val="20"/>
                <w:szCs w:val="20"/>
                <w:color w:val="auto"/>
              </w:rPr>
              <w:t>Records</w:t>
            </w:r>
          </w:p>
        </w:tc>
        <w:tc>
          <w:tcPr>
            <w:tcW w:w="38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7"/>
        </w:trPr>
        <w:tc>
          <w:tcPr>
            <w:tcW w:w="7540" w:type="dxa"/>
            <w:vAlign w:val="bottom"/>
            <w:gridSpan w:val="2"/>
          </w:tcPr>
          <w:p>
            <w:pPr>
              <w:spacing w:after="0"/>
              <w:rPr>
                <w:sz w:val="20"/>
                <w:szCs w:val="20"/>
                <w:color w:val="auto"/>
              </w:rPr>
            </w:pPr>
            <w:r>
              <w:rPr>
                <w:rFonts w:ascii="Arial" w:cs="Arial" w:eastAsia="Arial" w:hAnsi="Arial"/>
                <w:sz w:val="20"/>
                <w:szCs w:val="20"/>
                <w:color w:val="auto"/>
              </w:rPr>
              <w:t>ARTICLE X ACCESS; DISCLAIMERS</w:t>
            </w:r>
          </w:p>
        </w:tc>
        <w:tc>
          <w:tcPr>
            <w:tcW w:w="38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10.1</w:t>
            </w:r>
          </w:p>
        </w:tc>
        <w:tc>
          <w:tcPr>
            <w:tcW w:w="6680" w:type="dxa"/>
            <w:vAlign w:val="bottom"/>
          </w:tcPr>
          <w:p>
            <w:pPr>
              <w:ind w:left="80"/>
              <w:spacing w:after="0"/>
              <w:rPr>
                <w:sz w:val="20"/>
                <w:szCs w:val="20"/>
                <w:color w:val="auto"/>
              </w:rPr>
            </w:pPr>
            <w:r>
              <w:rPr>
                <w:rFonts w:ascii="Arial" w:cs="Arial" w:eastAsia="Arial" w:hAnsi="Arial"/>
                <w:sz w:val="20"/>
                <w:szCs w:val="20"/>
                <w:color w:val="auto"/>
              </w:rPr>
              <w:t>Access</w:t>
            </w:r>
          </w:p>
        </w:tc>
        <w:tc>
          <w:tcPr>
            <w:tcW w:w="38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10.2</w:t>
            </w:r>
          </w:p>
        </w:tc>
        <w:tc>
          <w:tcPr>
            <w:tcW w:w="6680" w:type="dxa"/>
            <w:vAlign w:val="bottom"/>
          </w:tcPr>
          <w:p>
            <w:pPr>
              <w:ind w:left="80"/>
              <w:spacing w:after="0"/>
              <w:rPr>
                <w:sz w:val="20"/>
                <w:szCs w:val="20"/>
                <w:color w:val="auto"/>
              </w:rPr>
            </w:pPr>
            <w:r>
              <w:rPr>
                <w:rFonts w:ascii="Arial" w:cs="Arial" w:eastAsia="Arial" w:hAnsi="Arial"/>
                <w:sz w:val="20"/>
                <w:szCs w:val="20"/>
                <w:color w:val="auto"/>
              </w:rPr>
              <w:t>Confidentiality</w:t>
            </w:r>
          </w:p>
        </w:tc>
        <w:tc>
          <w:tcPr>
            <w:tcW w:w="384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97"/>
        </w:trPr>
        <w:tc>
          <w:tcPr>
            <w:tcW w:w="860" w:type="dxa"/>
            <w:vAlign w:val="bottom"/>
          </w:tcPr>
          <w:p>
            <w:pPr>
              <w:jc w:val="right"/>
              <w:spacing w:after="0"/>
              <w:rPr>
                <w:sz w:val="20"/>
                <w:szCs w:val="20"/>
                <w:color w:val="auto"/>
              </w:rPr>
            </w:pPr>
            <w:r>
              <w:rPr>
                <w:rFonts w:ascii="Arial" w:cs="Arial" w:eastAsia="Arial" w:hAnsi="Arial"/>
                <w:sz w:val="20"/>
                <w:szCs w:val="20"/>
                <w:color w:val="auto"/>
              </w:rPr>
              <w:t>10.3</w:t>
            </w:r>
          </w:p>
        </w:tc>
        <w:tc>
          <w:tcPr>
            <w:tcW w:w="6680" w:type="dxa"/>
            <w:vAlign w:val="bottom"/>
          </w:tcPr>
          <w:p>
            <w:pPr>
              <w:ind w:left="80"/>
              <w:spacing w:after="0"/>
              <w:rPr>
                <w:sz w:val="20"/>
                <w:szCs w:val="20"/>
                <w:color w:val="auto"/>
              </w:rPr>
            </w:pPr>
            <w:r>
              <w:rPr>
                <w:rFonts w:ascii="Arial" w:cs="Arial" w:eastAsia="Arial" w:hAnsi="Arial"/>
                <w:sz w:val="20"/>
                <w:szCs w:val="20"/>
                <w:color w:val="auto"/>
              </w:rPr>
              <w:t>Disclaimers</w:t>
            </w:r>
          </w:p>
        </w:tc>
        <w:tc>
          <w:tcPr>
            <w:tcW w:w="3840" w:type="dxa"/>
            <w:vAlign w:val="bottom"/>
          </w:tcPr>
          <w:p>
            <w:pPr>
              <w:jc w:val="right"/>
              <w:spacing w:after="0"/>
              <w:rPr>
                <w:sz w:val="20"/>
                <w:szCs w:val="20"/>
                <w:color w:val="auto"/>
              </w:rPr>
            </w:pPr>
            <w:r>
              <w:rPr>
                <w:rFonts w:ascii="Arial" w:cs="Arial" w:eastAsia="Arial" w:hAnsi="Arial"/>
                <w:sz w:val="20"/>
                <w:szCs w:val="20"/>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6814820</wp:posOffset>
            </wp:positionH>
            <wp:positionV relativeFrom="paragraph">
              <wp:posOffset>14605</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14605</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6849110</wp:posOffset>
            </wp:positionH>
            <wp:positionV relativeFrom="paragraph">
              <wp:posOffset>14605</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6866255</wp:posOffset>
            </wp:positionH>
            <wp:positionV relativeFrom="paragraph">
              <wp:posOffset>14605</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14605</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14605</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14605</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14605</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6951980</wp:posOffset>
            </wp:positionH>
            <wp:positionV relativeFrom="paragraph">
              <wp:posOffset>14605</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14605</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6986270</wp:posOffset>
            </wp:positionH>
            <wp:positionV relativeFrom="paragraph">
              <wp:posOffset>14605</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14605</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14605</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14605</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14605</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14605</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14605</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7106285</wp:posOffset>
            </wp:positionH>
            <wp:positionV relativeFrom="paragraph">
              <wp:posOffset>14605</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7123430</wp:posOffset>
            </wp:positionH>
            <wp:positionV relativeFrom="paragraph">
              <wp:posOffset>14605</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7140575</wp:posOffset>
            </wp:positionH>
            <wp:positionV relativeFrom="paragraph">
              <wp:posOffset>14605</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7157720</wp:posOffset>
            </wp:positionH>
            <wp:positionV relativeFrom="paragraph">
              <wp:posOffset>14605</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14605</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7192010</wp:posOffset>
            </wp:positionH>
            <wp:positionV relativeFrom="paragraph">
              <wp:posOffset>14605</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14605</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-156210</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-139065</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-121920</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-104775</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-87630</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-70485</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-53340</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-36195</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-19050</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-1905</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14605</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14605</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14605</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14605</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14605</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14605</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wp:posOffset>
            </wp:positionH>
            <wp:positionV relativeFrom="paragraph">
              <wp:posOffset>14605</wp:posOffset>
            </wp:positionV>
            <wp:extent cx="88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14605</wp:posOffset>
            </wp:positionV>
            <wp:extent cx="88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14605</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14605</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14605</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14605</wp:posOffset>
            </wp:positionV>
            <wp:extent cx="88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14605</wp:posOffset>
            </wp:positionV>
            <wp:extent cx="889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14605</wp:posOffset>
            </wp:positionV>
            <wp:extent cx="88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14605</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14605</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14605</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14605</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14605</wp:posOffset>
            </wp:positionV>
            <wp:extent cx="88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14605</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14605</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14605</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14605</wp:posOffset>
            </wp:positionV>
            <wp:extent cx="88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14605</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14605</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14605</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14605</wp:posOffset>
            </wp:positionV>
            <wp:extent cx="889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14605</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14605</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14605</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14605</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88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14605</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14605</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14605</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14605</wp:posOffset>
            </wp:positionV>
            <wp:extent cx="88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14605</wp:posOffset>
            </wp:positionV>
            <wp:extent cx="88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14605</wp:posOffset>
            </wp:positionV>
            <wp:extent cx="88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14605</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14605</wp:posOffset>
            </wp:positionV>
            <wp:extent cx="88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14605</wp:posOffset>
            </wp:positionV>
            <wp:extent cx="889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14605</wp:posOffset>
            </wp:positionV>
            <wp:extent cx="88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14605</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14605</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14605</wp:posOffset>
            </wp:positionV>
            <wp:extent cx="88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14605</wp:posOffset>
            </wp:positionV>
            <wp:extent cx="88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14605</wp:posOffset>
            </wp:positionV>
            <wp:extent cx="889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14605</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14605</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14605</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14605</wp:posOffset>
            </wp:positionV>
            <wp:extent cx="889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14605</wp:posOffset>
            </wp:positionV>
            <wp:extent cx="88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14605</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14605</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14605</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14605</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14605</wp:posOffset>
            </wp:positionV>
            <wp:extent cx="88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14605</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14605</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14605</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14605</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14605</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14605</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14605</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1703705</wp:posOffset>
            </wp:positionH>
            <wp:positionV relativeFrom="paragraph">
              <wp:posOffset>14605</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14605</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14605</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14605</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14605</wp:posOffset>
            </wp:positionV>
            <wp:extent cx="88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1789430</wp:posOffset>
            </wp:positionH>
            <wp:positionV relativeFrom="paragraph">
              <wp:posOffset>14605</wp:posOffset>
            </wp:positionV>
            <wp:extent cx="889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14605</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14605</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1840865</wp:posOffset>
            </wp:positionH>
            <wp:positionV relativeFrom="paragraph">
              <wp:posOffset>14605</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14605</wp:posOffset>
            </wp:positionV>
            <wp:extent cx="88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1875155</wp:posOffset>
            </wp:positionH>
            <wp:positionV relativeFrom="paragraph">
              <wp:posOffset>14605</wp:posOffset>
            </wp:positionV>
            <wp:extent cx="889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14605</wp:posOffset>
            </wp:positionV>
            <wp:extent cx="88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1909445</wp:posOffset>
            </wp:positionH>
            <wp:positionV relativeFrom="paragraph">
              <wp:posOffset>14605</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1926590</wp:posOffset>
            </wp:positionH>
            <wp:positionV relativeFrom="paragraph">
              <wp:posOffset>14605</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14605</wp:posOffset>
            </wp:positionV>
            <wp:extent cx="889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1960880</wp:posOffset>
            </wp:positionH>
            <wp:positionV relativeFrom="paragraph">
              <wp:posOffset>14605</wp:posOffset>
            </wp:positionV>
            <wp:extent cx="88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1978025</wp:posOffset>
            </wp:positionH>
            <wp:positionV relativeFrom="paragraph">
              <wp:posOffset>14605</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1995170</wp:posOffset>
            </wp:positionH>
            <wp:positionV relativeFrom="paragraph">
              <wp:posOffset>14605</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2012315</wp:posOffset>
            </wp:positionH>
            <wp:positionV relativeFrom="paragraph">
              <wp:posOffset>14605</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14605</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14605</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14605</wp:posOffset>
            </wp:positionV>
            <wp:extent cx="88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14605</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14605</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14605</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2132330</wp:posOffset>
            </wp:positionH>
            <wp:positionV relativeFrom="paragraph">
              <wp:posOffset>14605</wp:posOffset>
            </wp:positionV>
            <wp:extent cx="889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14605</wp:posOffset>
            </wp:positionV>
            <wp:extent cx="889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14605</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14605</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14605</wp:posOffset>
            </wp:positionV>
            <wp:extent cx="88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14605</wp:posOffset>
            </wp:positionV>
            <wp:extent cx="889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14605</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14605</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2269490</wp:posOffset>
            </wp:positionH>
            <wp:positionV relativeFrom="paragraph">
              <wp:posOffset>14605</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2286635</wp:posOffset>
            </wp:positionH>
            <wp:positionV relativeFrom="paragraph">
              <wp:posOffset>14605</wp:posOffset>
            </wp:positionV>
            <wp:extent cx="88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14605</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14605</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2338070</wp:posOffset>
            </wp:positionH>
            <wp:positionV relativeFrom="paragraph">
              <wp:posOffset>14605</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14605</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14605</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14605</wp:posOffset>
            </wp:positionV>
            <wp:extent cx="889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14605</wp:posOffset>
            </wp:positionV>
            <wp:extent cx="889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14605</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14605</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14605</wp:posOffset>
            </wp:positionV>
            <wp:extent cx="88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14605</wp:posOffset>
            </wp:positionV>
            <wp:extent cx="889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14605</wp:posOffset>
            </wp:positionV>
            <wp:extent cx="889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14605</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14605</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14605</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14605</wp:posOffset>
            </wp:positionV>
            <wp:extent cx="889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14605</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14605</wp:posOffset>
            </wp:positionV>
            <wp:extent cx="88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14605</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14605</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14605</wp:posOffset>
            </wp:positionV>
            <wp:extent cx="889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14605</wp:posOffset>
            </wp:positionV>
            <wp:extent cx="88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14605</wp:posOffset>
            </wp:positionV>
            <wp:extent cx="88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14605</wp:posOffset>
            </wp:positionV>
            <wp:extent cx="889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14605</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14605</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14605</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14605</wp:posOffset>
            </wp:positionV>
            <wp:extent cx="889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14605</wp:posOffset>
            </wp:positionV>
            <wp:extent cx="88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14605</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14605</wp:posOffset>
            </wp:positionV>
            <wp:extent cx="88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14605</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14605</wp:posOffset>
            </wp:positionV>
            <wp:extent cx="889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14605</wp:posOffset>
            </wp:positionV>
            <wp:extent cx="88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14605</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14605</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14605</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14605</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14605</wp:posOffset>
            </wp:positionV>
            <wp:extent cx="889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14605</wp:posOffset>
            </wp:positionV>
            <wp:extent cx="889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14605</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14605</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14605</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14605</wp:posOffset>
            </wp:positionV>
            <wp:extent cx="889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14605</wp:posOffset>
            </wp:positionV>
            <wp:extent cx="889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14605</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14605</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14605</wp:posOffset>
            </wp:positionV>
            <wp:extent cx="889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14605</wp:posOffset>
            </wp:positionV>
            <wp:extent cx="889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14605</wp:posOffset>
            </wp:positionV>
            <wp:extent cx="88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14605</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14605</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14605</wp:posOffset>
            </wp:positionV>
            <wp:extent cx="889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14605</wp:posOffset>
            </wp:positionV>
            <wp:extent cx="889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14605</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14605</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14605</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3298825</wp:posOffset>
            </wp:positionH>
            <wp:positionV relativeFrom="paragraph">
              <wp:posOffset>14605</wp:posOffset>
            </wp:positionV>
            <wp:extent cx="889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14605</wp:posOffset>
            </wp:positionV>
            <wp:extent cx="889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14605</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14605</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14605</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14605</wp:posOffset>
            </wp:positionV>
            <wp:extent cx="889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14605</wp:posOffset>
            </wp:positionV>
            <wp:extent cx="889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14605</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14605</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14605</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14605</wp:posOffset>
            </wp:positionV>
            <wp:extent cx="889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14605</wp:posOffset>
            </wp:positionV>
            <wp:extent cx="88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14605</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14605</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14605</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14605</wp:posOffset>
            </wp:positionV>
            <wp:extent cx="889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14605</wp:posOffset>
            </wp:positionV>
            <wp:extent cx="889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14605</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14605</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14605</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14605</wp:posOffset>
            </wp:positionV>
            <wp:extent cx="88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3658870</wp:posOffset>
            </wp:positionH>
            <wp:positionV relativeFrom="paragraph">
              <wp:posOffset>14605</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14605</wp:posOffset>
            </wp:positionV>
            <wp:extent cx="889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14605</wp:posOffset>
            </wp:positionV>
            <wp:extent cx="88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14605</wp:posOffset>
            </wp:positionV>
            <wp:extent cx="889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14605</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14605</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14605</wp:posOffset>
            </wp:positionV>
            <wp:extent cx="889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14605</wp:posOffset>
            </wp:positionV>
            <wp:extent cx="889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14605</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14605</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14605</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14605</wp:posOffset>
            </wp:positionV>
            <wp:extent cx="88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14605</wp:posOffset>
            </wp:positionV>
            <wp:extent cx="889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14605</wp:posOffset>
            </wp:positionV>
            <wp:extent cx="889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14605</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14605</wp:posOffset>
            </wp:positionV>
            <wp:extent cx="889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14605</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14605</wp:posOffset>
            </wp:positionV>
            <wp:extent cx="88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14605</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14605</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14605</wp:posOffset>
            </wp:positionV>
            <wp:extent cx="88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14605</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14605</wp:posOffset>
            </wp:positionV>
            <wp:extent cx="889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14605</wp:posOffset>
            </wp:positionV>
            <wp:extent cx="88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14605</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14605</wp:posOffset>
            </wp:positionV>
            <wp:extent cx="889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14605</wp:posOffset>
            </wp:positionV>
            <wp:extent cx="889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14605</wp:posOffset>
            </wp:positionV>
            <wp:extent cx="88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14605</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14605</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14605</wp:posOffset>
            </wp:positionV>
            <wp:extent cx="88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14605</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14605</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14605</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14605</wp:posOffset>
            </wp:positionV>
            <wp:extent cx="88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14605</wp:posOffset>
            </wp:positionV>
            <wp:extent cx="889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14605</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14605</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14605</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14605</wp:posOffset>
            </wp:positionV>
            <wp:extent cx="88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14605</wp:posOffset>
            </wp:positionV>
            <wp:extent cx="889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14605</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14605</wp:posOffset>
            </wp:positionV>
            <wp:extent cx="88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14605</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14605</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14605</wp:posOffset>
            </wp:positionV>
            <wp:extent cx="889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14605</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14605</wp:posOffset>
            </wp:positionV>
            <wp:extent cx="88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14605</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14605</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14605</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14605</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14605</wp:posOffset>
            </wp:positionV>
            <wp:extent cx="88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14605</wp:posOffset>
            </wp:positionV>
            <wp:extent cx="88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14605</wp:posOffset>
            </wp:positionV>
            <wp:extent cx="8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14605</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14605</wp:posOffset>
            </wp:positionV>
            <wp:extent cx="88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14605</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14605</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14605</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14605</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14605</wp:posOffset>
            </wp:positionV>
            <wp:extent cx="88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14605</wp:posOffset>
            </wp:positionV>
            <wp:extent cx="889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14605</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14605</wp:posOffset>
            </wp:positionV>
            <wp:extent cx="88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14605</wp:posOffset>
            </wp:positionV>
            <wp:extent cx="88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14605</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14605</wp:posOffset>
            </wp:positionV>
            <wp:extent cx="88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14605</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14605</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14605</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14605</wp:posOffset>
            </wp:positionV>
            <wp:extent cx="88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14605</wp:posOffset>
            </wp:positionV>
            <wp:extent cx="889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14605</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14605</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14605</wp:posOffset>
            </wp:positionV>
            <wp:extent cx="88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14605</wp:posOffset>
            </wp:positionV>
            <wp:extent cx="88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14605</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14605</wp:posOffset>
            </wp:positionV>
            <wp:extent cx="889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14605</wp:posOffset>
            </wp:positionV>
            <wp:extent cx="88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14605</wp:posOffset>
            </wp:positionV>
            <wp:extent cx="88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14605</wp:posOffset>
            </wp:positionV>
            <wp:extent cx="88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14605</wp:posOffset>
            </wp:positionV>
            <wp:extent cx="889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14605</wp:posOffset>
            </wp:positionV>
            <wp:extent cx="88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14605</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14605</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14605</wp:posOffset>
            </wp:positionV>
            <wp:extent cx="88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14605</wp:posOffset>
            </wp:positionV>
            <wp:extent cx="889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14605</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14605</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14605</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14605</wp:posOffset>
            </wp:positionV>
            <wp:extent cx="889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14605</wp:posOffset>
            </wp:positionV>
            <wp:extent cx="88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14605</wp:posOffset>
            </wp:positionV>
            <wp:extent cx="88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14605</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14605</wp:posOffset>
            </wp:positionV>
            <wp:extent cx="88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14605</wp:posOffset>
            </wp:positionV>
            <wp:extent cx="889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14605</wp:posOffset>
            </wp:positionV>
            <wp:extent cx="889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14605</wp:posOffset>
            </wp:positionV>
            <wp:extent cx="88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14605</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14605</wp:posOffset>
            </wp:positionV>
            <wp:extent cx="889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14605</wp:posOffset>
            </wp:positionV>
            <wp:extent cx="88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14605</wp:posOffset>
            </wp:positionV>
            <wp:extent cx="889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14605</wp:posOffset>
            </wp:positionV>
            <wp:extent cx="88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14605</wp:posOffset>
            </wp:positionV>
            <wp:extent cx="88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14605</wp:posOffset>
            </wp:positionV>
            <wp:extent cx="889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14605</wp:posOffset>
            </wp:positionV>
            <wp:extent cx="889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14605</wp:posOffset>
            </wp:positionV>
            <wp:extent cx="889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14605</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14605</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14605</wp:posOffset>
            </wp:positionV>
            <wp:extent cx="88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14605</wp:posOffset>
            </wp:positionV>
            <wp:extent cx="889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14605</wp:posOffset>
            </wp:positionV>
            <wp:extent cx="889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5596890</wp:posOffset>
            </wp:positionH>
            <wp:positionV relativeFrom="paragraph">
              <wp:posOffset>14605</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14605</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14605</wp:posOffset>
            </wp:positionV>
            <wp:extent cx="88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14605</wp:posOffset>
            </wp:positionV>
            <wp:extent cx="889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5665470</wp:posOffset>
            </wp:positionH>
            <wp:positionV relativeFrom="paragraph">
              <wp:posOffset>14605</wp:posOffset>
            </wp:positionV>
            <wp:extent cx="88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14605</wp:posOffset>
            </wp:positionV>
            <wp:extent cx="889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14605</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14605</wp:posOffset>
            </wp:positionV>
            <wp:extent cx="88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14605</wp:posOffset>
            </wp:positionV>
            <wp:extent cx="889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14605</wp:posOffset>
            </wp:positionV>
            <wp:extent cx="889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14605</wp:posOffset>
            </wp:positionV>
            <wp:extent cx="889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14605</wp:posOffset>
            </wp:positionV>
            <wp:extent cx="88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14605</wp:posOffset>
            </wp:positionV>
            <wp:extent cx="889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14605</wp:posOffset>
            </wp:positionV>
            <wp:extent cx="88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14605</wp:posOffset>
            </wp:positionV>
            <wp:extent cx="88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14605</wp:posOffset>
            </wp:positionV>
            <wp:extent cx="88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14605</wp:posOffset>
            </wp:positionV>
            <wp:extent cx="88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14605</wp:posOffset>
            </wp:positionV>
            <wp:extent cx="88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14605</wp:posOffset>
            </wp:positionV>
            <wp:extent cx="889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14605</wp:posOffset>
            </wp:positionV>
            <wp:extent cx="889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14605</wp:posOffset>
            </wp:positionV>
            <wp:extent cx="889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14605</wp:posOffset>
            </wp:positionV>
            <wp:extent cx="88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14605</wp:posOffset>
            </wp:positionV>
            <wp:extent cx="889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14605</wp:posOffset>
            </wp:positionV>
            <wp:extent cx="889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14605</wp:posOffset>
            </wp:positionV>
            <wp:extent cx="889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14605</wp:posOffset>
            </wp:positionV>
            <wp:extent cx="889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14605</wp:posOffset>
            </wp:positionV>
            <wp:extent cx="88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14605</wp:posOffset>
            </wp:positionV>
            <wp:extent cx="88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14605</wp:posOffset>
            </wp:positionV>
            <wp:extent cx="889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14605</wp:posOffset>
            </wp:positionV>
            <wp:extent cx="889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14605</wp:posOffset>
            </wp:positionV>
            <wp:extent cx="88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14605</wp:posOffset>
            </wp:positionV>
            <wp:extent cx="889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14605</wp:posOffset>
            </wp:positionV>
            <wp:extent cx="88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14605</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14605</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14605</wp:posOffset>
            </wp:positionV>
            <wp:extent cx="88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14605</wp:posOffset>
            </wp:positionV>
            <wp:extent cx="88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14605</wp:posOffset>
            </wp:positionV>
            <wp:extent cx="889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14605</wp:posOffset>
            </wp:positionV>
            <wp:extent cx="88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14605</wp:posOffset>
            </wp:positionV>
            <wp:extent cx="88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14605</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14605</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14605</wp:posOffset>
            </wp:positionV>
            <wp:extent cx="88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14605</wp:posOffset>
            </wp:positionV>
            <wp:extent cx="889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14605</wp:posOffset>
            </wp:positionV>
            <wp:extent cx="88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14605</wp:posOffset>
            </wp:positionV>
            <wp:extent cx="88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14605</wp:posOffset>
            </wp:positionV>
            <wp:extent cx="88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14605</wp:posOffset>
            </wp:positionV>
            <wp:extent cx="889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14605</wp:posOffset>
            </wp:positionV>
            <wp:extent cx="88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14605</wp:posOffset>
            </wp:positionV>
            <wp:extent cx="889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14605</wp:posOffset>
            </wp:positionV>
            <wp:extent cx="889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14605</wp:posOffset>
            </wp:positionV>
            <wp:extent cx="88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14605</wp:posOffset>
            </wp:positionV>
            <wp:extent cx="889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14605</wp:posOffset>
            </wp:positionV>
            <wp:extent cx="88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14605</wp:posOffset>
            </wp:positionV>
            <wp:extent cx="889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14605</wp:posOffset>
            </wp:positionV>
            <wp:extent cx="889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14605</wp:posOffset>
            </wp:positionV>
            <wp:extent cx="889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14605</wp:posOffset>
            </wp:positionV>
            <wp:extent cx="88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14605</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14605</wp:posOffset>
            </wp:positionV>
            <wp:extent cx="88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14605</wp:posOffset>
            </wp:positionV>
            <wp:extent cx="889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14605</wp:posOffset>
            </wp:positionV>
            <wp:extent cx="889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14605</wp:posOffset>
            </wp:positionV>
            <wp:extent cx="889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14605</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6694805</wp:posOffset>
            </wp:positionH>
            <wp:positionV relativeFrom="paragraph">
              <wp:posOffset>14605</wp:posOffset>
            </wp:positionV>
            <wp:extent cx="88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14605</wp:posOffset>
            </wp:positionV>
            <wp:extent cx="889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14605</wp:posOffset>
            </wp:positionV>
            <wp:extent cx="889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6746240</wp:posOffset>
            </wp:positionH>
            <wp:positionV relativeFrom="paragraph">
              <wp:posOffset>14605</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14605</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6780530</wp:posOffset>
            </wp:positionH>
            <wp:positionV relativeFrom="paragraph">
              <wp:posOffset>14605</wp:posOffset>
            </wp:positionV>
            <wp:extent cx="889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-156210</wp:posOffset>
            </wp:positionV>
            <wp:extent cx="889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-139065</wp:posOffset>
            </wp:positionV>
            <wp:extent cx="88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-121920</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-104775</wp:posOffset>
            </wp:positionV>
            <wp:extent cx="88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-87630</wp:posOffset>
            </wp:positionV>
            <wp:extent cx="889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-70485</wp:posOffset>
            </wp:positionV>
            <wp:extent cx="88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-53340</wp:posOffset>
            </wp:positionV>
            <wp:extent cx="88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-36195</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-19050</wp:posOffset>
            </wp:positionV>
            <wp:extent cx="88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-1905</wp:posOffset>
            </wp:positionV>
            <wp:extent cx="889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14605</wp:posOffset>
            </wp:positionV>
            <wp:extent cx="88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-4890135</wp:posOffset>
            </wp:positionV>
            <wp:extent cx="7254875" cy="491363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254875" cy="4913630"/>
                    </a:xfrm>
                    <a:prstGeom prst="rect">
                      <a:avLst/>
                    </a:prstGeom>
                    <a:noFill/>
                  </pic:spPr>
                </pic:pic>
              </a:graphicData>
            </a:graphic>
          </wp:anchor>
        </w:drawing>
      </w:r>
    </w:p>
    <w:p>
      <w:pPr>
        <w:sectPr>
          <w:pgSz w:w="11900" w:h="16838" w:orient="portrait"/>
          <w:cols w:equalWidth="0" w:num="1">
            <w:col w:w="11380"/>
          </w:cols>
          <w:pgMar w:left="280" w:top="121"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378"/>
        </w:trPr>
        <w:tc>
          <w:tcPr>
            <w:tcW w:w="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54"/>
        </w:trPr>
        <w:tc>
          <w:tcPr>
            <w:tcW w:w="8380" w:type="dxa"/>
            <w:vAlign w:val="bottom"/>
            <w:gridSpan w:val="3"/>
          </w:tcPr>
          <w:p>
            <w:pPr>
              <w:spacing w:after="0"/>
              <w:rPr>
                <w:sz w:val="20"/>
                <w:szCs w:val="20"/>
                <w:color w:val="auto"/>
              </w:rPr>
            </w:pPr>
            <w:r>
              <w:rPr>
                <w:rFonts w:ascii="Arial" w:cs="Arial" w:eastAsia="Arial" w:hAnsi="Arial"/>
                <w:sz w:val="20"/>
                <w:szCs w:val="20"/>
                <w:color w:val="auto"/>
              </w:rPr>
              <w:t>ARTICLE XI TITLE MATTERS; CASUALTY; TRANSFER RESTRICTIONS</w:t>
            </w:r>
          </w:p>
        </w:tc>
        <w:tc>
          <w:tcPr>
            <w:tcW w:w="30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11.1</w:t>
            </w:r>
          </w:p>
        </w:tc>
        <w:tc>
          <w:tcPr>
            <w:tcW w:w="7460" w:type="dxa"/>
            <w:vAlign w:val="bottom"/>
          </w:tcPr>
          <w:p>
            <w:pPr>
              <w:ind w:left="20"/>
              <w:spacing w:after="0"/>
              <w:rPr>
                <w:sz w:val="20"/>
                <w:szCs w:val="20"/>
                <w:color w:val="auto"/>
              </w:rPr>
            </w:pPr>
            <w:r>
              <w:rPr>
                <w:rFonts w:ascii="Arial" w:cs="Arial" w:eastAsia="Arial" w:hAnsi="Arial"/>
                <w:sz w:val="20"/>
                <w:szCs w:val="20"/>
                <w:color w:val="auto"/>
              </w:rPr>
              <w:t>Sellers’ Title</w:t>
            </w:r>
          </w:p>
        </w:tc>
        <w:tc>
          <w:tcPr>
            <w:tcW w:w="30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11.2</w:t>
            </w:r>
          </w:p>
        </w:tc>
        <w:tc>
          <w:tcPr>
            <w:tcW w:w="7460" w:type="dxa"/>
            <w:vAlign w:val="bottom"/>
          </w:tcPr>
          <w:p>
            <w:pPr>
              <w:ind w:left="20"/>
              <w:spacing w:after="0"/>
              <w:rPr>
                <w:sz w:val="20"/>
                <w:szCs w:val="20"/>
                <w:color w:val="auto"/>
              </w:rPr>
            </w:pPr>
            <w:r>
              <w:rPr>
                <w:rFonts w:ascii="Arial" w:cs="Arial" w:eastAsia="Arial" w:hAnsi="Arial"/>
                <w:sz w:val="20"/>
                <w:szCs w:val="20"/>
                <w:color w:val="auto"/>
              </w:rPr>
              <w:t>Notice of Title Defects; Defect Adjustments</w:t>
            </w:r>
          </w:p>
        </w:tc>
        <w:tc>
          <w:tcPr>
            <w:tcW w:w="30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11.3</w:t>
            </w:r>
          </w:p>
        </w:tc>
        <w:tc>
          <w:tcPr>
            <w:tcW w:w="7460" w:type="dxa"/>
            <w:vAlign w:val="bottom"/>
          </w:tcPr>
          <w:p>
            <w:pPr>
              <w:ind w:left="20"/>
              <w:spacing w:after="0"/>
              <w:rPr>
                <w:sz w:val="20"/>
                <w:szCs w:val="20"/>
                <w:color w:val="auto"/>
              </w:rPr>
            </w:pPr>
            <w:r>
              <w:rPr>
                <w:rFonts w:ascii="Arial" w:cs="Arial" w:eastAsia="Arial" w:hAnsi="Arial"/>
                <w:sz w:val="20"/>
                <w:szCs w:val="20"/>
                <w:color w:val="auto"/>
              </w:rPr>
              <w:t>Casualty Loss</w:t>
            </w:r>
          </w:p>
        </w:tc>
        <w:tc>
          <w:tcPr>
            <w:tcW w:w="30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11.4</w:t>
            </w:r>
          </w:p>
        </w:tc>
        <w:tc>
          <w:tcPr>
            <w:tcW w:w="7460" w:type="dxa"/>
            <w:vAlign w:val="bottom"/>
          </w:tcPr>
          <w:p>
            <w:pPr>
              <w:ind w:left="20"/>
              <w:spacing w:after="0"/>
              <w:rPr>
                <w:sz w:val="20"/>
                <w:szCs w:val="20"/>
                <w:color w:val="auto"/>
              </w:rPr>
            </w:pPr>
            <w:r>
              <w:rPr>
                <w:rFonts w:ascii="Arial" w:cs="Arial" w:eastAsia="Arial" w:hAnsi="Arial"/>
                <w:sz w:val="20"/>
                <w:szCs w:val="20"/>
                <w:color w:val="auto"/>
              </w:rPr>
              <w:t>Consents to Assign</w:t>
            </w:r>
          </w:p>
        </w:tc>
        <w:tc>
          <w:tcPr>
            <w:tcW w:w="30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97"/>
        </w:trPr>
        <w:tc>
          <w:tcPr>
            <w:tcW w:w="8380" w:type="dxa"/>
            <w:vAlign w:val="bottom"/>
            <w:gridSpan w:val="3"/>
          </w:tcPr>
          <w:p>
            <w:pPr>
              <w:spacing w:after="0"/>
              <w:rPr>
                <w:sz w:val="20"/>
                <w:szCs w:val="20"/>
                <w:color w:val="auto"/>
              </w:rPr>
            </w:pPr>
            <w:r>
              <w:rPr>
                <w:rFonts w:ascii="Arial" w:cs="Arial" w:eastAsia="Arial" w:hAnsi="Arial"/>
                <w:sz w:val="20"/>
                <w:szCs w:val="20"/>
                <w:color w:val="auto"/>
              </w:rPr>
              <w:t>ARTICLE XII ENVIRONMENTAL MATTERS</w:t>
            </w:r>
          </w:p>
        </w:tc>
        <w:tc>
          <w:tcPr>
            <w:tcW w:w="30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12.1</w:t>
            </w:r>
          </w:p>
        </w:tc>
        <w:tc>
          <w:tcPr>
            <w:tcW w:w="7460" w:type="dxa"/>
            <w:vAlign w:val="bottom"/>
          </w:tcPr>
          <w:p>
            <w:pPr>
              <w:ind w:left="20"/>
              <w:spacing w:after="0"/>
              <w:rPr>
                <w:sz w:val="20"/>
                <w:szCs w:val="20"/>
                <w:color w:val="auto"/>
              </w:rPr>
            </w:pPr>
            <w:r>
              <w:rPr>
                <w:rFonts w:ascii="Arial" w:cs="Arial" w:eastAsia="Arial" w:hAnsi="Arial"/>
                <w:sz w:val="20"/>
                <w:szCs w:val="20"/>
                <w:color w:val="auto"/>
              </w:rPr>
              <w:t>Notice of Environmental Defects</w:t>
            </w:r>
          </w:p>
        </w:tc>
        <w:tc>
          <w:tcPr>
            <w:tcW w:w="30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12.2</w:t>
            </w:r>
          </w:p>
        </w:tc>
        <w:tc>
          <w:tcPr>
            <w:tcW w:w="7460" w:type="dxa"/>
            <w:vAlign w:val="bottom"/>
          </w:tcPr>
          <w:p>
            <w:pPr>
              <w:ind w:left="20"/>
              <w:spacing w:after="0"/>
              <w:rPr>
                <w:sz w:val="20"/>
                <w:szCs w:val="20"/>
                <w:color w:val="auto"/>
              </w:rPr>
            </w:pPr>
            <w:r>
              <w:rPr>
                <w:rFonts w:ascii="Arial" w:cs="Arial" w:eastAsia="Arial" w:hAnsi="Arial"/>
                <w:sz w:val="20"/>
                <w:szCs w:val="20"/>
                <w:color w:val="auto"/>
              </w:rPr>
              <w:t>NORM, Asbestos, Wastes and Other Substances</w:t>
            </w:r>
          </w:p>
        </w:tc>
        <w:tc>
          <w:tcPr>
            <w:tcW w:w="30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97"/>
        </w:trPr>
        <w:tc>
          <w:tcPr>
            <w:tcW w:w="8380" w:type="dxa"/>
            <w:vAlign w:val="bottom"/>
            <w:gridSpan w:val="3"/>
          </w:tcPr>
          <w:p>
            <w:pPr>
              <w:spacing w:after="0"/>
              <w:rPr>
                <w:sz w:val="20"/>
                <w:szCs w:val="20"/>
                <w:color w:val="auto"/>
              </w:rPr>
            </w:pPr>
            <w:r>
              <w:rPr>
                <w:rFonts w:ascii="Arial" w:cs="Arial" w:eastAsia="Arial" w:hAnsi="Arial"/>
                <w:sz w:val="20"/>
                <w:szCs w:val="20"/>
                <w:color w:val="auto"/>
              </w:rPr>
              <w:t>ARTICLE XIII ASSUMPTION; INDEMNIFICATION; SURVIVAL</w:t>
            </w:r>
          </w:p>
        </w:tc>
        <w:tc>
          <w:tcPr>
            <w:tcW w:w="30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13.1</w:t>
            </w:r>
          </w:p>
        </w:tc>
        <w:tc>
          <w:tcPr>
            <w:tcW w:w="7460" w:type="dxa"/>
            <w:vAlign w:val="bottom"/>
          </w:tcPr>
          <w:p>
            <w:pPr>
              <w:ind w:left="20"/>
              <w:spacing w:after="0"/>
              <w:rPr>
                <w:sz w:val="20"/>
                <w:szCs w:val="20"/>
                <w:color w:val="auto"/>
              </w:rPr>
            </w:pPr>
            <w:r>
              <w:rPr>
                <w:rFonts w:ascii="Arial" w:cs="Arial" w:eastAsia="Arial" w:hAnsi="Arial"/>
                <w:sz w:val="20"/>
                <w:szCs w:val="20"/>
                <w:color w:val="auto"/>
              </w:rPr>
              <w:t>Assumed Obligations; Specified Obligations</w:t>
            </w:r>
          </w:p>
        </w:tc>
        <w:tc>
          <w:tcPr>
            <w:tcW w:w="30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13.2</w:t>
            </w:r>
          </w:p>
        </w:tc>
        <w:tc>
          <w:tcPr>
            <w:tcW w:w="7460" w:type="dxa"/>
            <w:vAlign w:val="bottom"/>
          </w:tcPr>
          <w:p>
            <w:pPr>
              <w:ind w:left="20"/>
              <w:spacing w:after="0"/>
              <w:rPr>
                <w:sz w:val="20"/>
                <w:szCs w:val="20"/>
                <w:color w:val="auto"/>
              </w:rPr>
            </w:pPr>
            <w:r>
              <w:rPr>
                <w:rFonts w:ascii="Arial" w:cs="Arial" w:eastAsia="Arial" w:hAnsi="Arial"/>
                <w:sz w:val="20"/>
                <w:szCs w:val="20"/>
                <w:color w:val="auto"/>
              </w:rPr>
              <w:t>Indemnities of Sellers</w:t>
            </w:r>
          </w:p>
        </w:tc>
        <w:tc>
          <w:tcPr>
            <w:tcW w:w="30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13.3</w:t>
            </w:r>
          </w:p>
        </w:tc>
        <w:tc>
          <w:tcPr>
            <w:tcW w:w="7460" w:type="dxa"/>
            <w:vAlign w:val="bottom"/>
          </w:tcPr>
          <w:p>
            <w:pPr>
              <w:ind w:left="20"/>
              <w:spacing w:after="0"/>
              <w:rPr>
                <w:sz w:val="20"/>
                <w:szCs w:val="20"/>
                <w:color w:val="auto"/>
              </w:rPr>
            </w:pPr>
            <w:r>
              <w:rPr>
                <w:rFonts w:ascii="Arial" w:cs="Arial" w:eastAsia="Arial" w:hAnsi="Arial"/>
                <w:sz w:val="20"/>
                <w:szCs w:val="20"/>
                <w:color w:val="auto"/>
              </w:rPr>
              <w:t>Indemnities of Buyer</w:t>
            </w:r>
          </w:p>
        </w:tc>
        <w:tc>
          <w:tcPr>
            <w:tcW w:w="30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13.4</w:t>
            </w:r>
          </w:p>
        </w:tc>
        <w:tc>
          <w:tcPr>
            <w:tcW w:w="7460" w:type="dxa"/>
            <w:vAlign w:val="bottom"/>
          </w:tcPr>
          <w:p>
            <w:pPr>
              <w:ind w:left="20"/>
              <w:spacing w:after="0"/>
              <w:rPr>
                <w:sz w:val="20"/>
                <w:szCs w:val="20"/>
                <w:color w:val="auto"/>
              </w:rPr>
            </w:pPr>
            <w:r>
              <w:rPr>
                <w:rFonts w:ascii="Arial" w:cs="Arial" w:eastAsia="Arial" w:hAnsi="Arial"/>
                <w:sz w:val="20"/>
                <w:szCs w:val="20"/>
                <w:color w:val="auto"/>
              </w:rPr>
              <w:t>Limitation on Liability</w:t>
            </w:r>
          </w:p>
        </w:tc>
        <w:tc>
          <w:tcPr>
            <w:tcW w:w="30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13.5</w:t>
            </w:r>
          </w:p>
        </w:tc>
        <w:tc>
          <w:tcPr>
            <w:tcW w:w="7460" w:type="dxa"/>
            <w:vAlign w:val="bottom"/>
          </w:tcPr>
          <w:p>
            <w:pPr>
              <w:ind w:left="20"/>
              <w:spacing w:after="0"/>
              <w:rPr>
                <w:sz w:val="20"/>
                <w:szCs w:val="20"/>
                <w:color w:val="auto"/>
              </w:rPr>
            </w:pPr>
            <w:r>
              <w:rPr>
                <w:rFonts w:ascii="Arial" w:cs="Arial" w:eastAsia="Arial" w:hAnsi="Arial"/>
                <w:sz w:val="20"/>
                <w:szCs w:val="20"/>
                <w:color w:val="auto"/>
              </w:rPr>
              <w:t>Express Negligence</w:t>
            </w:r>
          </w:p>
        </w:tc>
        <w:tc>
          <w:tcPr>
            <w:tcW w:w="30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13.6</w:t>
            </w:r>
          </w:p>
        </w:tc>
        <w:tc>
          <w:tcPr>
            <w:tcW w:w="7460" w:type="dxa"/>
            <w:vAlign w:val="bottom"/>
          </w:tcPr>
          <w:p>
            <w:pPr>
              <w:ind w:left="20"/>
              <w:spacing w:after="0"/>
              <w:rPr>
                <w:sz w:val="20"/>
                <w:szCs w:val="20"/>
                <w:color w:val="auto"/>
              </w:rPr>
            </w:pPr>
            <w:r>
              <w:rPr>
                <w:rFonts w:ascii="Arial" w:cs="Arial" w:eastAsia="Arial" w:hAnsi="Arial"/>
                <w:sz w:val="20"/>
                <w:szCs w:val="20"/>
                <w:color w:val="auto"/>
              </w:rPr>
              <w:t>Exclusive Remedy</w:t>
            </w:r>
          </w:p>
        </w:tc>
        <w:tc>
          <w:tcPr>
            <w:tcW w:w="30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13.7</w:t>
            </w:r>
          </w:p>
        </w:tc>
        <w:tc>
          <w:tcPr>
            <w:tcW w:w="7460" w:type="dxa"/>
            <w:vAlign w:val="bottom"/>
          </w:tcPr>
          <w:p>
            <w:pPr>
              <w:ind w:left="20"/>
              <w:spacing w:after="0"/>
              <w:rPr>
                <w:sz w:val="20"/>
                <w:szCs w:val="20"/>
                <w:color w:val="auto"/>
              </w:rPr>
            </w:pPr>
            <w:r>
              <w:rPr>
                <w:rFonts w:ascii="Arial" w:cs="Arial" w:eastAsia="Arial" w:hAnsi="Arial"/>
                <w:sz w:val="20"/>
                <w:szCs w:val="20"/>
                <w:color w:val="auto"/>
              </w:rPr>
              <w:t>Indemnification Procedures</w:t>
            </w:r>
          </w:p>
        </w:tc>
        <w:tc>
          <w:tcPr>
            <w:tcW w:w="30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13.8</w:t>
            </w:r>
          </w:p>
        </w:tc>
        <w:tc>
          <w:tcPr>
            <w:tcW w:w="7460" w:type="dxa"/>
            <w:vAlign w:val="bottom"/>
          </w:tcPr>
          <w:p>
            <w:pPr>
              <w:ind w:left="20"/>
              <w:spacing w:after="0"/>
              <w:rPr>
                <w:sz w:val="20"/>
                <w:szCs w:val="20"/>
                <w:color w:val="auto"/>
              </w:rPr>
            </w:pPr>
            <w:r>
              <w:rPr>
                <w:rFonts w:ascii="Arial" w:cs="Arial" w:eastAsia="Arial" w:hAnsi="Arial"/>
                <w:sz w:val="20"/>
                <w:szCs w:val="20"/>
                <w:color w:val="auto"/>
              </w:rPr>
              <w:t>Survival</w:t>
            </w:r>
          </w:p>
        </w:tc>
        <w:tc>
          <w:tcPr>
            <w:tcW w:w="30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13.9</w:t>
            </w:r>
          </w:p>
        </w:tc>
        <w:tc>
          <w:tcPr>
            <w:tcW w:w="7460" w:type="dxa"/>
            <w:vAlign w:val="bottom"/>
          </w:tcPr>
          <w:p>
            <w:pPr>
              <w:ind w:left="20"/>
              <w:spacing w:after="0"/>
              <w:rPr>
                <w:sz w:val="20"/>
                <w:szCs w:val="20"/>
                <w:color w:val="auto"/>
              </w:rPr>
            </w:pPr>
            <w:r>
              <w:rPr>
                <w:rFonts w:ascii="Arial" w:cs="Arial" w:eastAsia="Arial" w:hAnsi="Arial"/>
                <w:sz w:val="20"/>
                <w:szCs w:val="20"/>
                <w:color w:val="auto"/>
              </w:rPr>
              <w:t>Waiver of Right to Rescission</w:t>
            </w:r>
          </w:p>
        </w:tc>
        <w:tc>
          <w:tcPr>
            <w:tcW w:w="30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13.10</w:t>
            </w:r>
          </w:p>
        </w:tc>
        <w:tc>
          <w:tcPr>
            <w:tcW w:w="7460" w:type="dxa"/>
            <w:vAlign w:val="bottom"/>
          </w:tcPr>
          <w:p>
            <w:pPr>
              <w:ind w:left="20"/>
              <w:spacing w:after="0"/>
              <w:rPr>
                <w:sz w:val="20"/>
                <w:szCs w:val="20"/>
                <w:color w:val="auto"/>
              </w:rPr>
            </w:pPr>
            <w:r>
              <w:rPr>
                <w:rFonts w:ascii="Arial" w:cs="Arial" w:eastAsia="Arial" w:hAnsi="Arial"/>
                <w:sz w:val="20"/>
                <w:szCs w:val="20"/>
                <w:color w:val="auto"/>
              </w:rPr>
              <w:t>Insurance, Taxes</w:t>
            </w:r>
          </w:p>
        </w:tc>
        <w:tc>
          <w:tcPr>
            <w:tcW w:w="30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13.11</w:t>
            </w:r>
          </w:p>
        </w:tc>
        <w:tc>
          <w:tcPr>
            <w:tcW w:w="7460" w:type="dxa"/>
            <w:vAlign w:val="bottom"/>
          </w:tcPr>
          <w:p>
            <w:pPr>
              <w:ind w:left="20"/>
              <w:spacing w:after="0"/>
              <w:rPr>
                <w:sz w:val="20"/>
                <w:szCs w:val="20"/>
                <w:color w:val="auto"/>
              </w:rPr>
            </w:pPr>
            <w:r>
              <w:rPr>
                <w:rFonts w:ascii="Arial" w:cs="Arial" w:eastAsia="Arial" w:hAnsi="Arial"/>
                <w:sz w:val="20"/>
                <w:szCs w:val="20"/>
                <w:color w:val="auto"/>
              </w:rPr>
              <w:t>Non-Compensatory Damages</w:t>
            </w:r>
          </w:p>
        </w:tc>
        <w:tc>
          <w:tcPr>
            <w:tcW w:w="30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13.12</w:t>
            </w:r>
          </w:p>
        </w:tc>
        <w:tc>
          <w:tcPr>
            <w:tcW w:w="7460" w:type="dxa"/>
            <w:vAlign w:val="bottom"/>
          </w:tcPr>
          <w:p>
            <w:pPr>
              <w:ind w:left="20"/>
              <w:spacing w:after="0"/>
              <w:rPr>
                <w:sz w:val="20"/>
                <w:szCs w:val="20"/>
                <w:color w:val="auto"/>
              </w:rPr>
            </w:pPr>
            <w:r>
              <w:rPr>
                <w:rFonts w:ascii="Arial" w:cs="Arial" w:eastAsia="Arial" w:hAnsi="Arial"/>
                <w:sz w:val="20"/>
                <w:szCs w:val="20"/>
                <w:color w:val="auto"/>
              </w:rPr>
              <w:t>Disclaimer of Application of Anti-Indemnity Statutes</w:t>
            </w:r>
          </w:p>
        </w:tc>
        <w:tc>
          <w:tcPr>
            <w:tcW w:w="30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13.13</w:t>
            </w:r>
          </w:p>
        </w:tc>
        <w:tc>
          <w:tcPr>
            <w:tcW w:w="7460" w:type="dxa"/>
            <w:vAlign w:val="bottom"/>
          </w:tcPr>
          <w:p>
            <w:pPr>
              <w:ind w:left="20"/>
              <w:spacing w:after="0"/>
              <w:rPr>
                <w:sz w:val="20"/>
                <w:szCs w:val="20"/>
                <w:color w:val="auto"/>
              </w:rPr>
            </w:pPr>
            <w:r>
              <w:rPr>
                <w:rFonts w:ascii="Arial" w:cs="Arial" w:eastAsia="Arial" w:hAnsi="Arial"/>
                <w:sz w:val="20"/>
                <w:szCs w:val="20"/>
                <w:color w:val="auto"/>
              </w:rPr>
              <w:t>Specified Obligation Disputes</w:t>
            </w:r>
          </w:p>
        </w:tc>
        <w:tc>
          <w:tcPr>
            <w:tcW w:w="30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97"/>
        </w:trPr>
        <w:tc>
          <w:tcPr>
            <w:tcW w:w="8380" w:type="dxa"/>
            <w:vAlign w:val="bottom"/>
            <w:gridSpan w:val="3"/>
          </w:tcPr>
          <w:p>
            <w:pPr>
              <w:spacing w:after="0"/>
              <w:rPr>
                <w:sz w:val="20"/>
                <w:szCs w:val="20"/>
                <w:color w:val="auto"/>
              </w:rPr>
            </w:pPr>
            <w:r>
              <w:rPr>
                <w:rFonts w:ascii="Arial" w:cs="Arial" w:eastAsia="Arial" w:hAnsi="Arial"/>
                <w:sz w:val="20"/>
                <w:szCs w:val="20"/>
                <w:color w:val="auto"/>
              </w:rPr>
              <w:t>ARTICLE XIV TERMINATION, DEFAULT AND REMEDIES</w:t>
            </w:r>
          </w:p>
        </w:tc>
        <w:tc>
          <w:tcPr>
            <w:tcW w:w="30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14.1</w:t>
            </w:r>
          </w:p>
        </w:tc>
        <w:tc>
          <w:tcPr>
            <w:tcW w:w="7460" w:type="dxa"/>
            <w:vAlign w:val="bottom"/>
          </w:tcPr>
          <w:p>
            <w:pPr>
              <w:ind w:left="20"/>
              <w:spacing w:after="0"/>
              <w:rPr>
                <w:sz w:val="20"/>
                <w:szCs w:val="20"/>
                <w:color w:val="auto"/>
              </w:rPr>
            </w:pPr>
            <w:r>
              <w:rPr>
                <w:rFonts w:ascii="Arial" w:cs="Arial" w:eastAsia="Arial" w:hAnsi="Arial"/>
                <w:sz w:val="20"/>
                <w:szCs w:val="20"/>
                <w:color w:val="auto"/>
              </w:rPr>
              <w:t>Right of Termination</w:t>
            </w:r>
          </w:p>
        </w:tc>
        <w:tc>
          <w:tcPr>
            <w:tcW w:w="30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14.2</w:t>
            </w:r>
          </w:p>
        </w:tc>
        <w:tc>
          <w:tcPr>
            <w:tcW w:w="7460" w:type="dxa"/>
            <w:vAlign w:val="bottom"/>
          </w:tcPr>
          <w:p>
            <w:pPr>
              <w:ind w:left="20"/>
              <w:spacing w:after="0"/>
              <w:rPr>
                <w:sz w:val="20"/>
                <w:szCs w:val="20"/>
                <w:color w:val="auto"/>
              </w:rPr>
            </w:pPr>
            <w:r>
              <w:rPr>
                <w:rFonts w:ascii="Arial" w:cs="Arial" w:eastAsia="Arial" w:hAnsi="Arial"/>
                <w:sz w:val="20"/>
                <w:szCs w:val="20"/>
                <w:color w:val="auto"/>
              </w:rPr>
              <w:t>Effect of Termination</w:t>
            </w:r>
          </w:p>
        </w:tc>
        <w:tc>
          <w:tcPr>
            <w:tcW w:w="30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14.3</w:t>
            </w:r>
          </w:p>
        </w:tc>
        <w:tc>
          <w:tcPr>
            <w:tcW w:w="7460" w:type="dxa"/>
            <w:vAlign w:val="bottom"/>
          </w:tcPr>
          <w:p>
            <w:pPr>
              <w:ind w:left="20"/>
              <w:spacing w:after="0"/>
              <w:rPr>
                <w:sz w:val="20"/>
                <w:szCs w:val="20"/>
                <w:color w:val="auto"/>
              </w:rPr>
            </w:pPr>
            <w:r>
              <w:rPr>
                <w:rFonts w:ascii="Arial" w:cs="Arial" w:eastAsia="Arial" w:hAnsi="Arial"/>
                <w:sz w:val="20"/>
                <w:szCs w:val="20"/>
                <w:color w:val="auto"/>
              </w:rPr>
              <w:t>Return of Documentation and Confidentiality</w:t>
            </w:r>
          </w:p>
        </w:tc>
        <w:tc>
          <w:tcPr>
            <w:tcW w:w="3000" w:type="dxa"/>
            <w:vAlign w:val="bottom"/>
          </w:tcPr>
          <w:p>
            <w:pPr>
              <w:jc w:val="right"/>
              <w:spacing w:after="0"/>
              <w:rPr>
                <w:sz w:val="20"/>
                <w:szCs w:val="20"/>
                <w:color w:val="auto"/>
              </w:rPr>
            </w:pPr>
            <w:r>
              <w:rPr>
                <w:rFonts w:ascii="Arial" w:cs="Arial" w:eastAsia="Arial" w:hAnsi="Arial"/>
                <w:sz w:val="20"/>
                <w:szCs w:val="20"/>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6814820</wp:posOffset>
            </wp:positionH>
            <wp:positionV relativeFrom="paragraph">
              <wp:posOffset>14605</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14605</wp:posOffset>
            </wp:positionV>
            <wp:extent cx="889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6849110</wp:posOffset>
            </wp:positionH>
            <wp:positionV relativeFrom="paragraph">
              <wp:posOffset>14605</wp:posOffset>
            </wp:positionV>
            <wp:extent cx="889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6866255</wp:posOffset>
            </wp:positionH>
            <wp:positionV relativeFrom="paragraph">
              <wp:posOffset>14605</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14605</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14605</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14605</wp:posOffset>
            </wp:positionV>
            <wp:extent cx="889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14605</wp:posOffset>
            </wp:positionV>
            <wp:extent cx="889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6951980</wp:posOffset>
            </wp:positionH>
            <wp:positionV relativeFrom="paragraph">
              <wp:posOffset>14605</wp:posOffset>
            </wp:positionV>
            <wp:extent cx="88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14605</wp:posOffset>
            </wp:positionV>
            <wp:extent cx="88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6986270</wp:posOffset>
            </wp:positionH>
            <wp:positionV relativeFrom="paragraph">
              <wp:posOffset>14605</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14605</wp:posOffset>
            </wp:positionV>
            <wp:extent cx="88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14605</wp:posOffset>
            </wp:positionV>
            <wp:extent cx="88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14605</wp:posOffset>
            </wp:positionV>
            <wp:extent cx="889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14605</wp:posOffset>
            </wp:positionV>
            <wp:extent cx="88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14605</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14605</wp:posOffset>
            </wp:positionV>
            <wp:extent cx="889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7106285</wp:posOffset>
            </wp:positionH>
            <wp:positionV relativeFrom="paragraph">
              <wp:posOffset>14605</wp:posOffset>
            </wp:positionV>
            <wp:extent cx="889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7123430</wp:posOffset>
            </wp:positionH>
            <wp:positionV relativeFrom="paragraph">
              <wp:posOffset>14605</wp:posOffset>
            </wp:positionV>
            <wp:extent cx="88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7140575</wp:posOffset>
            </wp:positionH>
            <wp:positionV relativeFrom="paragraph">
              <wp:posOffset>14605</wp:posOffset>
            </wp:positionV>
            <wp:extent cx="889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7157720</wp:posOffset>
            </wp:positionH>
            <wp:positionV relativeFrom="paragraph">
              <wp:posOffset>14605</wp:posOffset>
            </wp:positionV>
            <wp:extent cx="88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14605</wp:posOffset>
            </wp:positionV>
            <wp:extent cx="889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7192010</wp:posOffset>
            </wp:positionH>
            <wp:positionV relativeFrom="paragraph">
              <wp:posOffset>14605</wp:posOffset>
            </wp:positionV>
            <wp:extent cx="88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14605</wp:posOffset>
            </wp:positionV>
            <wp:extent cx="88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-156210</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-139065</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-121920</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-104775</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-87630</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-70485</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-53340</wp:posOffset>
            </wp:positionV>
            <wp:extent cx="889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-36195</wp:posOffset>
            </wp:positionV>
            <wp:extent cx="889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-19050</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-1905</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14605</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14605</wp:posOffset>
            </wp:positionV>
            <wp:extent cx="889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14605</wp:posOffset>
            </wp:positionV>
            <wp:extent cx="889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889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14605</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14605</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14605</wp:posOffset>
            </wp:positionV>
            <wp:extent cx="889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wp:posOffset>
            </wp:positionH>
            <wp:positionV relativeFrom="paragraph">
              <wp:posOffset>14605</wp:posOffset>
            </wp:positionV>
            <wp:extent cx="889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14605</wp:posOffset>
            </wp:positionV>
            <wp:extent cx="889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14605</wp:posOffset>
            </wp:positionV>
            <wp:extent cx="889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14605</wp:posOffset>
            </wp:positionV>
            <wp:extent cx="88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14605</wp:posOffset>
            </wp:positionV>
            <wp:extent cx="88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14605</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14605</wp:posOffset>
            </wp:positionV>
            <wp:extent cx="889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14605</wp:posOffset>
            </wp:positionV>
            <wp:extent cx="88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14605</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14605</wp:posOffset>
            </wp:positionV>
            <wp:extent cx="88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14605</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14605</wp:posOffset>
            </wp:positionV>
            <wp:extent cx="889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14605</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14605</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14605</wp:posOffset>
            </wp:positionV>
            <wp:extent cx="889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14605</wp:posOffset>
            </wp:positionV>
            <wp:extent cx="88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14605</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14605</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14605</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14605</wp:posOffset>
            </wp:positionV>
            <wp:extent cx="889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14605</wp:posOffset>
            </wp:positionV>
            <wp:extent cx="88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14605</wp:posOffset>
            </wp:positionV>
            <wp:extent cx="88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14605</wp:posOffset>
            </wp:positionV>
            <wp:extent cx="889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14605</wp:posOffset>
            </wp:positionV>
            <wp:extent cx="889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14605</wp:posOffset>
            </wp:positionV>
            <wp:extent cx="88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889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14605</wp:posOffset>
            </wp:positionV>
            <wp:extent cx="889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14605</wp:posOffset>
            </wp:positionV>
            <wp:extent cx="88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14605</wp:posOffset>
            </wp:positionV>
            <wp:extent cx="889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14605</wp:posOffset>
            </wp:positionV>
            <wp:extent cx="889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14605</wp:posOffset>
            </wp:positionV>
            <wp:extent cx="88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14605</wp:posOffset>
            </wp:positionV>
            <wp:extent cx="889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88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14605</wp:posOffset>
            </wp:positionV>
            <wp:extent cx="88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14605</wp:posOffset>
            </wp:positionV>
            <wp:extent cx="889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14605</wp:posOffset>
            </wp:positionV>
            <wp:extent cx="889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14605</wp:posOffset>
            </wp:positionV>
            <wp:extent cx="88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14605</wp:posOffset>
            </wp:positionV>
            <wp:extent cx="889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14605</wp:posOffset>
            </wp:positionV>
            <wp:extent cx="88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14605</wp:posOffset>
            </wp:positionV>
            <wp:extent cx="889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14605</wp:posOffset>
            </wp:positionV>
            <wp:extent cx="889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14605</wp:posOffset>
            </wp:positionV>
            <wp:extent cx="88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14605</wp:posOffset>
            </wp:positionV>
            <wp:extent cx="889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14605</wp:posOffset>
            </wp:positionV>
            <wp:extent cx="889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14605</wp:posOffset>
            </wp:positionV>
            <wp:extent cx="88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14605</wp:posOffset>
            </wp:positionV>
            <wp:extent cx="889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14605</wp:posOffset>
            </wp:positionV>
            <wp:extent cx="889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14605</wp:posOffset>
            </wp:positionV>
            <wp:extent cx="889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14605</wp:posOffset>
            </wp:positionV>
            <wp:extent cx="88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14605</wp:posOffset>
            </wp:positionV>
            <wp:extent cx="88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14605</wp:posOffset>
            </wp:positionV>
            <wp:extent cx="889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14605</wp:posOffset>
            </wp:positionV>
            <wp:extent cx="889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14605</wp:posOffset>
            </wp:positionV>
            <wp:extent cx="889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14605</wp:posOffset>
            </wp:positionV>
            <wp:extent cx="889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14605</wp:posOffset>
            </wp:positionV>
            <wp:extent cx="889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14605</wp:posOffset>
            </wp:positionV>
            <wp:extent cx="889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14605</wp:posOffset>
            </wp:positionV>
            <wp:extent cx="88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14605</wp:posOffset>
            </wp:positionV>
            <wp:extent cx="889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14605</wp:posOffset>
            </wp:positionV>
            <wp:extent cx="889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1703705</wp:posOffset>
            </wp:positionH>
            <wp:positionV relativeFrom="paragraph">
              <wp:posOffset>14605</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14605</wp:posOffset>
            </wp:positionV>
            <wp:extent cx="88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14605</wp:posOffset>
            </wp:positionV>
            <wp:extent cx="88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14605</wp:posOffset>
            </wp:positionV>
            <wp:extent cx="889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14605</wp:posOffset>
            </wp:positionV>
            <wp:extent cx="889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1789430</wp:posOffset>
            </wp:positionH>
            <wp:positionV relativeFrom="paragraph">
              <wp:posOffset>14605</wp:posOffset>
            </wp:positionV>
            <wp:extent cx="889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14605</wp:posOffset>
            </wp:positionV>
            <wp:extent cx="889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14605</wp:posOffset>
            </wp:positionV>
            <wp:extent cx="889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1840865</wp:posOffset>
            </wp:positionH>
            <wp:positionV relativeFrom="paragraph">
              <wp:posOffset>14605</wp:posOffset>
            </wp:positionV>
            <wp:extent cx="889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14605</wp:posOffset>
            </wp:positionV>
            <wp:extent cx="889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1875155</wp:posOffset>
            </wp:positionH>
            <wp:positionV relativeFrom="paragraph">
              <wp:posOffset>14605</wp:posOffset>
            </wp:positionV>
            <wp:extent cx="889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14605</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1909445</wp:posOffset>
            </wp:positionH>
            <wp:positionV relativeFrom="paragraph">
              <wp:posOffset>14605</wp:posOffset>
            </wp:positionV>
            <wp:extent cx="88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1926590</wp:posOffset>
            </wp:positionH>
            <wp:positionV relativeFrom="paragraph">
              <wp:posOffset>14605</wp:posOffset>
            </wp:positionV>
            <wp:extent cx="889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14605</wp:posOffset>
            </wp:positionV>
            <wp:extent cx="889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1960880</wp:posOffset>
            </wp:positionH>
            <wp:positionV relativeFrom="paragraph">
              <wp:posOffset>14605</wp:posOffset>
            </wp:positionV>
            <wp:extent cx="889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1978025</wp:posOffset>
            </wp:positionH>
            <wp:positionV relativeFrom="paragraph">
              <wp:posOffset>14605</wp:posOffset>
            </wp:positionV>
            <wp:extent cx="88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1995170</wp:posOffset>
            </wp:positionH>
            <wp:positionV relativeFrom="paragraph">
              <wp:posOffset>14605</wp:posOffset>
            </wp:positionV>
            <wp:extent cx="889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2012315</wp:posOffset>
            </wp:positionH>
            <wp:positionV relativeFrom="paragraph">
              <wp:posOffset>14605</wp:posOffset>
            </wp:positionV>
            <wp:extent cx="889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14605</wp:posOffset>
            </wp:positionV>
            <wp:extent cx="889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14605</wp:posOffset>
            </wp:positionV>
            <wp:extent cx="889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14605</wp:posOffset>
            </wp:positionV>
            <wp:extent cx="889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14605</wp:posOffset>
            </wp:positionV>
            <wp:extent cx="889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14605</wp:posOffset>
            </wp:positionV>
            <wp:extent cx="889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14605</wp:posOffset>
            </wp:positionV>
            <wp:extent cx="889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2132330</wp:posOffset>
            </wp:positionH>
            <wp:positionV relativeFrom="paragraph">
              <wp:posOffset>14605</wp:posOffset>
            </wp:positionV>
            <wp:extent cx="889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14605</wp:posOffset>
            </wp:positionV>
            <wp:extent cx="889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14605</wp:posOffset>
            </wp:positionV>
            <wp:extent cx="889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14605</wp:posOffset>
            </wp:positionV>
            <wp:extent cx="889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14605</wp:posOffset>
            </wp:positionV>
            <wp:extent cx="889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14605</wp:posOffset>
            </wp:positionV>
            <wp:extent cx="889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14605</wp:posOffset>
            </wp:positionV>
            <wp:extent cx="889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14605</wp:posOffset>
            </wp:positionV>
            <wp:extent cx="889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2269490</wp:posOffset>
            </wp:positionH>
            <wp:positionV relativeFrom="paragraph">
              <wp:posOffset>14605</wp:posOffset>
            </wp:positionV>
            <wp:extent cx="889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2286635</wp:posOffset>
            </wp:positionH>
            <wp:positionV relativeFrom="paragraph">
              <wp:posOffset>14605</wp:posOffset>
            </wp:positionV>
            <wp:extent cx="889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14605</wp:posOffset>
            </wp:positionV>
            <wp:extent cx="889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14605</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2338070</wp:posOffset>
            </wp:positionH>
            <wp:positionV relativeFrom="paragraph">
              <wp:posOffset>14605</wp:posOffset>
            </wp:positionV>
            <wp:extent cx="889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14605</wp:posOffset>
            </wp:positionV>
            <wp:extent cx="889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14605</wp:posOffset>
            </wp:positionV>
            <wp:extent cx="88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14605</wp:posOffset>
            </wp:positionV>
            <wp:extent cx="889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14605</wp:posOffset>
            </wp:positionV>
            <wp:extent cx="88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14605</wp:posOffset>
            </wp:positionV>
            <wp:extent cx="889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14605</wp:posOffset>
            </wp:positionV>
            <wp:extent cx="889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14605</wp:posOffset>
            </wp:positionV>
            <wp:extent cx="889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14605</wp:posOffset>
            </wp:positionV>
            <wp:extent cx="889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14605</wp:posOffset>
            </wp:positionV>
            <wp:extent cx="889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14605</wp:posOffset>
            </wp:positionV>
            <wp:extent cx="88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14605</wp:posOffset>
            </wp:positionV>
            <wp:extent cx="889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14605</wp:posOffset>
            </wp:positionV>
            <wp:extent cx="889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14605</wp:posOffset>
            </wp:positionV>
            <wp:extent cx="889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889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14605</wp:posOffset>
            </wp:positionV>
            <wp:extent cx="889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14605</wp:posOffset>
            </wp:positionV>
            <wp:extent cx="889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14605</wp:posOffset>
            </wp:positionV>
            <wp:extent cx="889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14605</wp:posOffset>
            </wp:positionV>
            <wp:extent cx="889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14605</wp:posOffset>
            </wp:positionV>
            <wp:extent cx="889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14605</wp:posOffset>
            </wp:positionV>
            <wp:extent cx="889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14605</wp:posOffset>
            </wp:positionV>
            <wp:extent cx="889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14605</wp:posOffset>
            </wp:positionV>
            <wp:extent cx="889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14605</wp:posOffset>
            </wp:positionV>
            <wp:extent cx="889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14605</wp:posOffset>
            </wp:positionV>
            <wp:extent cx="889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14605</wp:posOffset>
            </wp:positionV>
            <wp:extent cx="889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14605</wp:posOffset>
            </wp:positionV>
            <wp:extent cx="889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14605</wp:posOffset>
            </wp:positionV>
            <wp:extent cx="889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14605</wp:posOffset>
            </wp:positionV>
            <wp:extent cx="889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14605</wp:posOffset>
            </wp:positionV>
            <wp:extent cx="889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14605</wp:posOffset>
            </wp:positionV>
            <wp:extent cx="889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14605</wp:posOffset>
            </wp:positionV>
            <wp:extent cx="889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14605</wp:posOffset>
            </wp:positionV>
            <wp:extent cx="889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14605</wp:posOffset>
            </wp:positionV>
            <wp:extent cx="889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14605</wp:posOffset>
            </wp:positionV>
            <wp:extent cx="889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14605</wp:posOffset>
            </wp:positionV>
            <wp:extent cx="889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14605</wp:posOffset>
            </wp:positionV>
            <wp:extent cx="889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14605</wp:posOffset>
            </wp:positionV>
            <wp:extent cx="889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14605</wp:posOffset>
            </wp:positionV>
            <wp:extent cx="889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14605</wp:posOffset>
            </wp:positionV>
            <wp:extent cx="889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14605</wp:posOffset>
            </wp:positionV>
            <wp:extent cx="889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14605</wp:posOffset>
            </wp:positionV>
            <wp:extent cx="889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14605</wp:posOffset>
            </wp:positionV>
            <wp:extent cx="88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14605</wp:posOffset>
            </wp:positionV>
            <wp:extent cx="88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14605</wp:posOffset>
            </wp:positionV>
            <wp:extent cx="889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14605</wp:posOffset>
            </wp:positionV>
            <wp:extent cx="889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14605</wp:posOffset>
            </wp:positionV>
            <wp:extent cx="88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14605</wp:posOffset>
            </wp:positionV>
            <wp:extent cx="889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14605</wp:posOffset>
            </wp:positionV>
            <wp:extent cx="889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14605</wp:posOffset>
            </wp:positionV>
            <wp:extent cx="889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14605</wp:posOffset>
            </wp:positionV>
            <wp:extent cx="889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14605</wp:posOffset>
            </wp:positionV>
            <wp:extent cx="889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14605</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14605</wp:posOffset>
            </wp:positionV>
            <wp:extent cx="889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14605</wp:posOffset>
            </wp:positionV>
            <wp:extent cx="889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14605</wp:posOffset>
            </wp:positionV>
            <wp:extent cx="889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3298825</wp:posOffset>
            </wp:positionH>
            <wp:positionV relativeFrom="paragraph">
              <wp:posOffset>14605</wp:posOffset>
            </wp:positionV>
            <wp:extent cx="889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14605</wp:posOffset>
            </wp:positionV>
            <wp:extent cx="889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14605</wp:posOffset>
            </wp:positionV>
            <wp:extent cx="889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14605</wp:posOffset>
            </wp:positionV>
            <wp:extent cx="889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14605</wp:posOffset>
            </wp:positionV>
            <wp:extent cx="889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14605</wp:posOffset>
            </wp:positionV>
            <wp:extent cx="889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14605</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14605</wp:posOffset>
            </wp:positionV>
            <wp:extent cx="889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14605</wp:posOffset>
            </wp:positionV>
            <wp:extent cx="889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14605</wp:posOffset>
            </wp:positionV>
            <wp:extent cx="889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14605</wp:posOffset>
            </wp:positionV>
            <wp:extent cx="889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14605</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14605</wp:posOffset>
            </wp:positionV>
            <wp:extent cx="889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14605</wp:posOffset>
            </wp:positionV>
            <wp:extent cx="889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14605</wp:posOffset>
            </wp:positionV>
            <wp:extent cx="889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14605</wp:posOffset>
            </wp:positionV>
            <wp:extent cx="889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14605</wp:posOffset>
            </wp:positionV>
            <wp:extent cx="88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14605</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14605</wp:posOffset>
            </wp:positionV>
            <wp:extent cx="889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14605</wp:posOffset>
            </wp:positionV>
            <wp:extent cx="889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14605</wp:posOffset>
            </wp:positionV>
            <wp:extent cx="889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3658870</wp:posOffset>
            </wp:positionH>
            <wp:positionV relativeFrom="paragraph">
              <wp:posOffset>14605</wp:posOffset>
            </wp:positionV>
            <wp:extent cx="88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14605</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14605</wp:posOffset>
            </wp:positionV>
            <wp:extent cx="88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14605</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14605</wp:posOffset>
            </wp:positionV>
            <wp:extent cx="889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14605</wp:posOffset>
            </wp:positionV>
            <wp:extent cx="88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14605</wp:posOffset>
            </wp:positionV>
            <wp:extent cx="889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14605</wp:posOffset>
            </wp:positionV>
            <wp:extent cx="88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14605</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14605</wp:posOffset>
            </wp:positionV>
            <wp:extent cx="889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14605</wp:posOffset>
            </wp:positionV>
            <wp:extent cx="889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14605</wp:posOffset>
            </wp:positionV>
            <wp:extent cx="889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14605</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14605</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14605</wp:posOffset>
            </wp:positionV>
            <wp:extent cx="88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14605</wp:posOffset>
            </wp:positionV>
            <wp:extent cx="889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14605</wp:posOffset>
            </wp:positionV>
            <wp:extent cx="889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14605</wp:posOffset>
            </wp:positionV>
            <wp:extent cx="88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14605</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14605</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14605</wp:posOffset>
            </wp:positionV>
            <wp:extent cx="889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14605</wp:posOffset>
            </wp:positionV>
            <wp:extent cx="889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14605</wp:posOffset>
            </wp:positionV>
            <wp:extent cx="889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14605</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14605</wp:posOffset>
            </wp:positionV>
            <wp:extent cx="889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14605</wp:posOffset>
            </wp:positionV>
            <wp:extent cx="889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14605</wp:posOffset>
            </wp:positionV>
            <wp:extent cx="889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14605</wp:posOffset>
            </wp:positionV>
            <wp:extent cx="889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14605</wp:posOffset>
            </wp:positionV>
            <wp:extent cx="889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14605</wp:posOffset>
            </wp:positionV>
            <wp:extent cx="88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14605</wp:posOffset>
            </wp:positionV>
            <wp:extent cx="889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14605</wp:posOffset>
            </wp:positionV>
            <wp:extent cx="889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14605</wp:posOffset>
            </wp:positionV>
            <wp:extent cx="889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14605</wp:posOffset>
            </wp:positionV>
            <wp:extent cx="889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14605</wp:posOffset>
            </wp:positionV>
            <wp:extent cx="889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14605</wp:posOffset>
            </wp:positionV>
            <wp:extent cx="889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14605</wp:posOffset>
            </wp:positionV>
            <wp:extent cx="889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14605</wp:posOffset>
            </wp:positionV>
            <wp:extent cx="889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14605</wp:posOffset>
            </wp:positionV>
            <wp:extent cx="889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14605</wp:posOffset>
            </wp:positionV>
            <wp:extent cx="889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14605</wp:posOffset>
            </wp:positionV>
            <wp:extent cx="889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14605</wp:posOffset>
            </wp:positionV>
            <wp:extent cx="889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14605</wp:posOffset>
            </wp:positionV>
            <wp:extent cx="889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14605</wp:posOffset>
            </wp:positionV>
            <wp:extent cx="889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14605</wp:posOffset>
            </wp:positionV>
            <wp:extent cx="889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14605</wp:posOffset>
            </wp:positionV>
            <wp:extent cx="88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14605</wp:posOffset>
            </wp:positionV>
            <wp:extent cx="889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14605</wp:posOffset>
            </wp:positionV>
            <wp:extent cx="889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14605</wp:posOffset>
            </wp:positionV>
            <wp:extent cx="889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14605</wp:posOffset>
            </wp:positionV>
            <wp:extent cx="889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14605</wp:posOffset>
            </wp:positionV>
            <wp:extent cx="889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14605</wp:posOffset>
            </wp:positionV>
            <wp:extent cx="889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14605</wp:posOffset>
            </wp:positionV>
            <wp:extent cx="889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14605</wp:posOffset>
            </wp:positionV>
            <wp:extent cx="889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14605</wp:posOffset>
            </wp:positionV>
            <wp:extent cx="889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14605</wp:posOffset>
            </wp:positionV>
            <wp:extent cx="889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14605</wp:posOffset>
            </wp:positionV>
            <wp:extent cx="88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14605</wp:posOffset>
            </wp:positionV>
            <wp:extent cx="889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14605</wp:posOffset>
            </wp:positionV>
            <wp:extent cx="889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14605</wp:posOffset>
            </wp:positionV>
            <wp:extent cx="889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14605</wp:posOffset>
            </wp:positionV>
            <wp:extent cx="889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14605</wp:posOffset>
            </wp:positionV>
            <wp:extent cx="889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14605</wp:posOffset>
            </wp:positionV>
            <wp:extent cx="889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14605</wp:posOffset>
            </wp:positionV>
            <wp:extent cx="889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14605</wp:posOffset>
            </wp:positionV>
            <wp:extent cx="889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14605</wp:posOffset>
            </wp:positionV>
            <wp:extent cx="889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14605</wp:posOffset>
            </wp:positionV>
            <wp:extent cx="889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14605</wp:posOffset>
            </wp:positionV>
            <wp:extent cx="889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14605</wp:posOffset>
            </wp:positionV>
            <wp:extent cx="889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14605</wp:posOffset>
            </wp:positionV>
            <wp:extent cx="889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14605</wp:posOffset>
            </wp:positionV>
            <wp:extent cx="889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14605</wp:posOffset>
            </wp:positionV>
            <wp:extent cx="889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14605</wp:posOffset>
            </wp:positionV>
            <wp:extent cx="889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14605</wp:posOffset>
            </wp:positionV>
            <wp:extent cx="889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14605</wp:posOffset>
            </wp:positionV>
            <wp:extent cx="889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14605</wp:posOffset>
            </wp:positionV>
            <wp:extent cx="889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14605</wp:posOffset>
            </wp:positionV>
            <wp:extent cx="889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14605</wp:posOffset>
            </wp:positionV>
            <wp:extent cx="889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14605</wp:posOffset>
            </wp:positionV>
            <wp:extent cx="889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14605</wp:posOffset>
            </wp:positionV>
            <wp:extent cx="889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14605</wp:posOffset>
            </wp:positionV>
            <wp:extent cx="889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14605</wp:posOffset>
            </wp:positionV>
            <wp:extent cx="889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14605</wp:posOffset>
            </wp:positionV>
            <wp:extent cx="889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14605</wp:posOffset>
            </wp:positionV>
            <wp:extent cx="889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14605</wp:posOffset>
            </wp:positionV>
            <wp:extent cx="889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14605</wp:posOffset>
            </wp:positionV>
            <wp:extent cx="889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14605</wp:posOffset>
            </wp:positionV>
            <wp:extent cx="889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14605</wp:posOffset>
            </wp:positionV>
            <wp:extent cx="889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14605</wp:posOffset>
            </wp:positionV>
            <wp:extent cx="889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14605</wp:posOffset>
            </wp:positionV>
            <wp:extent cx="889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14605</wp:posOffset>
            </wp:positionV>
            <wp:extent cx="889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14605</wp:posOffset>
            </wp:positionV>
            <wp:extent cx="889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14605</wp:posOffset>
            </wp:positionV>
            <wp:extent cx="889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14605</wp:posOffset>
            </wp:positionV>
            <wp:extent cx="889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14605</wp:posOffset>
            </wp:positionV>
            <wp:extent cx="889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14605</wp:posOffset>
            </wp:positionV>
            <wp:extent cx="889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14605</wp:posOffset>
            </wp:positionV>
            <wp:extent cx="889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14605</wp:posOffset>
            </wp:positionV>
            <wp:extent cx="889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14605</wp:posOffset>
            </wp:positionV>
            <wp:extent cx="889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14605</wp:posOffset>
            </wp:positionV>
            <wp:extent cx="889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14605</wp:posOffset>
            </wp:positionV>
            <wp:extent cx="889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14605</wp:posOffset>
            </wp:positionV>
            <wp:extent cx="889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14605</wp:posOffset>
            </wp:positionV>
            <wp:extent cx="889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14605</wp:posOffset>
            </wp:positionV>
            <wp:extent cx="889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14605</wp:posOffset>
            </wp:positionV>
            <wp:extent cx="889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14605</wp:posOffset>
            </wp:positionV>
            <wp:extent cx="889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14605</wp:posOffset>
            </wp:positionV>
            <wp:extent cx="889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14605</wp:posOffset>
            </wp:positionV>
            <wp:extent cx="889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14605</wp:posOffset>
            </wp:positionV>
            <wp:extent cx="889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14605</wp:posOffset>
            </wp:positionV>
            <wp:extent cx="889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14605</wp:posOffset>
            </wp:positionV>
            <wp:extent cx="889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14605</wp:posOffset>
            </wp:positionV>
            <wp:extent cx="889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14605</wp:posOffset>
            </wp:positionV>
            <wp:extent cx="88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5596890</wp:posOffset>
            </wp:positionH>
            <wp:positionV relativeFrom="paragraph">
              <wp:posOffset>14605</wp:posOffset>
            </wp:positionV>
            <wp:extent cx="889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14605</wp:posOffset>
            </wp:positionV>
            <wp:extent cx="889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14605</wp:posOffset>
            </wp:positionV>
            <wp:extent cx="889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14605</wp:posOffset>
            </wp:positionV>
            <wp:extent cx="889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5665470</wp:posOffset>
            </wp:positionH>
            <wp:positionV relativeFrom="paragraph">
              <wp:posOffset>14605</wp:posOffset>
            </wp:positionV>
            <wp:extent cx="889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14605</wp:posOffset>
            </wp:positionV>
            <wp:extent cx="889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14605</wp:posOffset>
            </wp:positionV>
            <wp:extent cx="889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14605</wp:posOffset>
            </wp:positionV>
            <wp:extent cx="889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14605</wp:posOffset>
            </wp:positionV>
            <wp:extent cx="889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14605</wp:posOffset>
            </wp:positionV>
            <wp:extent cx="889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14605</wp:posOffset>
            </wp:positionV>
            <wp:extent cx="889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14605</wp:posOffset>
            </wp:positionV>
            <wp:extent cx="889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14605</wp:posOffset>
            </wp:positionV>
            <wp:extent cx="889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14605</wp:posOffset>
            </wp:positionV>
            <wp:extent cx="889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14605</wp:posOffset>
            </wp:positionV>
            <wp:extent cx="889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14605</wp:posOffset>
            </wp:positionV>
            <wp:extent cx="889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14605</wp:posOffset>
            </wp:positionV>
            <wp:extent cx="889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14605</wp:posOffset>
            </wp:positionV>
            <wp:extent cx="889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14605</wp:posOffset>
            </wp:positionV>
            <wp:extent cx="889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14605</wp:posOffset>
            </wp:positionV>
            <wp:extent cx="889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14605</wp:posOffset>
            </wp:positionV>
            <wp:extent cx="889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14605</wp:posOffset>
            </wp:positionV>
            <wp:extent cx="889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14605</wp:posOffset>
            </wp:positionV>
            <wp:extent cx="889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14605</wp:posOffset>
            </wp:positionV>
            <wp:extent cx="889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14605</wp:posOffset>
            </wp:positionV>
            <wp:extent cx="889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14605</wp:posOffset>
            </wp:positionV>
            <wp:extent cx="889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14605</wp:posOffset>
            </wp:positionV>
            <wp:extent cx="889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14605</wp:posOffset>
            </wp:positionV>
            <wp:extent cx="889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14605</wp:posOffset>
            </wp:positionV>
            <wp:extent cx="889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14605</wp:posOffset>
            </wp:positionV>
            <wp:extent cx="889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14605</wp:posOffset>
            </wp:positionV>
            <wp:extent cx="889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14605</wp:posOffset>
            </wp:positionV>
            <wp:extent cx="889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14605</wp:posOffset>
            </wp:positionV>
            <wp:extent cx="889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14605</wp:posOffset>
            </wp:positionV>
            <wp:extent cx="889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14605</wp:posOffset>
            </wp:positionV>
            <wp:extent cx="889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14605</wp:posOffset>
            </wp:positionV>
            <wp:extent cx="889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14605</wp:posOffset>
            </wp:positionV>
            <wp:extent cx="889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14605</wp:posOffset>
            </wp:positionV>
            <wp:extent cx="889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14605</wp:posOffset>
            </wp:positionV>
            <wp:extent cx="889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14605</wp:posOffset>
            </wp:positionV>
            <wp:extent cx="889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14605</wp:posOffset>
            </wp:positionV>
            <wp:extent cx="889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14605</wp:posOffset>
            </wp:positionV>
            <wp:extent cx="889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14605</wp:posOffset>
            </wp:positionV>
            <wp:extent cx="889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14605</wp:posOffset>
            </wp:positionV>
            <wp:extent cx="889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14605</wp:posOffset>
            </wp:positionV>
            <wp:extent cx="889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14605</wp:posOffset>
            </wp:positionV>
            <wp:extent cx="889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14605</wp:posOffset>
            </wp:positionV>
            <wp:extent cx="889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14605</wp:posOffset>
            </wp:positionV>
            <wp:extent cx="889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14605</wp:posOffset>
            </wp:positionV>
            <wp:extent cx="889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14605</wp:posOffset>
            </wp:positionV>
            <wp:extent cx="889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14605</wp:posOffset>
            </wp:positionV>
            <wp:extent cx="889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14605</wp:posOffset>
            </wp:positionV>
            <wp:extent cx="889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14605</wp:posOffset>
            </wp:positionV>
            <wp:extent cx="889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14605</wp:posOffset>
            </wp:positionV>
            <wp:extent cx="889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14605</wp:posOffset>
            </wp:positionV>
            <wp:extent cx="889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14605</wp:posOffset>
            </wp:positionV>
            <wp:extent cx="889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14605</wp:posOffset>
            </wp:positionV>
            <wp:extent cx="889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14605</wp:posOffset>
            </wp:positionV>
            <wp:extent cx="889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14605</wp:posOffset>
            </wp:positionV>
            <wp:extent cx="889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14605</wp:posOffset>
            </wp:positionV>
            <wp:extent cx="889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14605</wp:posOffset>
            </wp:positionV>
            <wp:extent cx="889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14605</wp:posOffset>
            </wp:positionV>
            <wp:extent cx="889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14605</wp:posOffset>
            </wp:positionV>
            <wp:extent cx="889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14605</wp:posOffset>
            </wp:positionV>
            <wp:extent cx="889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6694805</wp:posOffset>
            </wp:positionH>
            <wp:positionV relativeFrom="paragraph">
              <wp:posOffset>14605</wp:posOffset>
            </wp:positionV>
            <wp:extent cx="889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14605</wp:posOffset>
            </wp:positionV>
            <wp:extent cx="889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14605</wp:posOffset>
            </wp:positionV>
            <wp:extent cx="889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6746240</wp:posOffset>
            </wp:positionH>
            <wp:positionV relativeFrom="paragraph">
              <wp:posOffset>14605</wp:posOffset>
            </wp:positionV>
            <wp:extent cx="889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14605</wp:posOffset>
            </wp:positionV>
            <wp:extent cx="889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6780530</wp:posOffset>
            </wp:positionH>
            <wp:positionV relativeFrom="paragraph">
              <wp:posOffset>14605</wp:posOffset>
            </wp:positionV>
            <wp:extent cx="889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-156210</wp:posOffset>
            </wp:positionV>
            <wp:extent cx="889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-139065</wp:posOffset>
            </wp:positionV>
            <wp:extent cx="889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-121920</wp:posOffset>
            </wp:positionV>
            <wp:extent cx="889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-104775</wp:posOffset>
            </wp:positionV>
            <wp:extent cx="889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-87630</wp:posOffset>
            </wp:positionV>
            <wp:extent cx="889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-70485</wp:posOffset>
            </wp:positionV>
            <wp:extent cx="889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-53340</wp:posOffset>
            </wp:positionV>
            <wp:extent cx="889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-36195</wp:posOffset>
            </wp:positionV>
            <wp:extent cx="889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-19050</wp:posOffset>
            </wp:positionV>
            <wp:extent cx="889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-1905</wp:posOffset>
            </wp:positionV>
            <wp:extent cx="889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14605</wp:posOffset>
            </wp:positionV>
            <wp:extent cx="889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-4890135</wp:posOffset>
            </wp:positionV>
            <wp:extent cx="7254875" cy="491363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7254875" cy="4913630"/>
                    </a:xfrm>
                    <a:prstGeom prst="rect">
                      <a:avLst/>
                    </a:prstGeom>
                    <a:noFill/>
                  </pic:spPr>
                </pic:pic>
              </a:graphicData>
            </a:graphic>
          </wp:anchor>
        </w:drawing>
      </w:r>
    </w:p>
    <w:p>
      <w:pPr>
        <w:sectPr>
          <w:pgSz w:w="11900" w:h="16838" w:orient="portrait"/>
          <w:cols w:equalWidth="0" w:num="1">
            <w:col w:w="11380"/>
          </w:cols>
          <w:pgMar w:left="280" w:top="121"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378"/>
        </w:trPr>
        <w:tc>
          <w:tcPr>
            <w:tcW w:w="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9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54"/>
        </w:trPr>
        <w:tc>
          <w:tcPr>
            <w:tcW w:w="7840" w:type="dxa"/>
            <w:vAlign w:val="bottom"/>
            <w:gridSpan w:val="3"/>
          </w:tcPr>
          <w:p>
            <w:pPr>
              <w:spacing w:after="0"/>
              <w:rPr>
                <w:sz w:val="20"/>
                <w:szCs w:val="20"/>
                <w:color w:val="auto"/>
              </w:rPr>
            </w:pPr>
            <w:r>
              <w:rPr>
                <w:rFonts w:ascii="Arial" w:cs="Arial" w:eastAsia="Arial" w:hAnsi="Arial"/>
                <w:sz w:val="20"/>
                <w:szCs w:val="20"/>
                <w:color w:val="auto"/>
              </w:rPr>
              <w:t>ARTICLE XV MISCELLANEOUS</w:t>
            </w:r>
          </w:p>
        </w:tc>
        <w:tc>
          <w:tcPr>
            <w:tcW w:w="35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15.1</w:t>
            </w:r>
          </w:p>
        </w:tc>
        <w:tc>
          <w:tcPr>
            <w:tcW w:w="6920" w:type="dxa"/>
            <w:vAlign w:val="bottom"/>
          </w:tcPr>
          <w:p>
            <w:pPr>
              <w:ind w:left="20"/>
              <w:spacing w:after="0"/>
              <w:rPr>
                <w:sz w:val="20"/>
                <w:szCs w:val="20"/>
                <w:color w:val="auto"/>
              </w:rPr>
            </w:pPr>
            <w:r>
              <w:rPr>
                <w:rFonts w:ascii="Arial" w:cs="Arial" w:eastAsia="Arial" w:hAnsi="Arial"/>
                <w:sz w:val="20"/>
                <w:szCs w:val="20"/>
                <w:color w:val="auto"/>
              </w:rPr>
              <w:t>Appendices, Exhibits and Schedules</w:t>
            </w:r>
          </w:p>
        </w:tc>
        <w:tc>
          <w:tcPr>
            <w:tcW w:w="35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15.2</w:t>
            </w:r>
          </w:p>
        </w:tc>
        <w:tc>
          <w:tcPr>
            <w:tcW w:w="6920" w:type="dxa"/>
            <w:vAlign w:val="bottom"/>
          </w:tcPr>
          <w:p>
            <w:pPr>
              <w:ind w:left="20"/>
              <w:spacing w:after="0"/>
              <w:rPr>
                <w:sz w:val="20"/>
                <w:szCs w:val="20"/>
                <w:color w:val="auto"/>
              </w:rPr>
            </w:pPr>
            <w:r>
              <w:rPr>
                <w:rFonts w:ascii="Arial" w:cs="Arial" w:eastAsia="Arial" w:hAnsi="Arial"/>
                <w:sz w:val="20"/>
                <w:szCs w:val="20"/>
                <w:color w:val="auto"/>
              </w:rPr>
              <w:t>Expenses and Taxes</w:t>
            </w:r>
          </w:p>
        </w:tc>
        <w:tc>
          <w:tcPr>
            <w:tcW w:w="35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15.3</w:t>
            </w:r>
          </w:p>
        </w:tc>
        <w:tc>
          <w:tcPr>
            <w:tcW w:w="6920" w:type="dxa"/>
            <w:vAlign w:val="bottom"/>
          </w:tcPr>
          <w:p>
            <w:pPr>
              <w:ind w:left="20"/>
              <w:spacing w:after="0"/>
              <w:rPr>
                <w:sz w:val="20"/>
                <w:szCs w:val="20"/>
                <w:color w:val="auto"/>
              </w:rPr>
            </w:pPr>
            <w:r>
              <w:rPr>
                <w:rFonts w:ascii="Arial" w:cs="Arial" w:eastAsia="Arial" w:hAnsi="Arial"/>
                <w:sz w:val="20"/>
                <w:szCs w:val="20"/>
                <w:color w:val="auto"/>
              </w:rPr>
              <w:t>Assignment</w:t>
            </w:r>
          </w:p>
        </w:tc>
        <w:tc>
          <w:tcPr>
            <w:tcW w:w="35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15.4</w:t>
            </w:r>
          </w:p>
        </w:tc>
        <w:tc>
          <w:tcPr>
            <w:tcW w:w="6920" w:type="dxa"/>
            <w:vAlign w:val="bottom"/>
          </w:tcPr>
          <w:p>
            <w:pPr>
              <w:ind w:left="20"/>
              <w:spacing w:after="0"/>
              <w:rPr>
                <w:sz w:val="20"/>
                <w:szCs w:val="20"/>
                <w:color w:val="auto"/>
              </w:rPr>
            </w:pPr>
            <w:r>
              <w:rPr>
                <w:rFonts w:ascii="Arial" w:cs="Arial" w:eastAsia="Arial" w:hAnsi="Arial"/>
                <w:sz w:val="20"/>
                <w:szCs w:val="20"/>
                <w:color w:val="auto"/>
              </w:rPr>
              <w:t>Preparation of Agreement</w:t>
            </w:r>
          </w:p>
        </w:tc>
        <w:tc>
          <w:tcPr>
            <w:tcW w:w="35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15.5</w:t>
            </w:r>
          </w:p>
        </w:tc>
        <w:tc>
          <w:tcPr>
            <w:tcW w:w="6920" w:type="dxa"/>
            <w:vAlign w:val="bottom"/>
          </w:tcPr>
          <w:p>
            <w:pPr>
              <w:ind w:left="20"/>
              <w:spacing w:after="0"/>
              <w:rPr>
                <w:sz w:val="20"/>
                <w:szCs w:val="20"/>
                <w:color w:val="auto"/>
              </w:rPr>
            </w:pPr>
            <w:r>
              <w:rPr>
                <w:rFonts w:ascii="Arial" w:cs="Arial" w:eastAsia="Arial" w:hAnsi="Arial"/>
                <w:sz w:val="20"/>
                <w:szCs w:val="20"/>
                <w:color w:val="auto"/>
              </w:rPr>
              <w:t>Publicity</w:t>
            </w:r>
          </w:p>
        </w:tc>
        <w:tc>
          <w:tcPr>
            <w:tcW w:w="35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15.6</w:t>
            </w:r>
          </w:p>
        </w:tc>
        <w:tc>
          <w:tcPr>
            <w:tcW w:w="6920" w:type="dxa"/>
            <w:vAlign w:val="bottom"/>
          </w:tcPr>
          <w:p>
            <w:pPr>
              <w:ind w:left="20"/>
              <w:spacing w:after="0"/>
              <w:rPr>
                <w:sz w:val="20"/>
                <w:szCs w:val="20"/>
                <w:color w:val="auto"/>
              </w:rPr>
            </w:pPr>
            <w:r>
              <w:rPr>
                <w:rFonts w:ascii="Arial" w:cs="Arial" w:eastAsia="Arial" w:hAnsi="Arial"/>
                <w:sz w:val="20"/>
                <w:szCs w:val="20"/>
                <w:color w:val="auto"/>
              </w:rPr>
              <w:t>Notices</w:t>
            </w:r>
          </w:p>
        </w:tc>
        <w:tc>
          <w:tcPr>
            <w:tcW w:w="35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15.7</w:t>
            </w:r>
          </w:p>
        </w:tc>
        <w:tc>
          <w:tcPr>
            <w:tcW w:w="6920" w:type="dxa"/>
            <w:vAlign w:val="bottom"/>
          </w:tcPr>
          <w:p>
            <w:pPr>
              <w:ind w:left="20"/>
              <w:spacing w:after="0"/>
              <w:rPr>
                <w:sz w:val="20"/>
                <w:szCs w:val="20"/>
                <w:color w:val="auto"/>
              </w:rPr>
            </w:pPr>
            <w:r>
              <w:rPr>
                <w:rFonts w:ascii="Arial" w:cs="Arial" w:eastAsia="Arial" w:hAnsi="Arial"/>
                <w:sz w:val="20"/>
                <w:szCs w:val="20"/>
                <w:color w:val="auto"/>
              </w:rPr>
              <w:t>Further Cooperation</w:t>
            </w:r>
          </w:p>
        </w:tc>
        <w:tc>
          <w:tcPr>
            <w:tcW w:w="35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15.8</w:t>
            </w:r>
          </w:p>
        </w:tc>
        <w:tc>
          <w:tcPr>
            <w:tcW w:w="6920" w:type="dxa"/>
            <w:vAlign w:val="bottom"/>
          </w:tcPr>
          <w:p>
            <w:pPr>
              <w:ind w:left="20"/>
              <w:spacing w:after="0"/>
              <w:rPr>
                <w:sz w:val="20"/>
                <w:szCs w:val="20"/>
                <w:color w:val="auto"/>
              </w:rPr>
            </w:pPr>
            <w:r>
              <w:rPr>
                <w:rFonts w:ascii="Arial" w:cs="Arial" w:eastAsia="Arial" w:hAnsi="Arial"/>
                <w:sz w:val="20"/>
                <w:szCs w:val="20"/>
                <w:color w:val="auto"/>
              </w:rPr>
              <w:t>Filings, Notices and Certain Governmental Approvals</w:t>
            </w:r>
          </w:p>
        </w:tc>
        <w:tc>
          <w:tcPr>
            <w:tcW w:w="35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15.9</w:t>
            </w:r>
          </w:p>
        </w:tc>
        <w:tc>
          <w:tcPr>
            <w:tcW w:w="6920" w:type="dxa"/>
            <w:vAlign w:val="bottom"/>
          </w:tcPr>
          <w:p>
            <w:pPr>
              <w:ind w:left="20"/>
              <w:spacing w:after="0"/>
              <w:rPr>
                <w:sz w:val="20"/>
                <w:szCs w:val="20"/>
                <w:color w:val="auto"/>
              </w:rPr>
            </w:pPr>
            <w:r>
              <w:rPr>
                <w:rFonts w:ascii="Arial" w:cs="Arial" w:eastAsia="Arial" w:hAnsi="Arial"/>
                <w:sz w:val="20"/>
                <w:szCs w:val="20"/>
                <w:color w:val="auto"/>
              </w:rPr>
              <w:t>Entire Agreement; Conflicts</w:t>
            </w:r>
          </w:p>
        </w:tc>
        <w:tc>
          <w:tcPr>
            <w:tcW w:w="35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15.10</w:t>
            </w:r>
          </w:p>
        </w:tc>
        <w:tc>
          <w:tcPr>
            <w:tcW w:w="6920" w:type="dxa"/>
            <w:vAlign w:val="bottom"/>
          </w:tcPr>
          <w:p>
            <w:pPr>
              <w:ind w:left="20"/>
              <w:spacing w:after="0"/>
              <w:rPr>
                <w:sz w:val="20"/>
                <w:szCs w:val="20"/>
                <w:color w:val="auto"/>
              </w:rPr>
            </w:pPr>
            <w:r>
              <w:rPr>
                <w:rFonts w:ascii="Arial" w:cs="Arial" w:eastAsia="Arial" w:hAnsi="Arial"/>
                <w:sz w:val="20"/>
                <w:szCs w:val="20"/>
                <w:color w:val="auto"/>
              </w:rPr>
              <w:t>Parties in Interest</w:t>
            </w:r>
          </w:p>
        </w:tc>
        <w:tc>
          <w:tcPr>
            <w:tcW w:w="35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15.11</w:t>
            </w:r>
          </w:p>
        </w:tc>
        <w:tc>
          <w:tcPr>
            <w:tcW w:w="6920" w:type="dxa"/>
            <w:vAlign w:val="bottom"/>
          </w:tcPr>
          <w:p>
            <w:pPr>
              <w:ind w:left="20"/>
              <w:spacing w:after="0"/>
              <w:rPr>
                <w:sz w:val="20"/>
                <w:szCs w:val="20"/>
                <w:color w:val="auto"/>
              </w:rPr>
            </w:pPr>
            <w:r>
              <w:rPr>
                <w:rFonts w:ascii="Arial" w:cs="Arial" w:eastAsia="Arial" w:hAnsi="Arial"/>
                <w:sz w:val="20"/>
                <w:szCs w:val="20"/>
                <w:color w:val="auto"/>
              </w:rPr>
              <w:t>Amendment</w:t>
            </w:r>
          </w:p>
        </w:tc>
        <w:tc>
          <w:tcPr>
            <w:tcW w:w="35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15.12</w:t>
            </w:r>
          </w:p>
        </w:tc>
        <w:tc>
          <w:tcPr>
            <w:tcW w:w="6920" w:type="dxa"/>
            <w:vAlign w:val="bottom"/>
          </w:tcPr>
          <w:p>
            <w:pPr>
              <w:ind w:left="20"/>
              <w:spacing w:after="0"/>
              <w:rPr>
                <w:sz w:val="20"/>
                <w:szCs w:val="20"/>
                <w:color w:val="auto"/>
              </w:rPr>
            </w:pPr>
            <w:r>
              <w:rPr>
                <w:rFonts w:ascii="Arial" w:cs="Arial" w:eastAsia="Arial" w:hAnsi="Arial"/>
                <w:sz w:val="20"/>
                <w:szCs w:val="20"/>
                <w:color w:val="auto"/>
              </w:rPr>
              <w:t>Waiver; Rights Cumulative</w:t>
            </w:r>
          </w:p>
        </w:tc>
        <w:tc>
          <w:tcPr>
            <w:tcW w:w="35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15.13</w:t>
            </w:r>
          </w:p>
        </w:tc>
        <w:tc>
          <w:tcPr>
            <w:tcW w:w="6920" w:type="dxa"/>
            <w:vAlign w:val="bottom"/>
          </w:tcPr>
          <w:p>
            <w:pPr>
              <w:ind w:left="20"/>
              <w:spacing w:after="0"/>
              <w:rPr>
                <w:sz w:val="20"/>
                <w:szCs w:val="20"/>
                <w:color w:val="auto"/>
              </w:rPr>
            </w:pPr>
            <w:r>
              <w:rPr>
                <w:rFonts w:ascii="Arial" w:cs="Arial" w:eastAsia="Arial" w:hAnsi="Arial"/>
                <w:sz w:val="20"/>
                <w:szCs w:val="20"/>
                <w:color w:val="auto"/>
              </w:rPr>
              <w:t>Governing Law; Jurisdiction</w:t>
            </w:r>
          </w:p>
        </w:tc>
        <w:tc>
          <w:tcPr>
            <w:tcW w:w="35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15.14</w:t>
            </w:r>
          </w:p>
        </w:tc>
        <w:tc>
          <w:tcPr>
            <w:tcW w:w="6920" w:type="dxa"/>
            <w:vAlign w:val="bottom"/>
          </w:tcPr>
          <w:p>
            <w:pPr>
              <w:ind w:left="20"/>
              <w:spacing w:after="0"/>
              <w:rPr>
                <w:sz w:val="20"/>
                <w:szCs w:val="20"/>
                <w:color w:val="auto"/>
              </w:rPr>
            </w:pPr>
            <w:r>
              <w:rPr>
                <w:rFonts w:ascii="Arial" w:cs="Arial" w:eastAsia="Arial" w:hAnsi="Arial"/>
                <w:sz w:val="20"/>
                <w:szCs w:val="20"/>
                <w:color w:val="auto"/>
              </w:rPr>
              <w:t>Severability</w:t>
            </w:r>
          </w:p>
        </w:tc>
        <w:tc>
          <w:tcPr>
            <w:tcW w:w="35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15.15</w:t>
            </w:r>
          </w:p>
        </w:tc>
        <w:tc>
          <w:tcPr>
            <w:tcW w:w="6920" w:type="dxa"/>
            <w:vAlign w:val="bottom"/>
          </w:tcPr>
          <w:p>
            <w:pPr>
              <w:ind w:left="20"/>
              <w:spacing w:after="0"/>
              <w:rPr>
                <w:sz w:val="20"/>
                <w:szCs w:val="20"/>
                <w:color w:val="auto"/>
              </w:rPr>
            </w:pPr>
            <w:r>
              <w:rPr>
                <w:rFonts w:ascii="Arial" w:cs="Arial" w:eastAsia="Arial" w:hAnsi="Arial"/>
                <w:sz w:val="20"/>
                <w:szCs w:val="20"/>
                <w:color w:val="auto"/>
              </w:rPr>
              <w:t>Removal of Name</w:t>
            </w:r>
          </w:p>
        </w:tc>
        <w:tc>
          <w:tcPr>
            <w:tcW w:w="35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15.16</w:t>
            </w:r>
          </w:p>
        </w:tc>
        <w:tc>
          <w:tcPr>
            <w:tcW w:w="6920" w:type="dxa"/>
            <w:vAlign w:val="bottom"/>
          </w:tcPr>
          <w:p>
            <w:pPr>
              <w:ind w:left="20"/>
              <w:spacing w:after="0"/>
              <w:rPr>
                <w:sz w:val="20"/>
                <w:szCs w:val="20"/>
                <w:color w:val="auto"/>
              </w:rPr>
            </w:pPr>
            <w:r>
              <w:rPr>
                <w:rFonts w:ascii="Arial" w:cs="Arial" w:eastAsia="Arial" w:hAnsi="Arial"/>
                <w:sz w:val="20"/>
                <w:szCs w:val="20"/>
                <w:color w:val="auto"/>
              </w:rPr>
              <w:t>Counterparts</w:t>
            </w:r>
          </w:p>
        </w:tc>
        <w:tc>
          <w:tcPr>
            <w:tcW w:w="35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15.17</w:t>
            </w:r>
          </w:p>
        </w:tc>
        <w:tc>
          <w:tcPr>
            <w:tcW w:w="6920" w:type="dxa"/>
            <w:vAlign w:val="bottom"/>
          </w:tcPr>
          <w:p>
            <w:pPr>
              <w:ind w:left="20"/>
              <w:spacing w:after="0"/>
              <w:rPr>
                <w:sz w:val="20"/>
                <w:szCs w:val="20"/>
                <w:color w:val="auto"/>
              </w:rPr>
            </w:pPr>
            <w:r>
              <w:rPr>
                <w:rFonts w:ascii="Arial" w:cs="Arial" w:eastAsia="Arial" w:hAnsi="Arial"/>
                <w:sz w:val="20"/>
                <w:szCs w:val="20"/>
                <w:color w:val="auto"/>
              </w:rPr>
              <w:t>Seller Representative</w:t>
            </w:r>
          </w:p>
        </w:tc>
        <w:tc>
          <w:tcPr>
            <w:tcW w:w="35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20"/>
                <w:szCs w:val="20"/>
                <w:color w:val="auto"/>
              </w:rPr>
              <w:t>15.18</w:t>
            </w:r>
          </w:p>
        </w:tc>
        <w:tc>
          <w:tcPr>
            <w:tcW w:w="6920" w:type="dxa"/>
            <w:vAlign w:val="bottom"/>
          </w:tcPr>
          <w:p>
            <w:pPr>
              <w:ind w:left="20"/>
              <w:spacing w:after="0"/>
              <w:rPr>
                <w:sz w:val="20"/>
                <w:szCs w:val="20"/>
                <w:color w:val="auto"/>
              </w:rPr>
            </w:pPr>
            <w:r>
              <w:rPr>
                <w:rFonts w:ascii="Arial" w:cs="Arial" w:eastAsia="Arial" w:hAnsi="Arial"/>
                <w:sz w:val="20"/>
                <w:szCs w:val="20"/>
                <w:color w:val="auto"/>
              </w:rPr>
              <w:t>Like-Kind Exchange</w:t>
            </w:r>
          </w:p>
        </w:tc>
        <w:tc>
          <w:tcPr>
            <w:tcW w:w="3540" w:type="dxa"/>
            <w:vAlign w:val="bottom"/>
          </w:tcPr>
          <w:p>
            <w:pPr>
              <w:jc w:val="right"/>
              <w:spacing w:after="0"/>
              <w:rPr>
                <w:sz w:val="20"/>
                <w:szCs w:val="20"/>
                <w:color w:val="auto"/>
              </w:rPr>
            </w:pPr>
            <w:r>
              <w:rPr>
                <w:rFonts w:ascii="Arial" w:cs="Arial" w:eastAsia="Arial" w:hAnsi="Arial"/>
                <w:sz w:val="20"/>
                <w:szCs w:val="20"/>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6814820</wp:posOffset>
            </wp:positionH>
            <wp:positionV relativeFrom="paragraph">
              <wp:posOffset>14605</wp:posOffset>
            </wp:positionV>
            <wp:extent cx="889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14605</wp:posOffset>
            </wp:positionV>
            <wp:extent cx="889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6849110</wp:posOffset>
            </wp:positionH>
            <wp:positionV relativeFrom="paragraph">
              <wp:posOffset>14605</wp:posOffset>
            </wp:positionV>
            <wp:extent cx="889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6866255</wp:posOffset>
            </wp:positionH>
            <wp:positionV relativeFrom="paragraph">
              <wp:posOffset>14605</wp:posOffset>
            </wp:positionV>
            <wp:extent cx="889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14605</wp:posOffset>
            </wp:positionV>
            <wp:extent cx="889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14605</wp:posOffset>
            </wp:positionV>
            <wp:extent cx="889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14605</wp:posOffset>
            </wp:positionV>
            <wp:extent cx="889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14605</wp:posOffset>
            </wp:positionV>
            <wp:extent cx="889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6951980</wp:posOffset>
            </wp:positionH>
            <wp:positionV relativeFrom="paragraph">
              <wp:posOffset>14605</wp:posOffset>
            </wp:positionV>
            <wp:extent cx="889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14605</wp:posOffset>
            </wp:positionV>
            <wp:extent cx="889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6986270</wp:posOffset>
            </wp:positionH>
            <wp:positionV relativeFrom="paragraph">
              <wp:posOffset>14605</wp:posOffset>
            </wp:positionV>
            <wp:extent cx="889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14605</wp:posOffset>
            </wp:positionV>
            <wp:extent cx="889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14605</wp:posOffset>
            </wp:positionV>
            <wp:extent cx="889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14605</wp:posOffset>
            </wp:positionV>
            <wp:extent cx="889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7054850</wp:posOffset>
            </wp:positionH>
            <wp:positionV relativeFrom="paragraph">
              <wp:posOffset>14605</wp:posOffset>
            </wp:positionV>
            <wp:extent cx="889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14605</wp:posOffset>
            </wp:positionV>
            <wp:extent cx="889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7089140</wp:posOffset>
            </wp:positionH>
            <wp:positionV relativeFrom="paragraph">
              <wp:posOffset>14605</wp:posOffset>
            </wp:positionV>
            <wp:extent cx="889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7106285</wp:posOffset>
            </wp:positionH>
            <wp:positionV relativeFrom="paragraph">
              <wp:posOffset>14605</wp:posOffset>
            </wp:positionV>
            <wp:extent cx="889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7123430</wp:posOffset>
            </wp:positionH>
            <wp:positionV relativeFrom="paragraph">
              <wp:posOffset>14605</wp:posOffset>
            </wp:positionV>
            <wp:extent cx="889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7140575</wp:posOffset>
            </wp:positionH>
            <wp:positionV relativeFrom="paragraph">
              <wp:posOffset>14605</wp:posOffset>
            </wp:positionV>
            <wp:extent cx="889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7157720</wp:posOffset>
            </wp:positionH>
            <wp:positionV relativeFrom="paragraph">
              <wp:posOffset>14605</wp:posOffset>
            </wp:positionV>
            <wp:extent cx="889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14605</wp:posOffset>
            </wp:positionV>
            <wp:extent cx="889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7192010</wp:posOffset>
            </wp:positionH>
            <wp:positionV relativeFrom="paragraph">
              <wp:posOffset>14605</wp:posOffset>
            </wp:positionV>
            <wp:extent cx="889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14605</wp:posOffset>
            </wp:positionV>
            <wp:extent cx="889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-156210</wp:posOffset>
            </wp:positionV>
            <wp:extent cx="889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-139065</wp:posOffset>
            </wp:positionV>
            <wp:extent cx="889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-121920</wp:posOffset>
            </wp:positionV>
            <wp:extent cx="889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-104775</wp:posOffset>
            </wp:positionV>
            <wp:extent cx="889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-87630</wp:posOffset>
            </wp:positionV>
            <wp:extent cx="889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-70485</wp:posOffset>
            </wp:positionV>
            <wp:extent cx="889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-53340</wp:posOffset>
            </wp:positionV>
            <wp:extent cx="889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-36195</wp:posOffset>
            </wp:positionV>
            <wp:extent cx="889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-19050</wp:posOffset>
            </wp:positionV>
            <wp:extent cx="889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-1905</wp:posOffset>
            </wp:positionV>
            <wp:extent cx="889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7226300</wp:posOffset>
            </wp:positionH>
            <wp:positionV relativeFrom="paragraph">
              <wp:posOffset>14605</wp:posOffset>
            </wp:positionV>
            <wp:extent cx="889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14605</wp:posOffset>
            </wp:positionV>
            <wp:extent cx="889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14605</wp:posOffset>
            </wp:positionV>
            <wp:extent cx="889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889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14605</wp:posOffset>
            </wp:positionV>
            <wp:extent cx="889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14605</wp:posOffset>
            </wp:positionV>
            <wp:extent cx="889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14605</wp:posOffset>
            </wp:positionV>
            <wp:extent cx="889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wp:posOffset>
            </wp:positionH>
            <wp:positionV relativeFrom="paragraph">
              <wp:posOffset>14605</wp:posOffset>
            </wp:positionV>
            <wp:extent cx="889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14605</wp:posOffset>
            </wp:positionV>
            <wp:extent cx="889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14605</wp:posOffset>
            </wp:positionV>
            <wp:extent cx="889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14605</wp:posOffset>
            </wp:positionV>
            <wp:extent cx="889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14605</wp:posOffset>
            </wp:positionV>
            <wp:extent cx="889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14605</wp:posOffset>
            </wp:positionV>
            <wp:extent cx="889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14605</wp:posOffset>
            </wp:positionV>
            <wp:extent cx="889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14605</wp:posOffset>
            </wp:positionV>
            <wp:extent cx="889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14605</wp:posOffset>
            </wp:positionV>
            <wp:extent cx="889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14605</wp:posOffset>
            </wp:positionV>
            <wp:extent cx="889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14605</wp:posOffset>
            </wp:positionV>
            <wp:extent cx="889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14605</wp:posOffset>
            </wp:positionV>
            <wp:extent cx="889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14605</wp:posOffset>
            </wp:positionV>
            <wp:extent cx="889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14605</wp:posOffset>
            </wp:positionV>
            <wp:extent cx="889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14605</wp:posOffset>
            </wp:positionV>
            <wp:extent cx="889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14605</wp:posOffset>
            </wp:positionV>
            <wp:extent cx="889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14605</wp:posOffset>
            </wp:positionV>
            <wp:extent cx="889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14605</wp:posOffset>
            </wp:positionV>
            <wp:extent cx="889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14605</wp:posOffset>
            </wp:positionV>
            <wp:extent cx="889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14605</wp:posOffset>
            </wp:positionV>
            <wp:extent cx="889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14605</wp:posOffset>
            </wp:positionV>
            <wp:extent cx="889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14605</wp:posOffset>
            </wp:positionV>
            <wp:extent cx="889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14605</wp:posOffset>
            </wp:positionV>
            <wp:extent cx="889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14605</wp:posOffset>
            </wp:positionV>
            <wp:extent cx="889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14605</wp:posOffset>
            </wp:positionV>
            <wp:extent cx="889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889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14605</wp:posOffset>
            </wp:positionV>
            <wp:extent cx="889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14605</wp:posOffset>
            </wp:positionV>
            <wp:extent cx="889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14605</wp:posOffset>
            </wp:positionV>
            <wp:extent cx="889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14605</wp:posOffset>
            </wp:positionV>
            <wp:extent cx="889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14605</wp:posOffset>
            </wp:positionV>
            <wp:extent cx="889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14605</wp:posOffset>
            </wp:positionV>
            <wp:extent cx="889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889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14605</wp:posOffset>
            </wp:positionV>
            <wp:extent cx="889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14605</wp:posOffset>
            </wp:positionV>
            <wp:extent cx="889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14605</wp:posOffset>
            </wp:positionV>
            <wp:extent cx="889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14605</wp:posOffset>
            </wp:positionV>
            <wp:extent cx="889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14605</wp:posOffset>
            </wp:positionV>
            <wp:extent cx="889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14605</wp:posOffset>
            </wp:positionV>
            <wp:extent cx="889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14605</wp:posOffset>
            </wp:positionV>
            <wp:extent cx="889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14605</wp:posOffset>
            </wp:positionV>
            <wp:extent cx="889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14605</wp:posOffset>
            </wp:positionV>
            <wp:extent cx="889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14605</wp:posOffset>
            </wp:positionV>
            <wp:extent cx="889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14605</wp:posOffset>
            </wp:positionV>
            <wp:extent cx="889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14605</wp:posOffset>
            </wp:positionV>
            <wp:extent cx="889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14605</wp:posOffset>
            </wp:positionV>
            <wp:extent cx="889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14605</wp:posOffset>
            </wp:positionV>
            <wp:extent cx="889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14605</wp:posOffset>
            </wp:positionV>
            <wp:extent cx="889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14605</wp:posOffset>
            </wp:positionV>
            <wp:extent cx="889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14605</wp:posOffset>
            </wp:positionV>
            <wp:extent cx="889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14605</wp:posOffset>
            </wp:positionV>
            <wp:extent cx="889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14605</wp:posOffset>
            </wp:positionV>
            <wp:extent cx="889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14605</wp:posOffset>
            </wp:positionV>
            <wp:extent cx="889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14605</wp:posOffset>
            </wp:positionV>
            <wp:extent cx="889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14605</wp:posOffset>
            </wp:positionV>
            <wp:extent cx="889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14605</wp:posOffset>
            </wp:positionV>
            <wp:extent cx="889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14605</wp:posOffset>
            </wp:positionV>
            <wp:extent cx="889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14605</wp:posOffset>
            </wp:positionV>
            <wp:extent cx="889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14605</wp:posOffset>
            </wp:positionV>
            <wp:extent cx="889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1703705</wp:posOffset>
            </wp:positionH>
            <wp:positionV relativeFrom="paragraph">
              <wp:posOffset>14605</wp:posOffset>
            </wp:positionV>
            <wp:extent cx="889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14605</wp:posOffset>
            </wp:positionV>
            <wp:extent cx="889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14605</wp:posOffset>
            </wp:positionV>
            <wp:extent cx="889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14605</wp:posOffset>
            </wp:positionV>
            <wp:extent cx="889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14605</wp:posOffset>
            </wp:positionV>
            <wp:extent cx="889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1789430</wp:posOffset>
            </wp:positionH>
            <wp:positionV relativeFrom="paragraph">
              <wp:posOffset>14605</wp:posOffset>
            </wp:positionV>
            <wp:extent cx="889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14605</wp:posOffset>
            </wp:positionV>
            <wp:extent cx="889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14605</wp:posOffset>
            </wp:positionV>
            <wp:extent cx="889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1840865</wp:posOffset>
            </wp:positionH>
            <wp:positionV relativeFrom="paragraph">
              <wp:posOffset>14605</wp:posOffset>
            </wp:positionV>
            <wp:extent cx="889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14605</wp:posOffset>
            </wp:positionV>
            <wp:extent cx="889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1875155</wp:posOffset>
            </wp:positionH>
            <wp:positionV relativeFrom="paragraph">
              <wp:posOffset>14605</wp:posOffset>
            </wp:positionV>
            <wp:extent cx="889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14605</wp:posOffset>
            </wp:positionV>
            <wp:extent cx="889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1909445</wp:posOffset>
            </wp:positionH>
            <wp:positionV relativeFrom="paragraph">
              <wp:posOffset>14605</wp:posOffset>
            </wp:positionV>
            <wp:extent cx="889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1926590</wp:posOffset>
            </wp:positionH>
            <wp:positionV relativeFrom="paragraph">
              <wp:posOffset>14605</wp:posOffset>
            </wp:positionV>
            <wp:extent cx="889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14605</wp:posOffset>
            </wp:positionV>
            <wp:extent cx="889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1960880</wp:posOffset>
            </wp:positionH>
            <wp:positionV relativeFrom="paragraph">
              <wp:posOffset>14605</wp:posOffset>
            </wp:positionV>
            <wp:extent cx="889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1978025</wp:posOffset>
            </wp:positionH>
            <wp:positionV relativeFrom="paragraph">
              <wp:posOffset>14605</wp:posOffset>
            </wp:positionV>
            <wp:extent cx="889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1995170</wp:posOffset>
            </wp:positionH>
            <wp:positionV relativeFrom="paragraph">
              <wp:posOffset>14605</wp:posOffset>
            </wp:positionV>
            <wp:extent cx="889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2012315</wp:posOffset>
            </wp:positionH>
            <wp:positionV relativeFrom="paragraph">
              <wp:posOffset>14605</wp:posOffset>
            </wp:positionV>
            <wp:extent cx="889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14605</wp:posOffset>
            </wp:positionV>
            <wp:extent cx="889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14605</wp:posOffset>
            </wp:positionV>
            <wp:extent cx="889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14605</wp:posOffset>
            </wp:positionV>
            <wp:extent cx="889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14605</wp:posOffset>
            </wp:positionV>
            <wp:extent cx="889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14605</wp:posOffset>
            </wp:positionV>
            <wp:extent cx="889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14605</wp:posOffset>
            </wp:positionV>
            <wp:extent cx="889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2132330</wp:posOffset>
            </wp:positionH>
            <wp:positionV relativeFrom="paragraph">
              <wp:posOffset>14605</wp:posOffset>
            </wp:positionV>
            <wp:extent cx="889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14605</wp:posOffset>
            </wp:positionV>
            <wp:extent cx="889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14605</wp:posOffset>
            </wp:positionV>
            <wp:extent cx="889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14605</wp:posOffset>
            </wp:positionV>
            <wp:extent cx="889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14605</wp:posOffset>
            </wp:positionV>
            <wp:extent cx="889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14605</wp:posOffset>
            </wp:positionV>
            <wp:extent cx="889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14605</wp:posOffset>
            </wp:positionV>
            <wp:extent cx="889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14605</wp:posOffset>
            </wp:positionV>
            <wp:extent cx="889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2269490</wp:posOffset>
            </wp:positionH>
            <wp:positionV relativeFrom="paragraph">
              <wp:posOffset>14605</wp:posOffset>
            </wp:positionV>
            <wp:extent cx="889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2286635</wp:posOffset>
            </wp:positionH>
            <wp:positionV relativeFrom="paragraph">
              <wp:posOffset>14605</wp:posOffset>
            </wp:positionV>
            <wp:extent cx="889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14605</wp:posOffset>
            </wp:positionV>
            <wp:extent cx="889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14605</wp:posOffset>
            </wp:positionV>
            <wp:extent cx="889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2338070</wp:posOffset>
            </wp:positionH>
            <wp:positionV relativeFrom="paragraph">
              <wp:posOffset>14605</wp:posOffset>
            </wp:positionV>
            <wp:extent cx="889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14605</wp:posOffset>
            </wp:positionV>
            <wp:extent cx="889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14605</wp:posOffset>
            </wp:positionV>
            <wp:extent cx="889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14605</wp:posOffset>
            </wp:positionV>
            <wp:extent cx="889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14605</wp:posOffset>
            </wp:positionV>
            <wp:extent cx="889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14605</wp:posOffset>
            </wp:positionV>
            <wp:extent cx="889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14605</wp:posOffset>
            </wp:positionV>
            <wp:extent cx="889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14605</wp:posOffset>
            </wp:positionV>
            <wp:extent cx="889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14605</wp:posOffset>
            </wp:positionV>
            <wp:extent cx="889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14605</wp:posOffset>
            </wp:positionV>
            <wp:extent cx="889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14605</wp:posOffset>
            </wp:positionV>
            <wp:extent cx="889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14605</wp:posOffset>
            </wp:positionV>
            <wp:extent cx="889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14605</wp:posOffset>
            </wp:positionV>
            <wp:extent cx="889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14605</wp:posOffset>
            </wp:positionV>
            <wp:extent cx="889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889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14605</wp:posOffset>
            </wp:positionV>
            <wp:extent cx="889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14605</wp:posOffset>
            </wp:positionV>
            <wp:extent cx="889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14605</wp:posOffset>
            </wp:positionV>
            <wp:extent cx="889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14605</wp:posOffset>
            </wp:positionV>
            <wp:extent cx="889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14605</wp:posOffset>
            </wp:positionV>
            <wp:extent cx="889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14605</wp:posOffset>
            </wp:positionV>
            <wp:extent cx="889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14605</wp:posOffset>
            </wp:positionV>
            <wp:extent cx="889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14605</wp:posOffset>
            </wp:positionV>
            <wp:extent cx="889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14605</wp:posOffset>
            </wp:positionV>
            <wp:extent cx="889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14605</wp:posOffset>
            </wp:positionV>
            <wp:extent cx="889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14605</wp:posOffset>
            </wp:positionV>
            <wp:extent cx="889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14605</wp:posOffset>
            </wp:positionV>
            <wp:extent cx="889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14605</wp:posOffset>
            </wp:positionV>
            <wp:extent cx="889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14605</wp:posOffset>
            </wp:positionV>
            <wp:extent cx="889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14605</wp:posOffset>
            </wp:positionV>
            <wp:extent cx="889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14605</wp:posOffset>
            </wp:positionV>
            <wp:extent cx="889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14605</wp:posOffset>
            </wp:positionV>
            <wp:extent cx="889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14605</wp:posOffset>
            </wp:positionV>
            <wp:extent cx="889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14605</wp:posOffset>
            </wp:positionV>
            <wp:extent cx="889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14605</wp:posOffset>
            </wp:positionV>
            <wp:extent cx="889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14605</wp:posOffset>
            </wp:positionV>
            <wp:extent cx="889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14605</wp:posOffset>
            </wp:positionV>
            <wp:extent cx="889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14605</wp:posOffset>
            </wp:positionV>
            <wp:extent cx="889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14605</wp:posOffset>
            </wp:positionV>
            <wp:extent cx="889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14605</wp:posOffset>
            </wp:positionV>
            <wp:extent cx="889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14605</wp:posOffset>
            </wp:positionV>
            <wp:extent cx="889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14605</wp:posOffset>
            </wp:positionV>
            <wp:extent cx="889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14605</wp:posOffset>
            </wp:positionV>
            <wp:extent cx="889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14605</wp:posOffset>
            </wp:positionV>
            <wp:extent cx="889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14605</wp:posOffset>
            </wp:positionV>
            <wp:extent cx="889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14605</wp:posOffset>
            </wp:positionV>
            <wp:extent cx="889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14605</wp:posOffset>
            </wp:positionV>
            <wp:extent cx="889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14605</wp:posOffset>
            </wp:positionV>
            <wp:extent cx="88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14605</wp:posOffset>
            </wp:positionV>
            <wp:extent cx="889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14605</wp:posOffset>
            </wp:positionV>
            <wp:extent cx="889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14605</wp:posOffset>
            </wp:positionV>
            <wp:extent cx="889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3213100</wp:posOffset>
            </wp:positionH>
            <wp:positionV relativeFrom="paragraph">
              <wp:posOffset>14605</wp:posOffset>
            </wp:positionV>
            <wp:extent cx="889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14605</wp:posOffset>
            </wp:positionV>
            <wp:extent cx="889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14605</wp:posOffset>
            </wp:positionV>
            <wp:extent cx="889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14605</wp:posOffset>
            </wp:positionV>
            <wp:extent cx="889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14605</wp:posOffset>
            </wp:positionV>
            <wp:extent cx="889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3298825</wp:posOffset>
            </wp:positionH>
            <wp:positionV relativeFrom="paragraph">
              <wp:posOffset>14605</wp:posOffset>
            </wp:positionV>
            <wp:extent cx="889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14605</wp:posOffset>
            </wp:positionV>
            <wp:extent cx="889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14605</wp:posOffset>
            </wp:positionV>
            <wp:extent cx="889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14605</wp:posOffset>
            </wp:positionV>
            <wp:extent cx="889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14605</wp:posOffset>
            </wp:positionV>
            <wp:extent cx="889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14605</wp:posOffset>
            </wp:positionV>
            <wp:extent cx="889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14605</wp:posOffset>
            </wp:positionV>
            <wp:extent cx="889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14605</wp:posOffset>
            </wp:positionV>
            <wp:extent cx="889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14605</wp:posOffset>
            </wp:positionV>
            <wp:extent cx="889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14605</wp:posOffset>
            </wp:positionV>
            <wp:extent cx="889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14605</wp:posOffset>
            </wp:positionV>
            <wp:extent cx="889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14605</wp:posOffset>
            </wp:positionV>
            <wp:extent cx="889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14605</wp:posOffset>
            </wp:positionV>
            <wp:extent cx="889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14605</wp:posOffset>
            </wp:positionV>
            <wp:extent cx="889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14605</wp:posOffset>
            </wp:positionV>
            <wp:extent cx="889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14605</wp:posOffset>
            </wp:positionV>
            <wp:extent cx="889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14605</wp:posOffset>
            </wp:positionV>
            <wp:extent cx="889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3590290</wp:posOffset>
            </wp:positionH>
            <wp:positionV relativeFrom="paragraph">
              <wp:posOffset>14605</wp:posOffset>
            </wp:positionV>
            <wp:extent cx="889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14605</wp:posOffset>
            </wp:positionV>
            <wp:extent cx="889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14605</wp:posOffset>
            </wp:positionV>
            <wp:extent cx="889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14605</wp:posOffset>
            </wp:positionV>
            <wp:extent cx="889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3658870</wp:posOffset>
            </wp:positionH>
            <wp:positionV relativeFrom="paragraph">
              <wp:posOffset>14605</wp:posOffset>
            </wp:positionV>
            <wp:extent cx="889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14605</wp:posOffset>
            </wp:positionV>
            <wp:extent cx="889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14605</wp:posOffset>
            </wp:positionV>
            <wp:extent cx="889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14605</wp:posOffset>
            </wp:positionV>
            <wp:extent cx="889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14605</wp:posOffset>
            </wp:positionV>
            <wp:extent cx="889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14605</wp:posOffset>
            </wp:positionV>
            <wp:extent cx="889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14605</wp:posOffset>
            </wp:positionV>
            <wp:extent cx="889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14605</wp:posOffset>
            </wp:positionV>
            <wp:extent cx="889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14605</wp:posOffset>
            </wp:positionV>
            <wp:extent cx="889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14605</wp:posOffset>
            </wp:positionV>
            <wp:extent cx="889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14605</wp:posOffset>
            </wp:positionV>
            <wp:extent cx="889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14605</wp:posOffset>
            </wp:positionV>
            <wp:extent cx="889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14605</wp:posOffset>
            </wp:positionV>
            <wp:extent cx="889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14605</wp:posOffset>
            </wp:positionV>
            <wp:extent cx="889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14605</wp:posOffset>
            </wp:positionV>
            <wp:extent cx="889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14605</wp:posOffset>
            </wp:positionV>
            <wp:extent cx="889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14605</wp:posOffset>
            </wp:positionV>
            <wp:extent cx="889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14605</wp:posOffset>
            </wp:positionV>
            <wp:extent cx="889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14605</wp:posOffset>
            </wp:positionV>
            <wp:extent cx="889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14605</wp:posOffset>
            </wp:positionV>
            <wp:extent cx="889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14605</wp:posOffset>
            </wp:positionV>
            <wp:extent cx="889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14605</wp:posOffset>
            </wp:positionV>
            <wp:extent cx="889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14605</wp:posOffset>
            </wp:positionV>
            <wp:extent cx="889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14605</wp:posOffset>
            </wp:positionV>
            <wp:extent cx="889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14605</wp:posOffset>
            </wp:positionV>
            <wp:extent cx="889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14605</wp:posOffset>
            </wp:positionV>
            <wp:extent cx="889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14605</wp:posOffset>
            </wp:positionV>
            <wp:extent cx="889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14605</wp:posOffset>
            </wp:positionV>
            <wp:extent cx="889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14605</wp:posOffset>
            </wp:positionV>
            <wp:extent cx="889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14605</wp:posOffset>
            </wp:positionV>
            <wp:extent cx="889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14605</wp:posOffset>
            </wp:positionV>
            <wp:extent cx="889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14605</wp:posOffset>
            </wp:positionV>
            <wp:extent cx="889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14605</wp:posOffset>
            </wp:positionV>
            <wp:extent cx="889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14605</wp:posOffset>
            </wp:positionV>
            <wp:extent cx="889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14605</wp:posOffset>
            </wp:positionV>
            <wp:extent cx="889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14605</wp:posOffset>
            </wp:positionV>
            <wp:extent cx="889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14605</wp:posOffset>
            </wp:positionV>
            <wp:extent cx="889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14605</wp:posOffset>
            </wp:positionV>
            <wp:extent cx="889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14605</wp:posOffset>
            </wp:positionV>
            <wp:extent cx="889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14605</wp:posOffset>
            </wp:positionV>
            <wp:extent cx="889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14605</wp:posOffset>
            </wp:positionV>
            <wp:extent cx="889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14605</wp:posOffset>
            </wp:positionV>
            <wp:extent cx="889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14605</wp:posOffset>
            </wp:positionV>
            <wp:extent cx="889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14605</wp:posOffset>
            </wp:positionV>
            <wp:extent cx="889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14605</wp:posOffset>
            </wp:positionV>
            <wp:extent cx="889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14605</wp:posOffset>
            </wp:positionV>
            <wp:extent cx="889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14605</wp:posOffset>
            </wp:positionV>
            <wp:extent cx="889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14605</wp:posOffset>
            </wp:positionV>
            <wp:extent cx="889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14605</wp:posOffset>
            </wp:positionV>
            <wp:extent cx="889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14605</wp:posOffset>
            </wp:positionV>
            <wp:extent cx="889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14605</wp:posOffset>
            </wp:positionV>
            <wp:extent cx="889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14605</wp:posOffset>
            </wp:positionV>
            <wp:extent cx="889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14605</wp:posOffset>
            </wp:positionV>
            <wp:extent cx="889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14605</wp:posOffset>
            </wp:positionV>
            <wp:extent cx="889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14605</wp:posOffset>
            </wp:positionV>
            <wp:extent cx="889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14605</wp:posOffset>
            </wp:positionV>
            <wp:extent cx="889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14605</wp:posOffset>
            </wp:positionV>
            <wp:extent cx="889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14605</wp:posOffset>
            </wp:positionV>
            <wp:extent cx="889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14605</wp:posOffset>
            </wp:positionV>
            <wp:extent cx="889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14605</wp:posOffset>
            </wp:positionV>
            <wp:extent cx="889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14605</wp:posOffset>
            </wp:positionV>
            <wp:extent cx="889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14605</wp:posOffset>
            </wp:positionV>
            <wp:extent cx="889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14605</wp:posOffset>
            </wp:positionV>
            <wp:extent cx="889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14605</wp:posOffset>
            </wp:positionV>
            <wp:extent cx="889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14605</wp:posOffset>
            </wp:positionV>
            <wp:extent cx="889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14605</wp:posOffset>
            </wp:positionV>
            <wp:extent cx="889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14605</wp:posOffset>
            </wp:positionV>
            <wp:extent cx="889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14605</wp:posOffset>
            </wp:positionV>
            <wp:extent cx="889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14605</wp:posOffset>
            </wp:positionV>
            <wp:extent cx="889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14605</wp:posOffset>
            </wp:positionV>
            <wp:extent cx="889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14605</wp:posOffset>
            </wp:positionV>
            <wp:extent cx="889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14605</wp:posOffset>
            </wp:positionV>
            <wp:extent cx="889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14605</wp:posOffset>
            </wp:positionV>
            <wp:extent cx="889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14605</wp:posOffset>
            </wp:positionV>
            <wp:extent cx="889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14605</wp:posOffset>
            </wp:positionV>
            <wp:extent cx="889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14605</wp:posOffset>
            </wp:positionV>
            <wp:extent cx="889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14605</wp:posOffset>
            </wp:positionV>
            <wp:extent cx="889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14605</wp:posOffset>
            </wp:positionV>
            <wp:extent cx="889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14605</wp:posOffset>
            </wp:positionV>
            <wp:extent cx="889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14605</wp:posOffset>
            </wp:positionV>
            <wp:extent cx="889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14605</wp:posOffset>
            </wp:positionV>
            <wp:extent cx="889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14605</wp:posOffset>
            </wp:positionV>
            <wp:extent cx="889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14605</wp:posOffset>
            </wp:positionV>
            <wp:extent cx="889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14605</wp:posOffset>
            </wp:positionV>
            <wp:extent cx="889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14605</wp:posOffset>
            </wp:positionV>
            <wp:extent cx="889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14605</wp:posOffset>
            </wp:positionV>
            <wp:extent cx="889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14605</wp:posOffset>
            </wp:positionV>
            <wp:extent cx="889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14605</wp:posOffset>
            </wp:positionV>
            <wp:extent cx="889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14605</wp:posOffset>
            </wp:positionV>
            <wp:extent cx="889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14605</wp:posOffset>
            </wp:positionV>
            <wp:extent cx="889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14605</wp:posOffset>
            </wp:positionV>
            <wp:extent cx="889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14605</wp:posOffset>
            </wp:positionV>
            <wp:extent cx="889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14605</wp:posOffset>
            </wp:positionV>
            <wp:extent cx="889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14605</wp:posOffset>
            </wp:positionV>
            <wp:extent cx="889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14605</wp:posOffset>
            </wp:positionV>
            <wp:extent cx="889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14605</wp:posOffset>
            </wp:positionV>
            <wp:extent cx="889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14605</wp:posOffset>
            </wp:positionV>
            <wp:extent cx="889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14605</wp:posOffset>
            </wp:positionV>
            <wp:extent cx="889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5339715</wp:posOffset>
            </wp:positionH>
            <wp:positionV relativeFrom="paragraph">
              <wp:posOffset>14605</wp:posOffset>
            </wp:positionV>
            <wp:extent cx="889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14605</wp:posOffset>
            </wp:positionV>
            <wp:extent cx="889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14605</wp:posOffset>
            </wp:positionV>
            <wp:extent cx="889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5391150</wp:posOffset>
            </wp:positionH>
            <wp:positionV relativeFrom="paragraph">
              <wp:posOffset>14605</wp:posOffset>
            </wp:positionV>
            <wp:extent cx="889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14605</wp:posOffset>
            </wp:positionV>
            <wp:extent cx="889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5425440</wp:posOffset>
            </wp:positionH>
            <wp:positionV relativeFrom="paragraph">
              <wp:posOffset>14605</wp:posOffset>
            </wp:positionV>
            <wp:extent cx="889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14605</wp:posOffset>
            </wp:positionV>
            <wp:extent cx="889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14605</wp:posOffset>
            </wp:positionV>
            <wp:extent cx="889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14605</wp:posOffset>
            </wp:positionV>
            <wp:extent cx="889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14605</wp:posOffset>
            </wp:positionV>
            <wp:extent cx="889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14605</wp:posOffset>
            </wp:positionV>
            <wp:extent cx="889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14605</wp:posOffset>
            </wp:positionV>
            <wp:extent cx="889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14605</wp:posOffset>
            </wp:positionV>
            <wp:extent cx="889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5562600</wp:posOffset>
            </wp:positionH>
            <wp:positionV relativeFrom="paragraph">
              <wp:posOffset>14605</wp:posOffset>
            </wp:positionV>
            <wp:extent cx="889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14605</wp:posOffset>
            </wp:positionV>
            <wp:extent cx="889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5596890</wp:posOffset>
            </wp:positionH>
            <wp:positionV relativeFrom="paragraph">
              <wp:posOffset>14605</wp:posOffset>
            </wp:positionV>
            <wp:extent cx="889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14605</wp:posOffset>
            </wp:positionV>
            <wp:extent cx="889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14605</wp:posOffset>
            </wp:positionV>
            <wp:extent cx="889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14605</wp:posOffset>
            </wp:positionV>
            <wp:extent cx="889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5665470</wp:posOffset>
            </wp:positionH>
            <wp:positionV relativeFrom="paragraph">
              <wp:posOffset>14605</wp:posOffset>
            </wp:positionV>
            <wp:extent cx="889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14605</wp:posOffset>
            </wp:positionV>
            <wp:extent cx="889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14605</wp:posOffset>
            </wp:positionV>
            <wp:extent cx="889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14605</wp:posOffset>
            </wp:positionV>
            <wp:extent cx="889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14605</wp:posOffset>
            </wp:positionV>
            <wp:extent cx="889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14605</wp:posOffset>
            </wp:positionV>
            <wp:extent cx="889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14605</wp:posOffset>
            </wp:positionV>
            <wp:extent cx="889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14605</wp:posOffset>
            </wp:positionV>
            <wp:extent cx="889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14605</wp:posOffset>
            </wp:positionV>
            <wp:extent cx="889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14605</wp:posOffset>
            </wp:positionV>
            <wp:extent cx="889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14605</wp:posOffset>
            </wp:positionV>
            <wp:extent cx="889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14605</wp:posOffset>
            </wp:positionV>
            <wp:extent cx="889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14605</wp:posOffset>
            </wp:positionV>
            <wp:extent cx="889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14605</wp:posOffset>
            </wp:positionV>
            <wp:extent cx="889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14605</wp:posOffset>
            </wp:positionV>
            <wp:extent cx="889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14605</wp:posOffset>
            </wp:positionV>
            <wp:extent cx="889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14605</wp:posOffset>
            </wp:positionV>
            <wp:extent cx="889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14605</wp:posOffset>
            </wp:positionV>
            <wp:extent cx="889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14605</wp:posOffset>
            </wp:positionV>
            <wp:extent cx="889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14605</wp:posOffset>
            </wp:positionV>
            <wp:extent cx="889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14605</wp:posOffset>
            </wp:positionV>
            <wp:extent cx="889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14605</wp:posOffset>
            </wp:positionV>
            <wp:extent cx="889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14605</wp:posOffset>
            </wp:positionV>
            <wp:extent cx="889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14605</wp:posOffset>
            </wp:positionV>
            <wp:extent cx="889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14605</wp:posOffset>
            </wp:positionV>
            <wp:extent cx="889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14605</wp:posOffset>
            </wp:positionV>
            <wp:extent cx="889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14605</wp:posOffset>
            </wp:positionV>
            <wp:extent cx="889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14605</wp:posOffset>
            </wp:positionV>
            <wp:extent cx="889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14605</wp:posOffset>
            </wp:positionV>
            <wp:extent cx="889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14605</wp:posOffset>
            </wp:positionV>
            <wp:extent cx="889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14605</wp:posOffset>
            </wp:positionV>
            <wp:extent cx="889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14605</wp:posOffset>
            </wp:positionV>
            <wp:extent cx="889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14605</wp:posOffset>
            </wp:positionV>
            <wp:extent cx="889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14605</wp:posOffset>
            </wp:positionV>
            <wp:extent cx="889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14605</wp:posOffset>
            </wp:positionV>
            <wp:extent cx="889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14605</wp:posOffset>
            </wp:positionV>
            <wp:extent cx="889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14605</wp:posOffset>
            </wp:positionV>
            <wp:extent cx="889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14605</wp:posOffset>
            </wp:positionV>
            <wp:extent cx="889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14605</wp:posOffset>
            </wp:positionV>
            <wp:extent cx="889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14605</wp:posOffset>
            </wp:positionV>
            <wp:extent cx="889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14605</wp:posOffset>
            </wp:positionV>
            <wp:extent cx="889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14605</wp:posOffset>
            </wp:positionV>
            <wp:extent cx="889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14605</wp:posOffset>
            </wp:positionV>
            <wp:extent cx="889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14605</wp:posOffset>
            </wp:positionV>
            <wp:extent cx="889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14605</wp:posOffset>
            </wp:positionV>
            <wp:extent cx="889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14605</wp:posOffset>
            </wp:positionV>
            <wp:extent cx="889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14605</wp:posOffset>
            </wp:positionV>
            <wp:extent cx="889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14605</wp:posOffset>
            </wp:positionV>
            <wp:extent cx="889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14605</wp:posOffset>
            </wp:positionV>
            <wp:extent cx="889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6506210</wp:posOffset>
            </wp:positionH>
            <wp:positionV relativeFrom="paragraph">
              <wp:posOffset>14605</wp:posOffset>
            </wp:positionV>
            <wp:extent cx="889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14605</wp:posOffset>
            </wp:positionV>
            <wp:extent cx="889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14605</wp:posOffset>
            </wp:positionV>
            <wp:extent cx="889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14605</wp:posOffset>
            </wp:positionV>
            <wp:extent cx="889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14605</wp:posOffset>
            </wp:positionV>
            <wp:extent cx="889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14605</wp:posOffset>
            </wp:positionV>
            <wp:extent cx="889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14605</wp:posOffset>
            </wp:positionV>
            <wp:extent cx="889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14605</wp:posOffset>
            </wp:positionV>
            <wp:extent cx="889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14605</wp:posOffset>
            </wp:positionV>
            <wp:extent cx="889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14605</wp:posOffset>
            </wp:positionV>
            <wp:extent cx="889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14605</wp:posOffset>
            </wp:positionV>
            <wp:extent cx="889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6694805</wp:posOffset>
            </wp:positionH>
            <wp:positionV relativeFrom="paragraph">
              <wp:posOffset>14605</wp:posOffset>
            </wp:positionV>
            <wp:extent cx="889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14605</wp:posOffset>
            </wp:positionV>
            <wp:extent cx="889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14605</wp:posOffset>
            </wp:positionV>
            <wp:extent cx="889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6746240</wp:posOffset>
            </wp:positionH>
            <wp:positionV relativeFrom="paragraph">
              <wp:posOffset>14605</wp:posOffset>
            </wp:positionV>
            <wp:extent cx="889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14605</wp:posOffset>
            </wp:positionV>
            <wp:extent cx="889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6780530</wp:posOffset>
            </wp:positionH>
            <wp:positionV relativeFrom="paragraph">
              <wp:posOffset>14605</wp:posOffset>
            </wp:positionV>
            <wp:extent cx="889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-156210</wp:posOffset>
            </wp:positionV>
            <wp:extent cx="889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-139065</wp:posOffset>
            </wp:positionV>
            <wp:extent cx="889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-121920</wp:posOffset>
            </wp:positionV>
            <wp:extent cx="889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-104775</wp:posOffset>
            </wp:positionV>
            <wp:extent cx="889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-87630</wp:posOffset>
            </wp:positionV>
            <wp:extent cx="889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-70485</wp:posOffset>
            </wp:positionV>
            <wp:extent cx="889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-53340</wp:posOffset>
            </wp:positionV>
            <wp:extent cx="889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-36195</wp:posOffset>
            </wp:positionV>
            <wp:extent cx="889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-19050</wp:posOffset>
            </wp:positionV>
            <wp:extent cx="889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-1905</wp:posOffset>
            </wp:positionV>
            <wp:extent cx="889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14605</wp:posOffset>
            </wp:positionV>
            <wp:extent cx="889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-3569335</wp:posOffset>
            </wp:positionV>
            <wp:extent cx="7254875" cy="359346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7254875" cy="3593465"/>
                    </a:xfrm>
                    <a:prstGeom prst="rect">
                      <a:avLst/>
                    </a:prstGeom>
                    <a:noFill/>
                  </pic:spPr>
                </pic:pic>
              </a:graphicData>
            </a:graphic>
          </wp:anchor>
        </w:drawing>
      </w:r>
    </w:p>
    <w:p>
      <w:pPr>
        <w:sectPr>
          <w:pgSz w:w="11900" w:h="16838" w:orient="portrait"/>
          <w:cols w:equalWidth="0" w:num="1">
            <w:col w:w="11380"/>
          </w:cols>
          <w:pgMar w:left="28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LIST OF EXHIBITS AND SCHEDULES</w:t>
      </w:r>
    </w:p>
    <w:p>
      <w:pPr>
        <w:sectPr>
          <w:pgSz w:w="11900" w:h="16838" w:orient="portrait"/>
          <w:cols w:equalWidth="0" w:num="1">
            <w:col w:w="11000"/>
          </w:cols>
          <w:pgMar w:left="66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Annex 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Exhibit G</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Defined Terms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Existing Wells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Applicable Contracts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Easements and Surface Contracts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Personal Property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Excluded Assets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Form of Assignment and Bill of Sale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Form of Transition Services Agreement</w:t>
      </w:r>
    </w:p>
    <w:p>
      <w:pPr>
        <w:spacing w:after="0" w:line="211" w:lineRule="exact"/>
        <w:rPr>
          <w:sz w:val="20"/>
          <w:szCs w:val="20"/>
          <w:color w:val="auto"/>
        </w:rPr>
      </w:pPr>
    </w:p>
    <w:p>
      <w:pPr>
        <w:sectPr>
          <w:pgSz w:w="11900" w:h="16838" w:orient="portrait"/>
          <w:cols w:equalWidth="0" w:num="2">
            <w:col w:w="2700" w:space="720"/>
            <w:col w:w="7580"/>
          </w:cols>
          <w:pgMar w:left="66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Schedule 2.3</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Schedule 3.8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Schedule 4.4</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Schedule 4.6</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Schedule 4.7</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Schedule 4.8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Schedule 4.9</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Schedule 4.11</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Schedule 4.12</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Schedule 4.13</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Schedule 4.14</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Schedule 4.15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Schedule 4.16</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Schedule 4.21</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Schedule 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New Wells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Allocated Values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Gathering and Transportation Agreements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Violation of Laws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Royalties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Imbalances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Current Commitments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Pre-Effective Time New Well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Environmental Compliance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Asset 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Conduct of Business</w:t>
      </w:r>
    </w:p>
    <w:p>
      <w:pPr>
        <w:sectPr>
          <w:pgSz w:w="11900" w:h="16838" w:orient="portrait"/>
          <w:cols w:equalWidth="0" w:num="2">
            <w:col w:w="2700" w:space="720"/>
            <w:col w:w="7580"/>
          </w:cols>
          <w:pgMar w:left="660" w:top="121" w:right="2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 AGREEMENT</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This PURCHASE AND SALE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executed as of this 6th day of December, 2013 (the “</w:t>
      </w:r>
      <w:r>
        <w:rPr>
          <w:rFonts w:ascii="Arial" w:cs="Arial" w:eastAsia="Arial" w:hAnsi="Arial"/>
          <w:sz w:val="19"/>
          <w:szCs w:val="19"/>
          <w:b w:val="1"/>
          <w:bCs w:val="1"/>
          <w:i w:val="1"/>
          <w:iCs w:val="1"/>
          <w:color w:val="auto"/>
        </w:rPr>
        <w:t>Execution Date</w:t>
      </w:r>
      <w:r>
        <w:rPr>
          <w:rFonts w:ascii="Arial" w:cs="Arial" w:eastAsia="Arial" w:hAnsi="Arial"/>
          <w:sz w:val="19"/>
          <w:szCs w:val="19"/>
          <w:color w:val="auto"/>
        </w:rPr>
        <w:t>”), and is between EnerVest Holding, L.P., a Texas limited partnership (“</w:t>
      </w:r>
      <w:r>
        <w:rPr>
          <w:rFonts w:ascii="Arial" w:cs="Arial" w:eastAsia="Arial" w:hAnsi="Arial"/>
          <w:sz w:val="19"/>
          <w:szCs w:val="19"/>
          <w:b w:val="1"/>
          <w:bCs w:val="1"/>
          <w:i w:val="1"/>
          <w:iCs w:val="1"/>
          <w:color w:val="auto"/>
        </w:rPr>
        <w:t>EnerVest Holding</w:t>
      </w:r>
      <w:r>
        <w:rPr>
          <w:rFonts w:ascii="Arial" w:cs="Arial" w:eastAsia="Arial" w:hAnsi="Arial"/>
          <w:sz w:val="19"/>
          <w:szCs w:val="19"/>
          <w:color w:val="auto"/>
        </w:rPr>
        <w:t>”), EnerVest Energy Institutional Fund XII-A, L.P., a Delaware limited partnership (“</w:t>
      </w:r>
      <w:r>
        <w:rPr>
          <w:rFonts w:ascii="Arial" w:cs="Arial" w:eastAsia="Arial" w:hAnsi="Arial"/>
          <w:sz w:val="19"/>
          <w:szCs w:val="19"/>
          <w:b w:val="1"/>
          <w:bCs w:val="1"/>
          <w:i w:val="1"/>
          <w:iCs w:val="1"/>
          <w:color w:val="auto"/>
        </w:rPr>
        <w:t>EnerVest XII-A</w:t>
      </w:r>
      <w:r>
        <w:rPr>
          <w:rFonts w:ascii="Arial" w:cs="Arial" w:eastAsia="Arial" w:hAnsi="Arial"/>
          <w:sz w:val="19"/>
          <w:szCs w:val="19"/>
          <w:color w:val="auto"/>
        </w:rPr>
        <w:t>”), EnerVest Energy Institutional Fund XII-WIB, L.P., a Delaware limited partnership (“</w:t>
      </w:r>
      <w:r>
        <w:rPr>
          <w:rFonts w:ascii="Arial" w:cs="Arial" w:eastAsia="Arial" w:hAnsi="Arial"/>
          <w:sz w:val="19"/>
          <w:szCs w:val="19"/>
          <w:b w:val="1"/>
          <w:bCs w:val="1"/>
          <w:i w:val="1"/>
          <w:iCs w:val="1"/>
          <w:color w:val="auto"/>
        </w:rPr>
        <w:t>EnerVest XII-WIB</w:t>
      </w:r>
      <w:r>
        <w:rPr>
          <w:rFonts w:ascii="Arial" w:cs="Arial" w:eastAsia="Arial" w:hAnsi="Arial"/>
          <w:sz w:val="19"/>
          <w:szCs w:val="19"/>
          <w:color w:val="auto"/>
        </w:rPr>
        <w:t>”) and EnerVest Energy Institutional Fund XII-WIC, L.P., a Delaware limited partnership (“</w:t>
      </w:r>
      <w:r>
        <w:rPr>
          <w:rFonts w:ascii="Arial" w:cs="Arial" w:eastAsia="Arial" w:hAnsi="Arial"/>
          <w:sz w:val="19"/>
          <w:szCs w:val="19"/>
          <w:b w:val="1"/>
          <w:bCs w:val="1"/>
          <w:i w:val="1"/>
          <w:iCs w:val="1"/>
          <w:color w:val="auto"/>
        </w:rPr>
        <w:t>EnerVest XII-WIC</w:t>
      </w:r>
      <w:r>
        <w:rPr>
          <w:rFonts w:ascii="Arial" w:cs="Arial" w:eastAsia="Arial" w:hAnsi="Arial"/>
          <w:sz w:val="19"/>
          <w:szCs w:val="19"/>
          <w:color w:val="auto"/>
        </w:rPr>
        <w:t>”) (collectively “</w:t>
      </w:r>
      <w:r>
        <w:rPr>
          <w:rFonts w:ascii="Arial" w:cs="Arial" w:eastAsia="Arial" w:hAnsi="Arial"/>
          <w:sz w:val="19"/>
          <w:szCs w:val="19"/>
          <w:b w:val="1"/>
          <w:bCs w:val="1"/>
          <w:i w:val="1"/>
          <w:iCs w:val="1"/>
          <w:color w:val="auto"/>
        </w:rPr>
        <w:t>Sellers</w:t>
      </w:r>
      <w:r>
        <w:rPr>
          <w:rFonts w:ascii="Arial" w:cs="Arial" w:eastAsia="Arial" w:hAnsi="Arial"/>
          <w:sz w:val="19"/>
          <w:szCs w:val="19"/>
          <w:color w:val="auto"/>
        </w:rPr>
        <w:t>” and each individually a “</w:t>
      </w:r>
      <w:r>
        <w:rPr>
          <w:rFonts w:ascii="Arial" w:cs="Arial" w:eastAsia="Arial" w:hAnsi="Arial"/>
          <w:sz w:val="19"/>
          <w:szCs w:val="19"/>
          <w:b w:val="1"/>
          <w:bCs w:val="1"/>
          <w:i w:val="1"/>
          <w:iCs w:val="1"/>
          <w:color w:val="auto"/>
        </w:rPr>
        <w:t>Seller</w:t>
      </w:r>
      <w:r>
        <w:rPr>
          <w:rFonts w:ascii="Arial" w:cs="Arial" w:eastAsia="Arial" w:hAnsi="Arial"/>
          <w:sz w:val="19"/>
          <w:szCs w:val="19"/>
          <w:color w:val="auto"/>
        </w:rPr>
        <w:t>,”) and QEP Energy Company, a Texas corporation (“</w:t>
      </w:r>
      <w:r>
        <w:rPr>
          <w:rFonts w:ascii="Arial" w:cs="Arial" w:eastAsia="Arial" w:hAnsi="Arial"/>
          <w:sz w:val="19"/>
          <w:szCs w:val="19"/>
          <w:b w:val="1"/>
          <w:bCs w:val="1"/>
          <w:i w:val="1"/>
          <w:iCs w:val="1"/>
          <w:color w:val="auto"/>
        </w:rPr>
        <w:t>Buyer</w:t>
      </w:r>
      <w:r>
        <w:rPr>
          <w:rFonts w:ascii="Arial" w:cs="Arial" w:eastAsia="Arial" w:hAnsi="Arial"/>
          <w:sz w:val="19"/>
          <w:szCs w:val="19"/>
          <w:color w:val="auto"/>
        </w:rPr>
        <w:t>”). Sellers and Buyer are each referred to as a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and collectively referred to as the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Each Seller desires to sell and assign, and Buyer desires to purchase and pay for, all of each Seller’s right, title and interest in and to the Assets (as defined hereinafter) effective as of the Effective Time (as defined hereinafter).</w:t>
      </w:r>
    </w:p>
    <w:p>
      <w:pPr>
        <w:spacing w:after="0" w:line="1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for and in consideration of the mutual promises contained herein, the benefits to be derived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Party hereunder, and other good and valuable consideration, the receipt and sufficiency of which are hereby acknowledged, Sellers and Buyer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INTERPRETATION</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1.1 Defined Terms </w:t>
      </w:r>
      <w:r>
        <w:rPr>
          <w:rFonts w:ascii="Arial" w:cs="Arial" w:eastAsia="Arial" w:hAnsi="Arial"/>
          <w:sz w:val="22"/>
          <w:szCs w:val="22"/>
          <w:color w:val="auto"/>
        </w:rPr>
        <w:t>Capitalized terms used herein shall have the meanings set forth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Annex I</w:t>
      </w:r>
      <w:r>
        <w:rPr>
          <w:rFonts w:ascii="Arial" w:cs="Arial" w:eastAsia="Arial" w:hAnsi="Arial"/>
          <w:sz w:val="22"/>
          <w:szCs w:val="22"/>
          <w:color w:val="auto"/>
        </w:rPr>
        <w:t>, unless the context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otherwise requires.</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1.2 References and Rules of Construction. </w:t>
      </w:r>
      <w:r>
        <w:rPr>
          <w:rFonts w:ascii="Arial" w:cs="Arial" w:eastAsia="Arial" w:hAnsi="Arial"/>
          <w:sz w:val="19"/>
          <w:szCs w:val="19"/>
          <w:color w:val="auto"/>
        </w:rPr>
        <w:t>All references in this Agreement to Annexes, Exhibits, Schedules, Articles,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Sections, subsections and other subdivisions refer to the corresponding Annexes, Exhibits, Schedules, Articles, Sections, subsections and other subdivisions of or to this Agreement unless expressly provided otherwise. Titles appearing at the beginning of any Articles, Sections, subsections and other subdivisions of this Agreement are for convenience only, do not constitute any part of this Agreement, and shall be disregarded in construing the language hereof. The words “this Agreement,” “herein,” “hereby,” “hereunder” and “hereof,” and words of similar import, refer to this Agreement as a whole and not to any particular Article, Section, subsection or other subdivision unless expressly so limited. The words “this Article,” “this Section,” and “this subsection,” and words of similar import, refer only to Article, Section or subsection hereof in which such words occur. Wherever the words “include,” “includes” or “including” are used in this Agreement, they shall be deemed to be followed by the words “without limiting the foregoing in any respect.” All references to “$”, “dollars” or “Dollars” shall be deemed references to United States Dollars. Each accounting term not defined herein will have the meaning given to it under GAAP as interpreted as of the date of this Agreement.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Reference to any agreement (including this Agreement), document or instrument shall include such agreement, document or instrument as amended or modified (including any waiver or consent) and in effect from time to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w:t>
      </w:r>
    </w:p>
    <w:p>
      <w:pPr>
        <w:spacing w:after="0" w:line="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b w:val="1"/>
          <w:bCs w:val="1"/>
          <w:i w:val="1"/>
          <w:iCs w:val="1"/>
          <w:color w:val="auto"/>
        </w:rPr>
        <w:t xml:space="preserve">2.1 Purchase and Sale. </w:t>
      </w:r>
      <w:r>
        <w:rPr>
          <w:rFonts w:ascii="Arial" w:cs="Arial" w:eastAsia="Arial" w:hAnsi="Arial"/>
          <w:sz w:val="22"/>
          <w:szCs w:val="22"/>
          <w:color w:val="auto"/>
        </w:rPr>
        <w:t>Subject to the terms and conditions of this Agreement, each Seller agrees to sell, and Buyer agrees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purchase and pay for, as of the Effective Time, all of such Seller’s right, title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3" w:name="page64"/>
    <w:bookmarkEnd w:id="63"/>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interest, whether present, contingent or reversionary, in and to the assets described in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2.1(g)</w:t>
      </w:r>
      <w:r>
        <w:rPr>
          <w:rFonts w:ascii="Arial" w:cs="Arial" w:eastAsia="Arial" w:hAnsi="Arial"/>
          <w:sz w:val="22"/>
          <w:szCs w:val="22"/>
          <w:color w:val="auto"/>
        </w:rPr>
        <w:t xml:space="preserve"> (such assets, less and except the Excluded Assets, collectively, the “</w:t>
      </w:r>
      <w:r>
        <w:rPr>
          <w:rFonts w:ascii="Arial" w:cs="Arial" w:eastAsia="Arial" w:hAnsi="Arial"/>
          <w:sz w:val="22"/>
          <w:szCs w:val="22"/>
          <w:b w:val="1"/>
          <w:bCs w:val="1"/>
          <w:i w:val="1"/>
          <w:iCs w:val="1"/>
          <w:color w:val="auto"/>
        </w:rPr>
        <w:t>Assets</w:t>
      </w:r>
      <w:r>
        <w:rPr>
          <w:rFonts w:ascii="Arial" w:cs="Arial" w:eastAsia="Arial" w:hAnsi="Arial"/>
          <w:sz w:val="22"/>
          <w:szCs w:val="22"/>
          <w:color w:val="auto"/>
        </w:rPr>
        <w:t>”):</w:t>
      </w:r>
    </w:p>
    <w:p>
      <w:pPr>
        <w:spacing w:after="0" w:line="215" w:lineRule="exact"/>
        <w:rPr>
          <w:sz w:val="20"/>
          <w:szCs w:val="20"/>
          <w:color w:val="auto"/>
        </w:rPr>
      </w:pPr>
    </w:p>
    <w:p>
      <w:pPr>
        <w:jc w:val="both"/>
        <w:ind w:firstLine="1305"/>
        <w:spacing w:after="0" w:line="264" w:lineRule="auto"/>
        <w:tabs>
          <w:tab w:leader="none" w:pos="2144" w:val="left"/>
        </w:tabs>
        <w:numPr>
          <w:ilvl w:val="0"/>
          <w:numId w:val="23"/>
        </w:numPr>
        <w:rPr>
          <w:rFonts w:ascii="Arial" w:cs="Arial" w:eastAsia="Arial" w:hAnsi="Arial"/>
          <w:sz w:val="17"/>
          <w:szCs w:val="17"/>
          <w:color w:val="auto"/>
        </w:rPr>
      </w:pPr>
      <w:r>
        <w:rPr>
          <w:rFonts w:ascii="Arial" w:cs="Arial" w:eastAsia="Arial" w:hAnsi="Arial"/>
          <w:sz w:val="21"/>
          <w:szCs w:val="21"/>
          <w:color w:val="auto"/>
        </w:rPr>
        <w:t xml:space="preserve">the oil and gas leases covering lands in Andrews, Crockett and Martin Counties, Texas described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subject to any reservations, limitations or depth restrictions included in the descriptions of such oil and gas leases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lands covered by such leases (whether or not the lands subject to such leaseholds are correctly or sufficiently described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including working interests, mineral interests, royalty interests, overriding royalty interests, production payments and net profit interests therein subject to the terms, conditions, covenants and obligations set forth in such leases and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(such interest in such leases, the “</w:t>
      </w:r>
      <w:r>
        <w:rPr>
          <w:rFonts w:ascii="Arial" w:cs="Arial" w:eastAsia="Arial" w:hAnsi="Arial"/>
          <w:sz w:val="21"/>
          <w:szCs w:val="21"/>
          <w:b w:val="1"/>
          <w:bCs w:val="1"/>
          <w:i w:val="1"/>
          <w:iCs w:val="1"/>
          <w:color w:val="auto"/>
        </w:rPr>
        <w:t>Leases</w:t>
      </w:r>
      <w:r>
        <w:rPr>
          <w:rFonts w:ascii="Arial" w:cs="Arial" w:eastAsia="Arial" w:hAnsi="Arial"/>
          <w:sz w:val="21"/>
          <w:szCs w:val="21"/>
          <w:color w:val="auto"/>
        </w:rPr>
        <w:t>”);</w:t>
      </w:r>
    </w:p>
    <w:p>
      <w:pPr>
        <w:spacing w:after="0" w:line="215" w:lineRule="exact"/>
        <w:rPr>
          <w:rFonts w:ascii="Arial" w:cs="Arial" w:eastAsia="Arial" w:hAnsi="Arial"/>
          <w:sz w:val="17"/>
          <w:szCs w:val="17"/>
          <w:color w:val="auto"/>
        </w:rPr>
      </w:pPr>
    </w:p>
    <w:p>
      <w:pPr>
        <w:jc w:val="both"/>
        <w:ind w:firstLine="1305"/>
        <w:spacing w:after="0" w:line="260" w:lineRule="auto"/>
        <w:tabs>
          <w:tab w:leader="none" w:pos="2155" w:val="left"/>
        </w:tabs>
        <w:numPr>
          <w:ilvl w:val="0"/>
          <w:numId w:val="23"/>
        </w:numPr>
        <w:rPr>
          <w:rFonts w:ascii="Arial" w:cs="Arial" w:eastAsia="Arial" w:hAnsi="Arial"/>
          <w:sz w:val="18"/>
          <w:szCs w:val="18"/>
          <w:color w:val="auto"/>
        </w:rPr>
      </w:pPr>
      <w:r>
        <w:rPr>
          <w:rFonts w:ascii="Arial" w:cs="Arial" w:eastAsia="Arial" w:hAnsi="Arial"/>
          <w:sz w:val="22"/>
          <w:szCs w:val="22"/>
          <w:color w:val="auto"/>
        </w:rPr>
        <w:t xml:space="preserve">all wells located on the Leases or on any other lease with which any such property or Lease has been unitized (including the oil, gas, water and disposal wells specifically described on </w:t>
      </w:r>
      <w:r>
        <w:rPr>
          <w:rFonts w:ascii="Arial" w:cs="Arial" w:eastAsia="Arial" w:hAnsi="Arial"/>
          <w:sz w:val="22"/>
          <w:szCs w:val="22"/>
          <w:u w:val="single" w:color="auto"/>
          <w:color w:val="auto"/>
        </w:rPr>
        <w:t>Exhibit B)</w:t>
      </w:r>
      <w:r>
        <w:rPr>
          <w:rFonts w:ascii="Arial" w:cs="Arial" w:eastAsia="Arial" w:hAnsi="Arial"/>
          <w:sz w:val="22"/>
          <w:szCs w:val="22"/>
          <w:color w:val="auto"/>
        </w:rPr>
        <w:t>, (collectively, the “</w:t>
      </w:r>
      <w:r>
        <w:rPr>
          <w:rFonts w:ascii="Arial" w:cs="Arial" w:eastAsia="Arial" w:hAnsi="Arial"/>
          <w:sz w:val="22"/>
          <w:szCs w:val="22"/>
          <w:b w:val="1"/>
          <w:bCs w:val="1"/>
          <w:i w:val="1"/>
          <w:iCs w:val="1"/>
          <w:color w:val="auto"/>
        </w:rPr>
        <w:t>Wells</w:t>
      </w:r>
      <w:r>
        <w:rPr>
          <w:rFonts w:ascii="Arial" w:cs="Arial" w:eastAsia="Arial" w:hAnsi="Arial"/>
          <w:sz w:val="22"/>
          <w:szCs w:val="22"/>
          <w:color w:val="auto"/>
        </w:rPr>
        <w:t>”), and all Hydrocarbons produced therefrom or allocated thereto;</w:t>
      </w:r>
    </w:p>
    <w:p>
      <w:pPr>
        <w:spacing w:after="0" w:line="217" w:lineRule="exact"/>
        <w:rPr>
          <w:rFonts w:ascii="Arial" w:cs="Arial" w:eastAsia="Arial" w:hAnsi="Arial"/>
          <w:sz w:val="18"/>
          <w:szCs w:val="18"/>
          <w:color w:val="auto"/>
        </w:rPr>
      </w:pPr>
    </w:p>
    <w:p>
      <w:pPr>
        <w:ind w:firstLine="1305"/>
        <w:spacing w:after="0" w:line="301" w:lineRule="auto"/>
        <w:tabs>
          <w:tab w:leader="none" w:pos="2144" w:val="left"/>
        </w:tabs>
        <w:numPr>
          <w:ilvl w:val="0"/>
          <w:numId w:val="23"/>
        </w:numPr>
        <w:rPr>
          <w:rFonts w:ascii="Arial" w:cs="Arial" w:eastAsia="Arial" w:hAnsi="Arial"/>
          <w:sz w:val="17"/>
          <w:szCs w:val="17"/>
          <w:color w:val="auto"/>
        </w:rPr>
      </w:pPr>
      <w:r>
        <w:rPr>
          <w:rFonts w:ascii="Arial" w:cs="Arial" w:eastAsia="Arial" w:hAnsi="Arial"/>
          <w:sz w:val="21"/>
          <w:szCs w:val="21"/>
          <w:color w:val="auto"/>
        </w:rPr>
        <w:t>all rights and interests in, under or derived from all unitization and pooling agreements, declarations and orders in effect with respect to any of the Leases or Wells and the units created thereby (the “</w:t>
      </w:r>
      <w:r>
        <w:rPr>
          <w:rFonts w:ascii="Arial" w:cs="Arial" w:eastAsia="Arial" w:hAnsi="Arial"/>
          <w:sz w:val="21"/>
          <w:szCs w:val="21"/>
          <w:b w:val="1"/>
          <w:bCs w:val="1"/>
          <w:i w:val="1"/>
          <w:iCs w:val="1"/>
          <w:color w:val="auto"/>
        </w:rPr>
        <w:t>Units</w:t>
      </w:r>
      <w:r>
        <w:rPr>
          <w:rFonts w:ascii="Arial" w:cs="Arial" w:eastAsia="Arial" w:hAnsi="Arial"/>
          <w:sz w:val="21"/>
          <w:szCs w:val="21"/>
          <w:color w:val="auto"/>
        </w:rPr>
        <w:t>”);</w:t>
      </w:r>
    </w:p>
    <w:p>
      <w:pPr>
        <w:spacing w:after="0" w:line="177" w:lineRule="exact"/>
        <w:rPr>
          <w:rFonts w:ascii="Arial" w:cs="Arial" w:eastAsia="Arial" w:hAnsi="Arial"/>
          <w:sz w:val="17"/>
          <w:szCs w:val="17"/>
          <w:color w:val="auto"/>
        </w:rPr>
      </w:pPr>
    </w:p>
    <w:p>
      <w:pPr>
        <w:ind w:left="2160" w:hanging="855"/>
        <w:spacing w:after="0"/>
        <w:tabs>
          <w:tab w:leader="none" w:pos="2160" w:val="left"/>
        </w:tabs>
        <w:numPr>
          <w:ilvl w:val="0"/>
          <w:numId w:val="23"/>
        </w:numPr>
        <w:rPr>
          <w:rFonts w:ascii="Arial" w:cs="Arial" w:eastAsia="Arial" w:hAnsi="Arial"/>
          <w:sz w:val="18"/>
          <w:szCs w:val="18"/>
          <w:color w:val="auto"/>
        </w:rPr>
      </w:pPr>
      <w:r>
        <w:rPr>
          <w:rFonts w:ascii="Arial" w:cs="Arial" w:eastAsia="Arial" w:hAnsi="Arial"/>
          <w:sz w:val="22"/>
          <w:szCs w:val="22"/>
          <w:color w:val="auto"/>
        </w:rPr>
        <w:t>to the extent that they may be assigned, all Applicable Contracts and all rights thereunder;</w:t>
      </w:r>
    </w:p>
    <w:p>
      <w:pPr>
        <w:spacing w:after="0" w:line="273" w:lineRule="exact"/>
        <w:rPr>
          <w:rFonts w:ascii="Arial" w:cs="Arial" w:eastAsia="Arial" w:hAnsi="Arial"/>
          <w:sz w:val="18"/>
          <w:szCs w:val="18"/>
          <w:color w:val="auto"/>
        </w:rPr>
      </w:pPr>
    </w:p>
    <w:p>
      <w:pPr>
        <w:jc w:val="both"/>
        <w:ind w:firstLine="1305"/>
        <w:spacing w:after="0" w:line="270" w:lineRule="auto"/>
        <w:tabs>
          <w:tab w:leader="none" w:pos="2144" w:val="left"/>
        </w:tabs>
        <w:numPr>
          <w:ilvl w:val="0"/>
          <w:numId w:val="23"/>
        </w:numPr>
        <w:rPr>
          <w:rFonts w:ascii="Arial" w:cs="Arial" w:eastAsia="Arial" w:hAnsi="Arial"/>
          <w:sz w:val="17"/>
          <w:szCs w:val="17"/>
          <w:color w:val="auto"/>
        </w:rPr>
      </w:pPr>
      <w:r>
        <w:rPr>
          <w:rFonts w:ascii="Arial" w:cs="Arial" w:eastAsia="Arial" w:hAnsi="Arial"/>
          <w:sz w:val="21"/>
          <w:szCs w:val="21"/>
          <w:color w:val="auto"/>
        </w:rPr>
        <w:t xml:space="preserve">to the extent that they may be assigned, all permits, licenses, servitudes, easements, rights-of-way, surface leases, other surface interests and surface rights to the extent appurtenant to or used primarily in connection with the ownership, operation, production, gathering, treatment, processing, storing, sale or disposal of Hydrocarbons or produced water from the Leases, Wells or Units or any of the Assets, including those described on </w:t>
      </w:r>
      <w:r>
        <w:rPr>
          <w:rFonts w:ascii="Arial" w:cs="Arial" w:eastAsia="Arial" w:hAnsi="Arial"/>
          <w:sz w:val="21"/>
          <w:szCs w:val="21"/>
          <w:u w:val="single" w:color="auto"/>
          <w:color w:val="auto"/>
        </w:rPr>
        <w:t>Exhibit D</w:t>
      </w:r>
      <w:r>
        <w:rPr>
          <w:rFonts w:ascii="Arial" w:cs="Arial" w:eastAsia="Arial" w:hAnsi="Arial"/>
          <w:sz w:val="21"/>
          <w:szCs w:val="21"/>
          <w:color w:val="auto"/>
        </w:rPr>
        <w:t>;</w:t>
      </w:r>
    </w:p>
    <w:p>
      <w:pPr>
        <w:spacing w:after="0" w:line="209" w:lineRule="exact"/>
        <w:rPr>
          <w:rFonts w:ascii="Arial" w:cs="Arial" w:eastAsia="Arial" w:hAnsi="Arial"/>
          <w:sz w:val="17"/>
          <w:szCs w:val="17"/>
          <w:color w:val="auto"/>
        </w:rPr>
      </w:pPr>
    </w:p>
    <w:p>
      <w:pPr>
        <w:jc w:val="both"/>
        <w:ind w:firstLine="1305"/>
        <w:spacing w:after="0" w:line="250" w:lineRule="auto"/>
        <w:tabs>
          <w:tab w:leader="none" w:pos="2125" w:val="left"/>
        </w:tabs>
        <w:numPr>
          <w:ilvl w:val="0"/>
          <w:numId w:val="23"/>
        </w:numPr>
        <w:rPr>
          <w:rFonts w:ascii="Arial" w:cs="Arial" w:eastAsia="Arial" w:hAnsi="Arial"/>
          <w:sz w:val="18"/>
          <w:szCs w:val="18"/>
          <w:color w:val="auto"/>
        </w:rPr>
      </w:pPr>
      <w:r>
        <w:rPr>
          <w:rFonts w:ascii="Arial" w:cs="Arial" w:eastAsia="Arial" w:hAnsi="Arial"/>
          <w:sz w:val="22"/>
          <w:szCs w:val="22"/>
          <w:color w:val="auto"/>
        </w:rPr>
        <w:t xml:space="preserve">all equipment, machinery, tanks, pipe, fixtures, SCADA systems and associated communication equipment, vehicles and other personal, moveable and mixed property, injection facilities, saltwater disposal facilities, compression facilities, pumping units and engines, gas and oil treating facilities, power lines and other appurtenances, inventory, improvements, doghouses, storage facilities and similar structures, flowlines, pipelines, gathering systems and appurtenances thereto, located on any of the Assets that is primarily used in connection therewith as of the Effective Time, including those described on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(collectively, the “</w:t>
      </w:r>
      <w:r>
        <w:rPr>
          <w:rFonts w:ascii="Arial" w:cs="Arial" w:eastAsia="Arial" w:hAnsi="Arial"/>
          <w:sz w:val="22"/>
          <w:szCs w:val="22"/>
          <w:b w:val="1"/>
          <w:bCs w:val="1"/>
          <w:i w:val="1"/>
          <w:iCs w:val="1"/>
          <w:color w:val="auto"/>
        </w:rPr>
        <w:t>Personal Property</w:t>
      </w:r>
      <w:r>
        <w:rPr>
          <w:rFonts w:ascii="Arial" w:cs="Arial" w:eastAsia="Arial" w:hAnsi="Arial"/>
          <w:sz w:val="22"/>
          <w:szCs w:val="22"/>
          <w:color w:val="auto"/>
        </w:rPr>
        <w:t>”);</w:t>
      </w:r>
    </w:p>
    <w:p>
      <w:pPr>
        <w:spacing w:after="0" w:line="228" w:lineRule="exact"/>
        <w:rPr>
          <w:rFonts w:ascii="Arial" w:cs="Arial" w:eastAsia="Arial" w:hAnsi="Arial"/>
          <w:sz w:val="18"/>
          <w:szCs w:val="18"/>
          <w:color w:val="auto"/>
        </w:rPr>
      </w:pPr>
    </w:p>
    <w:p>
      <w:pPr>
        <w:jc w:val="both"/>
        <w:ind w:firstLine="1305"/>
        <w:spacing w:after="0" w:line="248" w:lineRule="auto"/>
        <w:tabs>
          <w:tab w:leader="none" w:pos="2155" w:val="left"/>
        </w:tabs>
        <w:numPr>
          <w:ilvl w:val="0"/>
          <w:numId w:val="23"/>
        </w:numPr>
        <w:rPr>
          <w:rFonts w:ascii="Arial" w:cs="Arial" w:eastAsia="Arial" w:hAnsi="Arial"/>
          <w:sz w:val="18"/>
          <w:szCs w:val="18"/>
          <w:color w:val="auto"/>
        </w:rPr>
      </w:pPr>
      <w:r>
        <w:rPr>
          <w:rFonts w:ascii="Arial" w:cs="Arial" w:eastAsia="Arial" w:hAnsi="Arial"/>
          <w:sz w:val="22"/>
          <w:szCs w:val="22"/>
          <w:color w:val="auto"/>
        </w:rPr>
        <w:t>all of the files, records, maps, information and data, whether written or electronically stored, primarily relating to the Assets in Sellers’ or its Affiliates’ possession, including: (i) land, division order and title records (including abstracts of title, title opinions and title curative documents); (ii) Applicable Contract files; (iii) correspondence; (iv) operations, engineering, environmental (including all environmental reports, files, audits, assessments, environmental notices of violation from Governmental Authorities (if any) and written notice from landowners regarding any environmental or operating issues (if any)), regulatory, production and accounting records; (v) production, facility and well records; and (vi) geological and geophysical data (including seismic data), interpretive data, electric logs, core data, pressure data, decline curves and production curves (collectively, “</w:t>
      </w:r>
      <w:r>
        <w:rPr>
          <w:rFonts w:ascii="Arial" w:cs="Arial" w:eastAsia="Arial" w:hAnsi="Arial"/>
          <w:sz w:val="22"/>
          <w:szCs w:val="22"/>
          <w:b w:val="1"/>
          <w:bCs w:val="1"/>
          <w:i w:val="1"/>
          <w:iCs w:val="1"/>
          <w:color w:val="auto"/>
        </w:rPr>
        <w:t>Records</w:t>
      </w:r>
      <w:r>
        <w:rPr>
          <w:rFonts w:ascii="Arial" w:cs="Arial" w:eastAsia="Arial" w:hAnsi="Arial"/>
          <w:sz w:val="22"/>
          <w:szCs w:val="22"/>
          <w:color w:val="auto"/>
        </w:rPr>
        <w:t>”).</w:t>
      </w:r>
    </w:p>
    <w:p>
      <w:pPr>
        <w:spacing w:after="0" w:line="23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i w:val="1"/>
          <w:iCs w:val="1"/>
          <w:color w:val="auto"/>
        </w:rPr>
        <w:t>2.2</w:t>
      </w:r>
      <w:r>
        <w:rPr>
          <w:sz w:val="20"/>
          <w:szCs w:val="20"/>
          <w:color w:val="auto"/>
        </w:rPr>
        <w:tab/>
      </w:r>
      <w:r>
        <w:rPr>
          <w:rFonts w:ascii="Arial" w:cs="Arial" w:eastAsia="Arial" w:hAnsi="Arial"/>
          <w:sz w:val="19"/>
          <w:szCs w:val="19"/>
          <w:b w:val="1"/>
          <w:bCs w:val="1"/>
          <w:i w:val="1"/>
          <w:iCs w:val="1"/>
          <w:color w:val="auto"/>
        </w:rPr>
        <w:t>Excluded Assets</w:t>
      </w:r>
      <w:r>
        <w:rPr>
          <w:rFonts w:ascii="Arial" w:cs="Arial" w:eastAsia="Arial" w:hAnsi="Arial"/>
          <w:sz w:val="19"/>
          <w:szCs w:val="19"/>
          <w:color w:val="auto"/>
        </w:rPr>
        <w:t>. Sellers shall reserve and retain all of the Excluded Assets.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64" w:name="page65"/>
    <w:bookmarkEnd w:id="6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 xml:space="preserve">2.3 Revenues and Expenses. </w:t>
      </w:r>
      <w:r>
        <w:rPr>
          <w:rFonts w:ascii="Arial" w:cs="Arial" w:eastAsia="Arial" w:hAnsi="Arial"/>
          <w:sz w:val="19"/>
          <w:szCs w:val="19"/>
          <w:color w:val="auto"/>
        </w:rPr>
        <w:t>Subject to the provisions hereof, Sellers shall remain entitled to all of the rights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ownership (including the right to all production, proceeds of production and all other income, proceeds, receipts and credits) and shall remain responsible (by payment, through the adjustments to the Purchase Price hereunder or otherwise) for all Operating Expenses, in each case, attributable to the Assets for the period of time prior to the Effective Time. Subject to the provisions hereof, and subject to the occurrence of Closing, Buyer shall be entitled to all of the rights of ownership (including the right to all production, proceeds of production and other proceeds), and shall be responsible (by payment, through the adjustments to the Purchase Price hereunder or otherwise) for all Operating Expenses, in each case, attributable to the Assets for the period of time from and after the Effective Time. Notwithstanding the foregoing, with respect to any well located on the Leases or on any other lease with which any such property or Lease has been unitized and spudded but not completed prior to the Effective Time described on </w:t>
      </w:r>
      <w:r>
        <w:rPr>
          <w:rFonts w:ascii="Arial" w:cs="Arial" w:eastAsia="Arial" w:hAnsi="Arial"/>
          <w:sz w:val="19"/>
          <w:szCs w:val="19"/>
          <w:u w:val="single" w:color="auto"/>
          <w:color w:val="auto"/>
        </w:rPr>
        <w:t>Schedule 2.3</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New Wells</w:t>
      </w:r>
      <w:r>
        <w:rPr>
          <w:rFonts w:ascii="Arial" w:cs="Arial" w:eastAsia="Arial" w:hAnsi="Arial"/>
          <w:sz w:val="19"/>
          <w:szCs w:val="19"/>
          <w:color w:val="auto"/>
        </w:rPr>
        <w:t>”), Buyer shall be responsible (by payment, through the adjustments to the Purchase Price hereunder or otherwise, for all Operating Expenses attributable to such New Well (net to Sellers’ interest) whether before, on or after the Effective Time. “</w:t>
      </w:r>
      <w:r>
        <w:rPr>
          <w:rFonts w:ascii="Arial" w:cs="Arial" w:eastAsia="Arial" w:hAnsi="Arial"/>
          <w:sz w:val="19"/>
          <w:szCs w:val="19"/>
          <w:b w:val="1"/>
          <w:bCs w:val="1"/>
          <w:i w:val="1"/>
          <w:iCs w:val="1"/>
          <w:color w:val="auto"/>
        </w:rPr>
        <w:t>Operating Expenses</w:t>
      </w:r>
      <w:r>
        <w:rPr>
          <w:rFonts w:ascii="Arial" w:cs="Arial" w:eastAsia="Arial" w:hAnsi="Arial"/>
          <w:sz w:val="19"/>
          <w:szCs w:val="19"/>
          <w:color w:val="auto"/>
        </w:rPr>
        <w:t xml:space="preserve">” means all operating expenses and all capital expenditures incurred in the ownership and operation of the Assets in the ordinary course of business and, where applicable, in accordance with the relevant operating or unit agreement, if any, and overhead costs charged or chargeable to the Assets under the relevant operating agreement or unit agreement, if any, but excluding, for the avoidance of doubt, any Income Taxes and Asset Taxes. After the Closing, each Party shall be entitled to participate in all joint interest audits and other audits of Operating Expenses for which such Party is entirely or in part responsible under the terms of this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PRICE</w:t>
      </w:r>
    </w:p>
    <w:p>
      <w:pPr>
        <w:spacing w:after="0" w:line="2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i w:val="1"/>
          <w:iCs w:val="1"/>
          <w:color w:val="auto"/>
        </w:rPr>
        <w:t xml:space="preserve">3.1 Purchase Price. </w:t>
      </w:r>
      <w:r>
        <w:rPr>
          <w:rFonts w:ascii="Arial" w:cs="Arial" w:eastAsia="Arial" w:hAnsi="Arial"/>
          <w:sz w:val="21"/>
          <w:szCs w:val="21"/>
          <w:color w:val="auto"/>
        </w:rPr>
        <w:t>The purchase price for the Assets shall be Nine Hundred Fifty Million Dollars ($950,000,000)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i w:val="1"/>
          <w:iCs w:val="1"/>
          <w:color w:val="auto"/>
        </w:rPr>
        <w:t>Purchase Price</w:t>
      </w:r>
      <w:r>
        <w:rPr>
          <w:rFonts w:ascii="Arial" w:cs="Arial" w:eastAsia="Arial" w:hAnsi="Arial"/>
          <w:sz w:val="21"/>
          <w:szCs w:val="21"/>
          <w:color w:val="auto"/>
        </w:rPr>
        <w:t>”), adjusted in accordance with this Agreement and payable by Buyer to Sellers at the Closing by wire transfer in immediately available funds to a bank account designated by Sellers in the Preliminary Settlement Statement.</w:t>
      </w:r>
    </w:p>
    <w:p>
      <w:pPr>
        <w:spacing w:after="0" w:line="2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i w:val="1"/>
          <w:iCs w:val="1"/>
          <w:color w:val="auto"/>
        </w:rPr>
        <w:t>3.2</w:t>
      </w:r>
      <w:r>
        <w:rPr>
          <w:sz w:val="20"/>
          <w:szCs w:val="20"/>
          <w:color w:val="auto"/>
        </w:rPr>
        <w:tab/>
      </w:r>
      <w:r>
        <w:rPr>
          <w:rFonts w:ascii="Arial" w:cs="Arial" w:eastAsia="Arial" w:hAnsi="Arial"/>
          <w:sz w:val="18"/>
          <w:szCs w:val="18"/>
          <w:b w:val="1"/>
          <w:bCs w:val="1"/>
          <w:i w:val="1"/>
          <w:iCs w:val="1"/>
          <w:color w:val="auto"/>
        </w:rPr>
        <w:t>Deposit</w:t>
      </w:r>
      <w:r>
        <w:rPr>
          <w:rFonts w:ascii="Arial" w:cs="Arial" w:eastAsia="Arial" w:hAnsi="Arial"/>
          <w:sz w:val="18"/>
          <w:szCs w:val="18"/>
          <w:b w:val="1"/>
          <w:bCs w:val="1"/>
          <w:color w:val="auto"/>
        </w:rPr>
        <w:t>.</w:t>
      </w:r>
    </w:p>
    <w:p>
      <w:pPr>
        <w:spacing w:after="0" w:line="28" w:lineRule="exact"/>
        <w:rPr>
          <w:sz w:val="20"/>
          <w:szCs w:val="20"/>
          <w:color w:val="auto"/>
        </w:rPr>
      </w:pPr>
    </w:p>
    <w:p>
      <w:pPr>
        <w:jc w:val="both"/>
        <w:ind w:firstLine="1305"/>
        <w:spacing w:after="0" w:line="255" w:lineRule="auto"/>
        <w:tabs>
          <w:tab w:leader="none" w:pos="1963" w:val="left"/>
        </w:tabs>
        <w:numPr>
          <w:ilvl w:val="0"/>
          <w:numId w:val="24"/>
        </w:numPr>
        <w:rPr>
          <w:rFonts w:ascii="Arial" w:cs="Arial" w:eastAsia="Arial" w:hAnsi="Arial"/>
          <w:sz w:val="21"/>
          <w:szCs w:val="21"/>
          <w:color w:val="auto"/>
        </w:rPr>
      </w:pPr>
      <w:r>
        <w:rPr>
          <w:rFonts w:ascii="Arial" w:cs="Arial" w:eastAsia="Arial" w:hAnsi="Arial"/>
          <w:sz w:val="21"/>
          <w:szCs w:val="21"/>
          <w:color w:val="auto"/>
        </w:rPr>
        <w:t>No later than the third Business Day after the execution of this Agreement, Buyer shall deposit by wire transfer in same day funds with the Escrow Agent the sum of Fifty Million Dollars ($50,000,000) (such amount, excluding any interest earned thereon, the “</w:t>
      </w:r>
      <w:r>
        <w:rPr>
          <w:rFonts w:ascii="Arial" w:cs="Arial" w:eastAsia="Arial" w:hAnsi="Arial"/>
          <w:sz w:val="21"/>
          <w:szCs w:val="21"/>
          <w:b w:val="1"/>
          <w:bCs w:val="1"/>
          <w:i w:val="1"/>
          <w:iCs w:val="1"/>
          <w:color w:val="auto"/>
        </w:rPr>
        <w:t>Deposit</w:t>
      </w:r>
      <w:r>
        <w:rPr>
          <w:rFonts w:ascii="Arial" w:cs="Arial" w:eastAsia="Arial" w:hAnsi="Arial"/>
          <w:sz w:val="21"/>
          <w:szCs w:val="21"/>
          <w:color w:val="auto"/>
        </w:rPr>
        <w:t xml:space="preserve">”). If Closing occurs, the Deposit shall be applied toward the Adjusted Purchase Price at Closing, but shall be retained under the Escrow Agreement as the Holdback Amount pursuant to </w:t>
      </w:r>
      <w:r>
        <w:rPr>
          <w:rFonts w:ascii="Arial" w:cs="Arial" w:eastAsia="Arial" w:hAnsi="Arial"/>
          <w:sz w:val="21"/>
          <w:szCs w:val="21"/>
          <w:u w:val="single" w:color="auto"/>
          <w:color w:val="auto"/>
        </w:rPr>
        <w:t>Section 3.10</w:t>
      </w:r>
      <w:r>
        <w:rPr>
          <w:rFonts w:ascii="Arial" w:cs="Arial" w:eastAsia="Arial" w:hAnsi="Arial"/>
          <w:sz w:val="21"/>
          <w:szCs w:val="21"/>
          <w:color w:val="auto"/>
        </w:rPr>
        <w:t>. The fees and expenses of the Escrow Agent shall be borne 50% by Buyer and 50% by Sellers.</w:t>
      </w:r>
    </w:p>
    <w:p>
      <w:pPr>
        <w:jc w:val="both"/>
        <w:ind w:firstLine="1305"/>
        <w:spacing w:after="0" w:line="281" w:lineRule="auto"/>
        <w:tabs>
          <w:tab w:leader="none" w:pos="1788"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If the transactions contemplated by this Agreement are not consummated because of (i) the failure of Buyer to materially perform any of its obligations hereunder or (ii) the failure of any of Buyer’s representations or warranties hereunder to be true and correct in all material respects as of the date of this Agreement and Closing, then, in such event, Sellers shall have the right to (A) terminate this Agreement and receive from the Escrow Agent the Deposit together with any interest or income thereon, free of any claims by Buyer with respect thereto (and Buyer shall execute joint instructions to the Escrow Agent to that effect), and (B), at its option, seek all additional remedies available at law, and with respect to Buyer’s obligations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or instructions to the Escrow Agent required under this Agreement, specific performance.</w:t>
      </w:r>
    </w:p>
    <w:p>
      <w:pPr>
        <w:spacing w:after="0" w:line="5" w:lineRule="exact"/>
        <w:rPr>
          <w:rFonts w:ascii="Arial" w:cs="Arial" w:eastAsia="Arial" w:hAnsi="Arial"/>
          <w:sz w:val="19"/>
          <w:szCs w:val="19"/>
          <w:color w:val="auto"/>
        </w:rPr>
      </w:pPr>
    </w:p>
    <w:p>
      <w:pPr>
        <w:jc w:val="both"/>
        <w:ind w:firstLine="1305"/>
        <w:spacing w:after="0" w:line="245" w:lineRule="auto"/>
        <w:tabs>
          <w:tab w:leader="none" w:pos="1804"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If this Agreement is terminated by the mutual written agreement of Buyer and Sellers, or if Closing does not occur for any reason other than as set forth in </w:t>
      </w:r>
      <w:r>
        <w:rPr>
          <w:rFonts w:ascii="Arial" w:cs="Arial" w:eastAsia="Arial" w:hAnsi="Arial"/>
          <w:sz w:val="22"/>
          <w:szCs w:val="22"/>
          <w:u w:val="single" w:color="auto"/>
          <w:color w:val="auto"/>
        </w:rPr>
        <w:t>Section 3.2(b)</w:t>
      </w:r>
      <w:r>
        <w:rPr>
          <w:rFonts w:ascii="Arial" w:cs="Arial" w:eastAsia="Arial" w:hAnsi="Arial"/>
          <w:sz w:val="22"/>
          <w:szCs w:val="22"/>
          <w:color w:val="auto"/>
        </w:rPr>
        <w:t>, then Buyer shall be entitled to receive the Deposit together with any interest or income thereon from the Escrow Agent, free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color w:val="auto"/>
        </w:rPr>
        <w:t>any claims by Sellers with respect thereto and Sellers shall execute joint instructions to the Escrow Agent to that effect.</w:t>
      </w:r>
    </w:p>
    <w:p>
      <w:pPr>
        <w:spacing w:after="0" w:line="33" w:lineRule="exact"/>
        <w:rPr>
          <w:sz w:val="20"/>
          <w:szCs w:val="20"/>
          <w:color w:val="auto"/>
        </w:rPr>
      </w:pPr>
    </w:p>
    <w:p>
      <w:pPr>
        <w:ind w:firstLine="1305"/>
        <w:spacing w:after="0" w:line="246" w:lineRule="auto"/>
        <w:tabs>
          <w:tab w:leader="none" w:pos="1786"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In the event of a termination of this Agreement pursuant to </w:t>
      </w:r>
      <w:r>
        <w:rPr>
          <w:rFonts w:ascii="Arial" w:cs="Arial" w:eastAsia="Arial" w:hAnsi="Arial"/>
          <w:sz w:val="22"/>
          <w:szCs w:val="22"/>
          <w:u w:val="single" w:color="auto"/>
          <w:color w:val="auto"/>
        </w:rPr>
        <w:t>Section 3.2(b)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3.2(c)</w:t>
      </w:r>
      <w:r>
        <w:rPr>
          <w:rFonts w:ascii="Arial" w:cs="Arial" w:eastAsia="Arial" w:hAnsi="Arial"/>
          <w:sz w:val="22"/>
          <w:szCs w:val="22"/>
          <w:color w:val="auto"/>
        </w:rPr>
        <w:t xml:space="preserve">, Buyer and Sellers shall, in each case, also have the rights and obligations set forth in </w:t>
      </w:r>
      <w:r>
        <w:rPr>
          <w:rFonts w:ascii="Arial" w:cs="Arial" w:eastAsia="Arial" w:hAnsi="Arial"/>
          <w:sz w:val="22"/>
          <w:szCs w:val="22"/>
          <w:u w:val="single" w:color="auto"/>
          <w:color w:val="auto"/>
        </w:rPr>
        <w:t>Section 14.2</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b w:val="1"/>
          <w:bCs w:val="1"/>
          <w:i w:val="1"/>
          <w:iCs w:val="1"/>
          <w:color w:val="auto"/>
        </w:rPr>
        <w:t>3.3 Adjustments to Purchase Price</w:t>
      </w:r>
      <w:r>
        <w:rPr>
          <w:rFonts w:ascii="Arial" w:cs="Arial" w:eastAsia="Arial" w:hAnsi="Arial"/>
          <w:sz w:val="22"/>
          <w:szCs w:val="22"/>
          <w:color w:val="auto"/>
        </w:rPr>
        <w:t>. The Purchase Price shall be adjusted as follows, and the resulting amount shall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herein called the “</w:t>
      </w:r>
      <w:r>
        <w:rPr>
          <w:rFonts w:ascii="Arial" w:cs="Arial" w:eastAsia="Arial" w:hAnsi="Arial"/>
          <w:sz w:val="22"/>
          <w:szCs w:val="22"/>
          <w:b w:val="1"/>
          <w:bCs w:val="1"/>
          <w:i w:val="1"/>
          <w:iCs w:val="1"/>
          <w:color w:val="auto"/>
        </w:rPr>
        <w:t>Adjusted Purchase Price</w:t>
      </w:r>
      <w:r>
        <w:rPr>
          <w:rFonts w:ascii="Arial" w:cs="Arial" w:eastAsia="Arial" w:hAnsi="Arial"/>
          <w:sz w:val="22"/>
          <w:szCs w:val="22"/>
          <w:color w:val="auto"/>
        </w:rPr>
        <w:t>”:</w:t>
      </w:r>
    </w:p>
    <w:p>
      <w:pPr>
        <w:spacing w:after="0" w:line="215" w:lineRule="exact"/>
        <w:rPr>
          <w:sz w:val="20"/>
          <w:szCs w:val="20"/>
          <w:color w:val="auto"/>
        </w:rPr>
      </w:pPr>
    </w:p>
    <w:p>
      <w:pPr>
        <w:ind w:left="1760" w:hanging="455"/>
        <w:spacing w:after="0"/>
        <w:tabs>
          <w:tab w:leader="none" w:pos="17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Purchase Price shall be adjusted upward by the following amounts (without duplication):</w:t>
      </w:r>
    </w:p>
    <w:p>
      <w:pPr>
        <w:spacing w:after="0" w:line="21" w:lineRule="exact"/>
        <w:rPr>
          <w:rFonts w:ascii="Arial" w:cs="Arial" w:eastAsia="Arial" w:hAnsi="Arial"/>
          <w:sz w:val="22"/>
          <w:szCs w:val="22"/>
          <w:color w:val="auto"/>
        </w:rPr>
      </w:pPr>
    </w:p>
    <w:p>
      <w:pPr>
        <w:jc w:val="both"/>
        <w:ind w:firstLine="1953"/>
        <w:spacing w:after="0" w:line="247" w:lineRule="auto"/>
        <w:tabs>
          <w:tab w:leader="none" w:pos="2763" w:val="left"/>
        </w:tabs>
        <w:numPr>
          <w:ilvl w:val="1"/>
          <w:numId w:val="26"/>
        </w:numPr>
        <w:rPr>
          <w:rFonts w:ascii="Arial" w:cs="Arial" w:eastAsia="Arial" w:hAnsi="Arial"/>
          <w:sz w:val="18"/>
          <w:szCs w:val="18"/>
          <w:color w:val="auto"/>
        </w:rPr>
      </w:pPr>
      <w:r>
        <w:rPr>
          <w:rFonts w:ascii="Arial" w:cs="Arial" w:eastAsia="Arial" w:hAnsi="Arial"/>
          <w:sz w:val="22"/>
          <w:szCs w:val="22"/>
          <w:color w:val="auto"/>
        </w:rPr>
        <w:t>an amount equal to, to the extent that such amount has been received by Buyer and not remitted or paid to Sellers, the value of all Hydrocarbons from or attributable to the Assets in storage or existing in pipelines, plants and tanks (including inventory) and upstream of the sales meter as of the Effective Time, the value to be based upon the contract price in effect as of the Effective Time (or the sales price, if there is no contract price, in effect as of the Effective Time), less Burdens on such production;</w:t>
      </w:r>
    </w:p>
    <w:p>
      <w:pPr>
        <w:spacing w:after="0" w:line="233" w:lineRule="exact"/>
        <w:rPr>
          <w:rFonts w:ascii="Arial" w:cs="Arial" w:eastAsia="Arial" w:hAnsi="Arial"/>
          <w:sz w:val="18"/>
          <w:szCs w:val="18"/>
          <w:color w:val="auto"/>
        </w:rPr>
      </w:pPr>
    </w:p>
    <w:p>
      <w:pPr>
        <w:jc w:val="both"/>
        <w:ind w:firstLine="1953"/>
        <w:spacing w:after="0" w:line="270" w:lineRule="auto"/>
        <w:tabs>
          <w:tab w:leader="none" w:pos="2813" w:val="left"/>
        </w:tabs>
        <w:numPr>
          <w:ilvl w:val="1"/>
          <w:numId w:val="26"/>
        </w:numPr>
        <w:rPr>
          <w:rFonts w:ascii="Arial" w:cs="Arial" w:eastAsia="Arial" w:hAnsi="Arial"/>
          <w:sz w:val="17"/>
          <w:szCs w:val="17"/>
          <w:color w:val="auto"/>
        </w:rPr>
      </w:pPr>
      <w:r>
        <w:rPr>
          <w:rFonts w:ascii="Arial" w:cs="Arial" w:eastAsia="Arial" w:hAnsi="Arial"/>
          <w:sz w:val="21"/>
          <w:szCs w:val="21"/>
          <w:color w:val="auto"/>
        </w:rPr>
        <w:t>an amount equal to all Operating Expenses and all other costs and expenses (including drilling and completion costs and other capital expenditures but excluding, for the avoidance of doubt, any Income Taxes and Asset Taxes) paid by Sellers that are attributable to the Assets during the period following the Effective Time, whether paid before or after the Effective Time, including (A) Burdens and (B) rentals and other lease maintenance payments;</w:t>
      </w:r>
    </w:p>
    <w:p>
      <w:pPr>
        <w:spacing w:after="0" w:line="209" w:lineRule="exact"/>
        <w:rPr>
          <w:rFonts w:ascii="Arial" w:cs="Arial" w:eastAsia="Arial" w:hAnsi="Arial"/>
          <w:sz w:val="17"/>
          <w:szCs w:val="17"/>
          <w:color w:val="auto"/>
        </w:rPr>
      </w:pPr>
    </w:p>
    <w:p>
      <w:pPr>
        <w:jc w:val="both"/>
        <w:ind w:firstLine="1953"/>
        <w:spacing w:after="0" w:line="260" w:lineRule="auto"/>
        <w:tabs>
          <w:tab w:leader="none" w:pos="2863" w:val="left"/>
        </w:tabs>
        <w:numPr>
          <w:ilvl w:val="1"/>
          <w:numId w:val="26"/>
        </w:numPr>
        <w:rPr>
          <w:rFonts w:ascii="Arial" w:cs="Arial" w:eastAsia="Arial" w:hAnsi="Arial"/>
          <w:sz w:val="18"/>
          <w:szCs w:val="18"/>
          <w:color w:val="auto"/>
        </w:rPr>
      </w:pPr>
      <w:r>
        <w:rPr>
          <w:rFonts w:ascii="Arial" w:cs="Arial" w:eastAsia="Arial" w:hAnsi="Arial"/>
          <w:sz w:val="22"/>
          <w:szCs w:val="22"/>
          <w:color w:val="auto"/>
        </w:rPr>
        <w:t>an amount equal to all Operating Expenses and all other costs and expenses (excluding, for the avoidance of doubt, any Income Taxes and Asset Taxes) paid by Sellers that are attributable to the New Wells whether before, on or after the Effective Time;</w:t>
      </w:r>
    </w:p>
    <w:p>
      <w:pPr>
        <w:spacing w:after="0" w:line="217" w:lineRule="exact"/>
        <w:rPr>
          <w:rFonts w:ascii="Arial" w:cs="Arial" w:eastAsia="Arial" w:hAnsi="Arial"/>
          <w:sz w:val="18"/>
          <w:szCs w:val="18"/>
          <w:color w:val="auto"/>
        </w:rPr>
      </w:pPr>
    </w:p>
    <w:p>
      <w:pPr>
        <w:ind w:firstLine="1953"/>
        <w:spacing w:after="0" w:line="276" w:lineRule="auto"/>
        <w:tabs>
          <w:tab w:leader="none" w:pos="2853" w:val="left"/>
        </w:tabs>
        <w:numPr>
          <w:ilvl w:val="1"/>
          <w:numId w:val="26"/>
        </w:numPr>
        <w:rPr>
          <w:rFonts w:ascii="Arial" w:cs="Arial" w:eastAsia="Arial" w:hAnsi="Arial"/>
          <w:sz w:val="18"/>
          <w:szCs w:val="18"/>
          <w:color w:val="auto"/>
        </w:rPr>
      </w:pPr>
      <w:r>
        <w:rPr>
          <w:rFonts w:ascii="Arial" w:cs="Arial" w:eastAsia="Arial" w:hAnsi="Arial"/>
          <w:sz w:val="22"/>
          <w:szCs w:val="22"/>
          <w:color w:val="auto"/>
        </w:rPr>
        <w:t xml:space="preserve">the amount of all Asset Taxes allocated to Buyer in accordance with </w:t>
      </w:r>
      <w:r>
        <w:rPr>
          <w:rFonts w:ascii="Arial" w:cs="Arial" w:eastAsia="Arial" w:hAnsi="Arial"/>
          <w:sz w:val="22"/>
          <w:szCs w:val="22"/>
          <w:u w:val="single" w:color="auto"/>
          <w:color w:val="auto"/>
        </w:rPr>
        <w:t>Section 15.2</w:t>
      </w:r>
      <w:r>
        <w:rPr>
          <w:rFonts w:ascii="Arial" w:cs="Arial" w:eastAsia="Arial" w:hAnsi="Arial"/>
          <w:sz w:val="22"/>
          <w:szCs w:val="22"/>
          <w:color w:val="auto"/>
        </w:rPr>
        <w:t xml:space="preserve"> but that are paid or otherwise economically borne by Sellers;</w:t>
      </w:r>
    </w:p>
    <w:p>
      <w:pPr>
        <w:spacing w:after="0" w:line="201" w:lineRule="exact"/>
        <w:rPr>
          <w:rFonts w:ascii="Arial" w:cs="Arial" w:eastAsia="Arial" w:hAnsi="Arial"/>
          <w:sz w:val="18"/>
          <w:szCs w:val="18"/>
          <w:color w:val="auto"/>
        </w:rPr>
      </w:pPr>
    </w:p>
    <w:p>
      <w:pPr>
        <w:jc w:val="both"/>
        <w:ind w:firstLine="1953"/>
        <w:spacing w:after="0" w:line="254" w:lineRule="auto"/>
        <w:tabs>
          <w:tab w:leader="none" w:pos="2803" w:val="left"/>
        </w:tabs>
        <w:numPr>
          <w:ilvl w:val="1"/>
          <w:numId w:val="26"/>
        </w:numPr>
        <w:rPr>
          <w:rFonts w:ascii="Arial" w:cs="Arial" w:eastAsia="Arial" w:hAnsi="Arial"/>
          <w:sz w:val="18"/>
          <w:szCs w:val="18"/>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3.9</w:t>
      </w:r>
      <w:r>
        <w:rPr>
          <w:rFonts w:ascii="Arial" w:cs="Arial" w:eastAsia="Arial" w:hAnsi="Arial"/>
          <w:sz w:val="22"/>
          <w:szCs w:val="22"/>
          <w:color w:val="auto"/>
        </w:rPr>
        <w:t xml:space="preserve">, to the extent that Sellers are underproduced as shown with respect to the net Well Imbalances set forth on </w:t>
      </w:r>
      <w:r>
        <w:rPr>
          <w:rFonts w:ascii="Arial" w:cs="Arial" w:eastAsia="Arial" w:hAnsi="Arial"/>
          <w:sz w:val="22"/>
          <w:szCs w:val="22"/>
          <w:u w:val="single" w:color="auto"/>
          <w:color w:val="auto"/>
        </w:rPr>
        <w:t>Schedule 4.12</w:t>
      </w:r>
      <w:r>
        <w:rPr>
          <w:rFonts w:ascii="Arial" w:cs="Arial" w:eastAsia="Arial" w:hAnsi="Arial"/>
          <w:sz w:val="22"/>
          <w:szCs w:val="22"/>
          <w:color w:val="auto"/>
        </w:rPr>
        <w:t>, as complete and final settlement of all Well Imbalances attributable to the Assets, an amount equal to the product of the underproduced volumes times (A) $3.50/Mcf for gaseous Hydrocarbons or (B) $90.00/Bbl for liquid Hydrocarbons, as applicable;</w:t>
      </w:r>
    </w:p>
    <w:p>
      <w:pPr>
        <w:spacing w:after="0" w:line="225" w:lineRule="exact"/>
        <w:rPr>
          <w:rFonts w:ascii="Arial" w:cs="Arial" w:eastAsia="Arial" w:hAnsi="Arial"/>
          <w:sz w:val="18"/>
          <w:szCs w:val="18"/>
          <w:color w:val="auto"/>
        </w:rPr>
      </w:pPr>
    </w:p>
    <w:p>
      <w:pPr>
        <w:jc w:val="both"/>
        <w:ind w:firstLine="1953"/>
        <w:spacing w:after="0" w:line="266" w:lineRule="auto"/>
        <w:tabs>
          <w:tab w:leader="none" w:pos="2853" w:val="left"/>
        </w:tabs>
        <w:numPr>
          <w:ilvl w:val="1"/>
          <w:numId w:val="26"/>
        </w:numPr>
        <w:rPr>
          <w:rFonts w:ascii="Arial" w:cs="Arial" w:eastAsia="Arial" w:hAnsi="Arial"/>
          <w:sz w:val="17"/>
          <w:szCs w:val="17"/>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3.9</w:t>
      </w:r>
      <w:r>
        <w:rPr>
          <w:rFonts w:ascii="Arial" w:cs="Arial" w:eastAsia="Arial" w:hAnsi="Arial"/>
          <w:sz w:val="21"/>
          <w:szCs w:val="21"/>
          <w:color w:val="auto"/>
        </w:rPr>
        <w:t xml:space="preserve">, to the extent that Sellers have overdelivered any Hydrocarbons (that is, Sellers have delivered more product to the pipeline than the pipeline has purchased or redelivered for Sellers) as of the Effective Time as shown with respect to the net Pipeline Imbalances set forth on </w:t>
      </w:r>
      <w:r>
        <w:rPr>
          <w:rFonts w:ascii="Arial" w:cs="Arial" w:eastAsia="Arial" w:hAnsi="Arial"/>
          <w:sz w:val="21"/>
          <w:szCs w:val="21"/>
          <w:u w:val="single" w:color="auto"/>
          <w:color w:val="auto"/>
        </w:rPr>
        <w:t>Schedule 4.12</w:t>
      </w:r>
      <w:r>
        <w:rPr>
          <w:rFonts w:ascii="Arial" w:cs="Arial" w:eastAsia="Arial" w:hAnsi="Arial"/>
          <w:sz w:val="21"/>
          <w:szCs w:val="21"/>
          <w:color w:val="auto"/>
        </w:rPr>
        <w:t>, as complete and final settlement of all Pipeline Imbalances attributable to the Assets, an amount equal to the product of the overdelivered volumes times (A) $3.50/Mcf for gaseous Hydrocarbons or (B) $90.00/Bbl for liquid Hydrocarbons, as applicable;</w:t>
      </w:r>
    </w:p>
    <w:p>
      <w:pPr>
        <w:spacing w:after="0" w:line="214" w:lineRule="exact"/>
        <w:rPr>
          <w:rFonts w:ascii="Arial" w:cs="Arial" w:eastAsia="Arial" w:hAnsi="Arial"/>
          <w:sz w:val="17"/>
          <w:szCs w:val="17"/>
          <w:color w:val="auto"/>
        </w:rPr>
      </w:pPr>
    </w:p>
    <w:p>
      <w:pPr>
        <w:jc w:val="both"/>
        <w:ind w:firstLine="1953"/>
        <w:spacing w:after="0" w:line="260" w:lineRule="auto"/>
        <w:tabs>
          <w:tab w:leader="none" w:pos="2903" w:val="left"/>
        </w:tabs>
        <w:numPr>
          <w:ilvl w:val="1"/>
          <w:numId w:val="26"/>
        </w:numPr>
        <w:rPr>
          <w:rFonts w:ascii="Arial" w:cs="Arial" w:eastAsia="Arial" w:hAnsi="Arial"/>
          <w:sz w:val="18"/>
          <w:szCs w:val="18"/>
          <w:color w:val="auto"/>
        </w:rPr>
      </w:pPr>
      <w:r>
        <w:rPr>
          <w:rFonts w:ascii="Arial" w:cs="Arial" w:eastAsia="Arial" w:hAnsi="Arial"/>
          <w:sz w:val="22"/>
          <w:szCs w:val="22"/>
          <w:color w:val="auto"/>
        </w:rPr>
        <w:t xml:space="preserve">to the extent not included as an Operating Expense for which an adjustment was made pursuant to </w:t>
      </w:r>
      <w:r>
        <w:rPr>
          <w:rFonts w:ascii="Arial" w:cs="Arial" w:eastAsia="Arial" w:hAnsi="Arial"/>
          <w:sz w:val="22"/>
          <w:szCs w:val="22"/>
          <w:u w:val="single" w:color="auto"/>
          <w:color w:val="auto"/>
        </w:rPr>
        <w:t>Section 3.3(a)(ii)</w:t>
      </w:r>
      <w:r>
        <w:rPr>
          <w:rFonts w:ascii="Arial" w:cs="Arial" w:eastAsia="Arial" w:hAnsi="Arial"/>
          <w:sz w:val="22"/>
          <w:szCs w:val="22"/>
          <w:color w:val="auto"/>
        </w:rPr>
        <w:t>, any bond or insurance premiums paid by or on behalf of Sellers in connection with ownership or operation of the Assets and prorated to the period from and after the Effective Time;</w:t>
      </w:r>
    </w:p>
    <w:p>
      <w:pPr>
        <w:spacing w:after="0" w:line="217" w:lineRule="exact"/>
        <w:rPr>
          <w:rFonts w:ascii="Arial" w:cs="Arial" w:eastAsia="Arial" w:hAnsi="Arial"/>
          <w:sz w:val="18"/>
          <w:szCs w:val="18"/>
          <w:color w:val="auto"/>
        </w:rPr>
      </w:pPr>
    </w:p>
    <w:p>
      <w:pPr>
        <w:ind w:left="2960" w:hanging="1007"/>
        <w:spacing w:after="0"/>
        <w:tabs>
          <w:tab w:leader="none" w:pos="2960" w:val="left"/>
        </w:tabs>
        <w:numPr>
          <w:ilvl w:val="1"/>
          <w:numId w:val="26"/>
        </w:numPr>
        <w:rPr>
          <w:rFonts w:ascii="Arial" w:cs="Arial" w:eastAsia="Arial" w:hAnsi="Arial"/>
          <w:sz w:val="16"/>
          <w:szCs w:val="16"/>
          <w:color w:val="auto"/>
        </w:rPr>
      </w:pPr>
      <w:r>
        <w:rPr>
          <w:rFonts w:ascii="Arial" w:cs="Arial" w:eastAsia="Arial" w:hAnsi="Arial"/>
          <w:sz w:val="19"/>
          <w:szCs w:val="19"/>
          <w:color w:val="auto"/>
        </w:rPr>
        <w:t>the portion of the Overhead Costs, if any, attributable to the Assets from and after the Effective</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Time up to the Closing Date; and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ind w:left="2860" w:hanging="907"/>
        <w:spacing w:after="0"/>
        <w:tabs>
          <w:tab w:leader="none" w:pos="2860" w:val="left"/>
        </w:tabs>
        <w:numPr>
          <w:ilvl w:val="0"/>
          <w:numId w:val="27"/>
        </w:numPr>
        <w:rPr>
          <w:rFonts w:ascii="Arial" w:cs="Arial" w:eastAsia="Arial" w:hAnsi="Arial"/>
          <w:sz w:val="16"/>
          <w:szCs w:val="16"/>
          <w:color w:val="auto"/>
        </w:rPr>
      </w:pPr>
      <w:r>
        <w:rPr>
          <w:rFonts w:ascii="Arial" w:cs="Arial" w:eastAsia="Arial" w:hAnsi="Arial"/>
          <w:sz w:val="19"/>
          <w:szCs w:val="19"/>
          <w:color w:val="auto"/>
        </w:rPr>
        <w:t>any other amount provided for elsewhere in this Agreement or otherwise agreed upon by Sellers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 Buyer.</w:t>
      </w:r>
    </w:p>
    <w:p>
      <w:pPr>
        <w:spacing w:after="0" w:line="256" w:lineRule="exact"/>
        <w:rPr>
          <w:sz w:val="20"/>
          <w:szCs w:val="20"/>
          <w:color w:val="auto"/>
        </w:rPr>
      </w:pPr>
    </w:p>
    <w:p>
      <w:pPr>
        <w:ind w:left="1760" w:hanging="455"/>
        <w:spacing w:after="0"/>
        <w:tabs>
          <w:tab w:leader="none" w:pos="17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Purchase Price shall be adjusted downward by the following amounts (without duplication):</w:t>
      </w:r>
    </w:p>
    <w:p>
      <w:pPr>
        <w:spacing w:after="0" w:line="21" w:lineRule="exact"/>
        <w:rPr>
          <w:rFonts w:ascii="Arial" w:cs="Arial" w:eastAsia="Arial" w:hAnsi="Arial"/>
          <w:sz w:val="22"/>
          <w:szCs w:val="22"/>
          <w:color w:val="auto"/>
        </w:rPr>
      </w:pPr>
    </w:p>
    <w:p>
      <w:pPr>
        <w:jc w:val="both"/>
        <w:ind w:firstLine="1953"/>
        <w:spacing w:after="0" w:line="244" w:lineRule="auto"/>
        <w:tabs>
          <w:tab w:leader="none" w:pos="2374"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an amount equal to, to the extent that such amount has been received by Sellers and not remitted or paid to Buyer, all proceeds actually received by Sellers attributable to the ownership or operation of the Assets, including the sale of Hydrocarbons produced therefrom or allocable thereto during the period following the Effective Time, net of expenses (other than Operating Expenses and other expenses taken into account pursuant to </w:t>
      </w:r>
      <w:r>
        <w:rPr>
          <w:rFonts w:ascii="Arial" w:cs="Arial" w:eastAsia="Arial" w:hAnsi="Arial"/>
          <w:sz w:val="22"/>
          <w:szCs w:val="22"/>
          <w:u w:val="single" w:color="auto"/>
          <w:color w:val="auto"/>
        </w:rPr>
        <w:t>Section 3.3(a)</w:t>
      </w:r>
      <w:r>
        <w:rPr>
          <w:rFonts w:ascii="Arial" w:cs="Arial" w:eastAsia="Arial" w:hAnsi="Arial"/>
          <w:sz w:val="22"/>
          <w:szCs w:val="22"/>
          <w:color w:val="auto"/>
        </w:rPr>
        <w:t>, Income Taxes and Asset Taxes) directly incurred in earning or receiving such proceeds;</w:t>
      </w:r>
    </w:p>
    <w:p>
      <w:pPr>
        <w:spacing w:after="0" w:line="235" w:lineRule="exact"/>
        <w:rPr>
          <w:rFonts w:ascii="Arial" w:cs="Arial" w:eastAsia="Arial" w:hAnsi="Arial"/>
          <w:sz w:val="22"/>
          <w:szCs w:val="22"/>
          <w:color w:val="auto"/>
        </w:rPr>
      </w:pPr>
    </w:p>
    <w:p>
      <w:pPr>
        <w:jc w:val="both"/>
        <w:ind w:firstLine="1953"/>
        <w:spacing w:after="0" w:line="253" w:lineRule="auto"/>
        <w:tabs>
          <w:tab w:leader="none" w:pos="2457"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if Sellers make the election under </w:t>
      </w:r>
      <w:r>
        <w:rPr>
          <w:rFonts w:ascii="Arial" w:cs="Arial" w:eastAsia="Arial" w:hAnsi="Arial"/>
          <w:sz w:val="22"/>
          <w:szCs w:val="22"/>
          <w:u w:val="single" w:color="auto"/>
          <w:color w:val="auto"/>
        </w:rPr>
        <w:t>Section 11.2(d)(i)</w:t>
      </w:r>
      <w:r>
        <w:rPr>
          <w:rFonts w:ascii="Arial" w:cs="Arial" w:eastAsia="Arial" w:hAnsi="Arial"/>
          <w:sz w:val="22"/>
          <w:szCs w:val="22"/>
          <w:color w:val="auto"/>
        </w:rPr>
        <w:t xml:space="preserve"> with respect to a Title Defect, an amount equal to all Title Defect Amounts determined pursuant to </w:t>
      </w:r>
      <w:r>
        <w:rPr>
          <w:rFonts w:ascii="Arial" w:cs="Arial" w:eastAsia="Arial" w:hAnsi="Arial"/>
          <w:sz w:val="22"/>
          <w:szCs w:val="22"/>
          <w:u w:val="single" w:color="auto"/>
          <w:color w:val="auto"/>
        </w:rPr>
        <w:t>Sections 11.2(g)</w:t>
      </w:r>
      <w:r>
        <w:rPr>
          <w:rFonts w:ascii="Arial" w:cs="Arial" w:eastAsia="Arial" w:hAnsi="Arial"/>
          <w:sz w:val="22"/>
          <w:szCs w:val="22"/>
          <w:color w:val="auto"/>
        </w:rPr>
        <w:t xml:space="preserve">, </w:t>
      </w:r>
      <w:r>
        <w:rPr>
          <w:rFonts w:ascii="Arial" w:cs="Arial" w:eastAsia="Arial" w:hAnsi="Arial"/>
          <w:sz w:val="22"/>
          <w:szCs w:val="22"/>
          <w:u w:val="single" w:color="auto"/>
          <w:color w:val="auto"/>
        </w:rPr>
        <w:t>11.2(i)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11.2(j)</w:t>
      </w:r>
      <w:r>
        <w:rPr>
          <w:rFonts w:ascii="Arial" w:cs="Arial" w:eastAsia="Arial" w:hAnsi="Arial"/>
          <w:sz w:val="22"/>
          <w:szCs w:val="22"/>
          <w:color w:val="auto"/>
        </w:rPr>
        <w:t xml:space="preserve">, as applicable, less an amount equal to all Title Benefit Amounts determined pursuant to </w:t>
      </w:r>
      <w:r>
        <w:rPr>
          <w:rFonts w:ascii="Arial" w:cs="Arial" w:eastAsia="Arial" w:hAnsi="Arial"/>
          <w:sz w:val="22"/>
          <w:szCs w:val="22"/>
          <w:u w:val="single" w:color="auto"/>
          <w:color w:val="auto"/>
        </w:rPr>
        <w:t>Sections 11.2(h)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11.2(j)</w:t>
      </w:r>
      <w:r>
        <w:rPr>
          <w:rFonts w:ascii="Arial" w:cs="Arial" w:eastAsia="Arial" w:hAnsi="Arial"/>
          <w:sz w:val="22"/>
          <w:szCs w:val="22"/>
          <w:color w:val="auto"/>
        </w:rPr>
        <w:t>, as applicable;</w:t>
      </w:r>
    </w:p>
    <w:p>
      <w:pPr>
        <w:spacing w:after="0" w:line="226" w:lineRule="exact"/>
        <w:rPr>
          <w:rFonts w:ascii="Arial" w:cs="Arial" w:eastAsia="Arial" w:hAnsi="Arial"/>
          <w:sz w:val="22"/>
          <w:szCs w:val="22"/>
          <w:color w:val="auto"/>
        </w:rPr>
      </w:pPr>
    </w:p>
    <w:p>
      <w:pPr>
        <w:jc w:val="both"/>
        <w:ind w:firstLine="1953"/>
        <w:spacing w:after="0" w:line="343" w:lineRule="auto"/>
        <w:tabs>
          <w:tab w:leader="none" w:pos="2598" w:val="left"/>
        </w:tabs>
        <w:numPr>
          <w:ilvl w:val="1"/>
          <w:numId w:val="28"/>
        </w:numPr>
        <w:rPr>
          <w:rFonts w:ascii="Arial" w:cs="Arial" w:eastAsia="Arial" w:hAnsi="Arial"/>
          <w:sz w:val="19"/>
          <w:szCs w:val="19"/>
          <w:color w:val="auto"/>
        </w:rPr>
      </w:pPr>
      <w:r>
        <w:rPr>
          <w:rFonts w:ascii="Arial" w:cs="Arial" w:eastAsia="Arial" w:hAnsi="Arial"/>
          <w:sz w:val="19"/>
          <w:szCs w:val="19"/>
          <w:color w:val="auto"/>
        </w:rPr>
        <w:t xml:space="preserve">if Sellers make the election under </w:t>
      </w:r>
      <w:r>
        <w:rPr>
          <w:rFonts w:ascii="Arial" w:cs="Arial" w:eastAsia="Arial" w:hAnsi="Arial"/>
          <w:sz w:val="19"/>
          <w:szCs w:val="19"/>
          <w:u w:val="single" w:color="auto"/>
          <w:color w:val="auto"/>
        </w:rPr>
        <w:t>Section 12.1(b)(i)</w:t>
      </w:r>
      <w:r>
        <w:rPr>
          <w:rFonts w:ascii="Arial" w:cs="Arial" w:eastAsia="Arial" w:hAnsi="Arial"/>
          <w:sz w:val="19"/>
          <w:szCs w:val="19"/>
          <w:color w:val="auto"/>
        </w:rPr>
        <w:t xml:space="preserve"> with respect to an Environmental Defect, the Remediation Amount with respect to such Environmental Defect if the Remediation Amount has been determined prior to Closing;</w:t>
      </w:r>
    </w:p>
    <w:p>
      <w:pPr>
        <w:spacing w:after="0" w:line="145" w:lineRule="exact"/>
        <w:rPr>
          <w:rFonts w:ascii="Arial" w:cs="Arial" w:eastAsia="Arial" w:hAnsi="Arial"/>
          <w:sz w:val="19"/>
          <w:szCs w:val="19"/>
          <w:color w:val="auto"/>
        </w:rPr>
      </w:pPr>
    </w:p>
    <w:p>
      <w:pPr>
        <w:ind w:right="20" w:firstLine="1953"/>
        <w:spacing w:after="0" w:line="263" w:lineRule="auto"/>
        <w:tabs>
          <w:tab w:leader="none" w:pos="2581"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the Allocated Value of the Assets excluded from the transactions contemplated hereby pursuant to </w:t>
      </w:r>
      <w:r>
        <w:rPr>
          <w:rFonts w:ascii="Arial" w:cs="Arial" w:eastAsia="Arial" w:hAnsi="Arial"/>
          <w:sz w:val="22"/>
          <w:szCs w:val="22"/>
          <w:u w:val="single" w:color="auto"/>
          <w:color w:val="auto"/>
        </w:rPr>
        <w:t>Section 11.2(d)(ii)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11.4(a)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12.1(b)(ii)</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firstLine="1953"/>
        <w:spacing w:after="0" w:line="263" w:lineRule="auto"/>
        <w:tabs>
          <w:tab w:leader="none" w:pos="2453"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the amount of all Asset Taxes allocated to Sellers in accordance with </w:t>
      </w:r>
      <w:r>
        <w:rPr>
          <w:rFonts w:ascii="Arial" w:cs="Arial" w:eastAsia="Arial" w:hAnsi="Arial"/>
          <w:sz w:val="22"/>
          <w:szCs w:val="22"/>
          <w:u w:val="single" w:color="auto"/>
          <w:color w:val="auto"/>
        </w:rPr>
        <w:t>Section 15.2</w:t>
      </w:r>
      <w:r>
        <w:rPr>
          <w:rFonts w:ascii="Arial" w:cs="Arial" w:eastAsia="Arial" w:hAnsi="Arial"/>
          <w:sz w:val="22"/>
          <w:szCs w:val="22"/>
          <w:color w:val="auto"/>
        </w:rPr>
        <w:t xml:space="preserve"> but that are paid or otherwise economically borne by Buyer;</w:t>
      </w:r>
    </w:p>
    <w:p>
      <w:pPr>
        <w:spacing w:after="0" w:line="215" w:lineRule="exact"/>
        <w:rPr>
          <w:rFonts w:ascii="Arial" w:cs="Arial" w:eastAsia="Arial" w:hAnsi="Arial"/>
          <w:sz w:val="22"/>
          <w:szCs w:val="22"/>
          <w:color w:val="auto"/>
        </w:rPr>
      </w:pPr>
    </w:p>
    <w:p>
      <w:pPr>
        <w:jc w:val="both"/>
        <w:ind w:firstLine="1953"/>
        <w:spacing w:after="0" w:line="250" w:lineRule="auto"/>
        <w:tabs>
          <w:tab w:leader="none" w:pos="2482"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3.9</w:t>
      </w:r>
      <w:r>
        <w:rPr>
          <w:rFonts w:ascii="Arial" w:cs="Arial" w:eastAsia="Arial" w:hAnsi="Arial"/>
          <w:sz w:val="22"/>
          <w:szCs w:val="22"/>
          <w:color w:val="auto"/>
        </w:rPr>
        <w:t xml:space="preserve">, to the extent that Sellers are overproduced as shown with respect to the net Well Imbalances set forth on </w:t>
      </w:r>
      <w:r>
        <w:rPr>
          <w:rFonts w:ascii="Arial" w:cs="Arial" w:eastAsia="Arial" w:hAnsi="Arial"/>
          <w:sz w:val="22"/>
          <w:szCs w:val="22"/>
          <w:u w:val="single" w:color="auto"/>
          <w:color w:val="auto"/>
        </w:rPr>
        <w:t>Schedule 4.12</w:t>
      </w:r>
      <w:r>
        <w:rPr>
          <w:rFonts w:ascii="Arial" w:cs="Arial" w:eastAsia="Arial" w:hAnsi="Arial"/>
          <w:sz w:val="22"/>
          <w:szCs w:val="22"/>
          <w:color w:val="auto"/>
        </w:rPr>
        <w:t>, as complete and final settlement of all Well Imbalances attributable to the Assets, the sum of $21,434.00 which is an amount equal to the product of the overproduced volumes times (A) $3.50/Mcf for gaseous Hydrocarbons or (B) $90.00/Bbl for liquid Hydrocarbons, as applicable;</w:t>
      </w:r>
    </w:p>
    <w:p>
      <w:pPr>
        <w:spacing w:after="0" w:line="228" w:lineRule="exact"/>
        <w:rPr>
          <w:rFonts w:ascii="Arial" w:cs="Arial" w:eastAsia="Arial" w:hAnsi="Arial"/>
          <w:sz w:val="22"/>
          <w:szCs w:val="22"/>
          <w:color w:val="auto"/>
        </w:rPr>
      </w:pPr>
    </w:p>
    <w:p>
      <w:pPr>
        <w:jc w:val="both"/>
        <w:ind w:firstLine="1953"/>
        <w:spacing w:after="0" w:line="263" w:lineRule="auto"/>
        <w:tabs>
          <w:tab w:leader="none" w:pos="2605" w:val="left"/>
        </w:tabs>
        <w:numPr>
          <w:ilvl w:val="1"/>
          <w:numId w:val="28"/>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3.9</w:t>
      </w:r>
      <w:r>
        <w:rPr>
          <w:rFonts w:ascii="Arial" w:cs="Arial" w:eastAsia="Arial" w:hAnsi="Arial"/>
          <w:sz w:val="21"/>
          <w:szCs w:val="21"/>
          <w:color w:val="auto"/>
        </w:rPr>
        <w:t xml:space="preserve">, to the extent that Sellers have underdelivered (that is, Sellers have delivered less product to the pipeline than the pipeline purchased or redelivered for the Sellers) any Hydrocarbons as of the Effective Time as shown with respect to the net Pipeline Imbalances set forth on </w:t>
      </w:r>
      <w:r>
        <w:rPr>
          <w:rFonts w:ascii="Arial" w:cs="Arial" w:eastAsia="Arial" w:hAnsi="Arial"/>
          <w:sz w:val="21"/>
          <w:szCs w:val="21"/>
          <w:u w:val="single" w:color="auto"/>
          <w:color w:val="auto"/>
        </w:rPr>
        <w:t>Schedule 4.12</w:t>
      </w:r>
      <w:r>
        <w:rPr>
          <w:rFonts w:ascii="Arial" w:cs="Arial" w:eastAsia="Arial" w:hAnsi="Arial"/>
          <w:sz w:val="21"/>
          <w:szCs w:val="21"/>
          <w:color w:val="auto"/>
        </w:rPr>
        <w:t>, as complete and final settlement of all Pipeline Imbalances attributable to the Assets, an amount equal to the product of the underdelivered volumes times (A) $3.50/Mcf for gaseous Hydrocarbons or (B) $90.00/Bbl for liquid Hydrocarbons, as applicable;</w:t>
      </w:r>
    </w:p>
    <w:p>
      <w:pPr>
        <w:spacing w:after="0" w:line="216" w:lineRule="exact"/>
        <w:rPr>
          <w:rFonts w:ascii="Arial" w:cs="Arial" w:eastAsia="Arial" w:hAnsi="Arial"/>
          <w:sz w:val="21"/>
          <w:szCs w:val="21"/>
          <w:color w:val="auto"/>
        </w:rPr>
      </w:pPr>
    </w:p>
    <w:p>
      <w:pPr>
        <w:jc w:val="both"/>
        <w:ind w:firstLine="1953"/>
        <w:spacing w:after="0" w:line="253" w:lineRule="auto"/>
        <w:tabs>
          <w:tab w:leader="none" w:pos="2677"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 amount equal to all proceeds from sales of Hydrocarbons relating to the Assets and payable to owners of Working Interests, royalties, overriding royalties and other similar interests (in each case) that are held by Sellers in suspense as of the Closing Date; and</w:t>
      </w:r>
    </w:p>
    <w:p>
      <w:pPr>
        <w:spacing w:after="0" w:line="226" w:lineRule="exact"/>
        <w:rPr>
          <w:rFonts w:ascii="Arial" w:cs="Arial" w:eastAsia="Arial" w:hAnsi="Arial"/>
          <w:sz w:val="22"/>
          <w:szCs w:val="22"/>
          <w:color w:val="auto"/>
        </w:rPr>
      </w:pPr>
    </w:p>
    <w:p>
      <w:pPr>
        <w:ind w:left="2540" w:hanging="587"/>
        <w:spacing w:after="0"/>
        <w:tabs>
          <w:tab w:leader="none" w:pos="2540" w:val="left"/>
        </w:tabs>
        <w:numPr>
          <w:ilvl w:val="1"/>
          <w:numId w:val="28"/>
        </w:numPr>
        <w:rPr>
          <w:rFonts w:ascii="Arial" w:cs="Arial" w:eastAsia="Arial" w:hAnsi="Arial"/>
          <w:sz w:val="19"/>
          <w:szCs w:val="19"/>
          <w:color w:val="auto"/>
        </w:rPr>
      </w:pPr>
      <w:r>
        <w:rPr>
          <w:rFonts w:ascii="Arial" w:cs="Arial" w:eastAsia="Arial" w:hAnsi="Arial"/>
          <w:sz w:val="19"/>
          <w:szCs w:val="19"/>
          <w:color w:val="auto"/>
        </w:rPr>
        <w:t>any other amount provided for elsewhere in this Agreement or otherwise agreed upon by Sellers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Buyer.</w:t>
      </w:r>
    </w:p>
    <w:p>
      <w:pPr>
        <w:spacing w:after="0" w:line="3" w:lineRule="exact"/>
        <w:rPr>
          <w:rFonts w:ascii="Arial" w:cs="Arial" w:eastAsia="Arial" w:hAnsi="Arial"/>
          <w:sz w:val="19"/>
          <w:szCs w:val="19"/>
          <w:color w:val="auto"/>
        </w:rPr>
      </w:pPr>
    </w:p>
    <w:p>
      <w:pPr>
        <w:jc w:val="both"/>
        <w:ind w:firstLine="648"/>
        <w:spacing w:after="0" w:line="245" w:lineRule="auto"/>
        <w:rPr>
          <w:rFonts w:ascii="Arial" w:cs="Arial" w:eastAsia="Arial" w:hAnsi="Arial"/>
          <w:sz w:val="19"/>
          <w:szCs w:val="19"/>
          <w:color w:val="auto"/>
        </w:rPr>
      </w:pPr>
      <w:r>
        <w:rPr>
          <w:rFonts w:ascii="Arial" w:cs="Arial" w:eastAsia="Arial" w:hAnsi="Arial"/>
          <w:sz w:val="22"/>
          <w:szCs w:val="22"/>
          <w:b w:val="1"/>
          <w:bCs w:val="1"/>
          <w:i w:val="1"/>
          <w:iCs w:val="1"/>
          <w:color w:val="auto"/>
        </w:rPr>
        <w:t xml:space="preserve">3.4 Adjustment Methodology. </w:t>
      </w:r>
      <w:r>
        <w:rPr>
          <w:rFonts w:ascii="Arial" w:cs="Arial" w:eastAsia="Arial" w:hAnsi="Arial"/>
          <w:sz w:val="22"/>
          <w:szCs w:val="22"/>
          <w:color w:val="auto"/>
        </w:rPr>
        <w:t>When available, actual figures will be used for the adjustments to the Purchase Price at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Closing. To the extent actual figures are not available, estimates will be used subject to final adjustments in accordance with </w:t>
      </w:r>
      <w:r>
        <w:rPr>
          <w:rFonts w:ascii="Arial" w:cs="Arial" w:eastAsia="Arial" w:hAnsi="Arial"/>
          <w:sz w:val="22"/>
          <w:szCs w:val="22"/>
          <w:u w:val="single" w:color="auto"/>
          <w:color w:val="auto"/>
        </w:rPr>
        <w:t>Section 3.6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3.7</w:t>
      </w:r>
      <w:r>
        <w:rPr>
          <w:rFonts w:ascii="Arial" w:cs="Arial" w:eastAsia="Arial" w:hAnsi="Arial"/>
          <w:sz w:val="22"/>
          <w:szCs w:val="22"/>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7" w:name="page68"/>
    <w:bookmarkEnd w:id="67"/>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i w:val="1"/>
          <w:iCs w:val="1"/>
          <w:color w:val="auto"/>
        </w:rPr>
        <w:t>3.5 Preliminary Settlement Statement</w:t>
      </w:r>
      <w:r>
        <w:rPr>
          <w:rFonts w:ascii="Arial" w:cs="Arial" w:eastAsia="Arial" w:hAnsi="Arial"/>
          <w:sz w:val="19"/>
          <w:szCs w:val="19"/>
          <w:color w:val="auto"/>
        </w:rPr>
        <w:t>. Not less than five Business Days prior to Closing, Sellers shall prepare and submit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Buyer for review a draft settlement statement (the “</w:t>
      </w:r>
      <w:r>
        <w:rPr>
          <w:rFonts w:ascii="Arial" w:cs="Arial" w:eastAsia="Arial" w:hAnsi="Arial"/>
          <w:sz w:val="19"/>
          <w:szCs w:val="19"/>
          <w:b w:val="1"/>
          <w:bCs w:val="1"/>
          <w:i w:val="1"/>
          <w:iCs w:val="1"/>
          <w:color w:val="auto"/>
        </w:rPr>
        <w:t>Preliminary Settlement Statement</w:t>
      </w:r>
      <w:r>
        <w:rPr>
          <w:rFonts w:ascii="Arial" w:cs="Arial" w:eastAsia="Arial" w:hAnsi="Arial"/>
          <w:sz w:val="19"/>
          <w:szCs w:val="19"/>
          <w:color w:val="auto"/>
        </w:rPr>
        <w:t xml:space="preserve">”) that shall set forth the Adjusted Purchase Price, reflecting each adjustment made in accordance with this Agreement as of the date of preparation of such Preliminary Settlement Statement and the calculation of the adjustments used to determine such amount, together with the designation of Sellers’ account for the wire transfer of funds as required by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9.3(d)</w:t>
      </w:r>
      <w:r>
        <w:rPr>
          <w:rFonts w:ascii="Arial" w:cs="Arial" w:eastAsia="Arial" w:hAnsi="Arial"/>
          <w:sz w:val="19"/>
          <w:szCs w:val="19"/>
          <w:color w:val="auto"/>
        </w:rPr>
        <w:t xml:space="preserve">. Within two Business Days after receipt of the Preliminary Settlement Statement, Buyer shall deliver to Sellers a written report containing all changes that Buyer proposes to be made to the Preliminary Settlement Statement together with the explanation therefor and the supporting documents thereof. The Parties shall in good faith attempt to agree on the Preliminary Settlement Statement as soon as possible after Sellers’ receipt of Buyer’s written report. The Preliminary Settlement Statement, as agreed upon by the Parties, will be used to adjust the Purchase Price at Closing; provided that if the Parties do not agree upon an adjustment set forth in the Preliminary Settlement Statement, then the amount of such adjustment used to adjust the Purchase Price at Closing shall be that amount set forth in the draft Preliminary Settlement Statement delivered by Sellers to Buyer pursuant to this </w:t>
      </w:r>
      <w:r>
        <w:rPr>
          <w:rFonts w:ascii="Arial" w:cs="Arial" w:eastAsia="Arial" w:hAnsi="Arial"/>
          <w:sz w:val="19"/>
          <w:szCs w:val="19"/>
          <w:u w:val="single" w:color="auto"/>
          <w:color w:val="auto"/>
        </w:rPr>
        <w:t>Section 3.5</w:t>
      </w:r>
      <w:r>
        <w:rPr>
          <w:rFonts w:ascii="Arial" w:cs="Arial" w:eastAsia="Arial" w:hAnsi="Arial"/>
          <w:sz w:val="19"/>
          <w:szCs w:val="19"/>
          <w:color w:val="auto"/>
        </w:rPr>
        <w:t>.</w:t>
      </w:r>
    </w:p>
    <w:p>
      <w:pPr>
        <w:spacing w:after="0" w:line="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i w:val="1"/>
          <w:iCs w:val="1"/>
          <w:color w:val="auto"/>
        </w:rPr>
        <w:t>3.6</w:t>
      </w:r>
      <w:r>
        <w:rPr>
          <w:sz w:val="20"/>
          <w:szCs w:val="20"/>
          <w:color w:val="auto"/>
        </w:rPr>
        <w:tab/>
      </w:r>
      <w:r>
        <w:rPr>
          <w:rFonts w:ascii="Arial" w:cs="Arial" w:eastAsia="Arial" w:hAnsi="Arial"/>
          <w:sz w:val="18"/>
          <w:szCs w:val="18"/>
          <w:b w:val="1"/>
          <w:bCs w:val="1"/>
          <w:i w:val="1"/>
          <w:iCs w:val="1"/>
          <w:color w:val="auto"/>
        </w:rPr>
        <w:t>Final Settlement Statement</w:t>
      </w:r>
      <w:r>
        <w:rPr>
          <w:rFonts w:ascii="Arial" w:cs="Arial" w:eastAsia="Arial" w:hAnsi="Arial"/>
          <w:sz w:val="18"/>
          <w:szCs w:val="18"/>
          <w:color w:val="auto"/>
        </w:rPr>
        <w:t>.</w:t>
      </w:r>
    </w:p>
    <w:p>
      <w:pPr>
        <w:spacing w:after="0" w:line="4" w:lineRule="exact"/>
        <w:rPr>
          <w:sz w:val="20"/>
          <w:szCs w:val="20"/>
          <w:color w:val="auto"/>
        </w:rPr>
      </w:pPr>
    </w:p>
    <w:p>
      <w:pPr>
        <w:jc w:val="both"/>
        <w:ind w:firstLine="1305"/>
        <w:spacing w:after="0" w:line="284" w:lineRule="auto"/>
        <w:tabs>
          <w:tab w:leader="none" w:pos="1810" w:val="left"/>
        </w:tabs>
        <w:numPr>
          <w:ilvl w:val="0"/>
          <w:numId w:val="29"/>
        </w:numPr>
        <w:rPr>
          <w:rFonts w:ascii="Arial" w:cs="Arial" w:eastAsia="Arial" w:hAnsi="Arial"/>
          <w:sz w:val="19"/>
          <w:szCs w:val="19"/>
          <w:color w:val="auto"/>
        </w:rPr>
      </w:pPr>
      <w:r>
        <w:rPr>
          <w:rFonts w:ascii="Arial" w:cs="Arial" w:eastAsia="Arial" w:hAnsi="Arial"/>
          <w:sz w:val="19"/>
          <w:szCs w:val="19"/>
          <w:color w:val="auto"/>
        </w:rPr>
        <w:t>On or before 120 days after Closing, a final settlement statement (the “</w:t>
      </w:r>
      <w:r>
        <w:rPr>
          <w:rFonts w:ascii="Arial" w:cs="Arial" w:eastAsia="Arial" w:hAnsi="Arial"/>
          <w:sz w:val="19"/>
          <w:szCs w:val="19"/>
          <w:b w:val="1"/>
          <w:bCs w:val="1"/>
          <w:i w:val="1"/>
          <w:iCs w:val="1"/>
          <w:color w:val="auto"/>
        </w:rPr>
        <w:t>Final Settlement Statement</w:t>
      </w:r>
      <w:r>
        <w:rPr>
          <w:rFonts w:ascii="Arial" w:cs="Arial" w:eastAsia="Arial" w:hAnsi="Arial"/>
          <w:sz w:val="19"/>
          <w:szCs w:val="19"/>
          <w:color w:val="auto"/>
        </w:rPr>
        <w:t>”) will be prepared by Sellers, based on actual income and expenses during the Interim Period and which takes into account all final adjustments made to the Purchase Price and shows the resulting final Purchase Price (the “</w:t>
      </w:r>
      <w:r>
        <w:rPr>
          <w:rFonts w:ascii="Arial" w:cs="Arial" w:eastAsia="Arial" w:hAnsi="Arial"/>
          <w:sz w:val="19"/>
          <w:szCs w:val="19"/>
          <w:b w:val="1"/>
          <w:bCs w:val="1"/>
          <w:i w:val="1"/>
          <w:iCs w:val="1"/>
          <w:color w:val="auto"/>
        </w:rPr>
        <w:t>Final Price</w:t>
      </w:r>
      <w:r>
        <w:rPr>
          <w:rFonts w:ascii="Arial" w:cs="Arial" w:eastAsia="Arial" w:hAnsi="Arial"/>
          <w:sz w:val="19"/>
          <w:szCs w:val="19"/>
          <w:color w:val="auto"/>
        </w:rPr>
        <w:t>”). The Final Settlement Statement shall set forth the actual proration of the amounts required by this Agreement. As soon as practicable, and in any event within 30 days, after receipt of the Final Settlement Statement, Buyer shall return to Sellers a written report containing any proposed changes to the Final Settlement Statement and an explanation of any such changes and the reasons therefor (the “</w:t>
      </w:r>
      <w:r>
        <w:rPr>
          <w:rFonts w:ascii="Arial" w:cs="Arial" w:eastAsia="Arial" w:hAnsi="Arial"/>
          <w:sz w:val="19"/>
          <w:szCs w:val="19"/>
          <w:b w:val="1"/>
          <w:bCs w:val="1"/>
          <w:i w:val="1"/>
          <w:iCs w:val="1"/>
          <w:color w:val="auto"/>
        </w:rPr>
        <w:t>Dispute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changes not so specified in the Dispute Notice shall be deemed waived, and Sellers’ determinations with respect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all such elements of the Final Settlement Statement that are not addressed specifically in the Dispute Notice shall prevail. If Buyer fails to timely deliver a Dispute Notice to Sellers containing changes Buyer proposes to be made to the Final Settlement Statement, the Final Settlement Statement as delivered by Sellers will be deemed to be correct and will be final and binding on the Parties and not subject to further audit or arbitration. Subject to </w:t>
      </w:r>
      <w:r>
        <w:rPr>
          <w:rFonts w:ascii="Arial" w:cs="Arial" w:eastAsia="Arial" w:hAnsi="Arial"/>
          <w:sz w:val="19"/>
          <w:szCs w:val="19"/>
          <w:u w:val="single" w:color="auto"/>
          <w:color w:val="auto"/>
        </w:rPr>
        <w:t>Section 3.6(b)</w:t>
      </w:r>
      <w:r>
        <w:rPr>
          <w:rFonts w:ascii="Arial" w:cs="Arial" w:eastAsia="Arial" w:hAnsi="Arial"/>
          <w:sz w:val="19"/>
          <w:szCs w:val="19"/>
          <w:color w:val="auto"/>
        </w:rPr>
        <w:t xml:space="preserve">, if the Final Price set forth in the Final Settlement Statement is mutually agreed upon by Sellers and Buyer, the Final Settlement Statement and the Final Price, shall be final and binding on the Parties. Any difference in the Adjusted Purchase Price as paid at Closing pursuant to the Preliminary Settlement Statement and the Final Price shall be paid by the owing Party within ten days of final determination of such owed amounts in accordance herewith to the owed Party. All amounts paid pursuant to this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shall be delivered in United States currency by wire transfer of immediately available funds to the account specified in writing by the relevant Party.</w:t>
      </w:r>
    </w:p>
    <w:p>
      <w:pPr>
        <w:spacing w:after="0" w:line="207" w:lineRule="exact"/>
        <w:rPr>
          <w:rFonts w:ascii="Arial" w:cs="Arial" w:eastAsia="Arial" w:hAnsi="Arial"/>
          <w:sz w:val="19"/>
          <w:szCs w:val="19"/>
          <w:color w:val="auto"/>
        </w:rPr>
      </w:pPr>
    </w:p>
    <w:p>
      <w:pPr>
        <w:jc w:val="both"/>
        <w:ind w:firstLine="1305"/>
        <w:spacing w:after="0" w:line="288" w:lineRule="auto"/>
        <w:tabs>
          <w:tab w:leader="none" w:pos="1846"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If after the delivery of the Final Settlement Statement pursuant to the provisions of </w:t>
      </w:r>
      <w:r>
        <w:rPr>
          <w:rFonts w:ascii="Arial" w:cs="Arial" w:eastAsia="Arial" w:hAnsi="Arial"/>
          <w:sz w:val="19"/>
          <w:szCs w:val="19"/>
          <w:u w:val="single" w:color="auto"/>
          <w:color w:val="auto"/>
        </w:rPr>
        <w:t>Section 3.6(a)</w:t>
      </w:r>
      <w:r>
        <w:rPr>
          <w:rFonts w:ascii="Arial" w:cs="Arial" w:eastAsia="Arial" w:hAnsi="Arial"/>
          <w:sz w:val="19"/>
          <w:szCs w:val="19"/>
          <w:color w:val="auto"/>
        </w:rPr>
        <w:t xml:space="preserve"> (i) either Party receives monies (including proceeds of production) belonging to the other Party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or otherwise, then such monies shall, within five Business Days after the end of the month in which they were received, be paid over by the receiving Party to the owed Party, (ii) either Party pays monies for Operating Expenses that are the obligation of the other Party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or otherwise, then the obligated Party shall, within five Business Days after the end of the month in which the applicable invoice and proof of payment of such invoice are received by it, reimburse the paying Party therefor, (iii) either Party receives an invoice of an expense or obligation that is owed by the other Party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or otherwise, then the receiving Party shall promptly forward such invoice to the obligated Party and (iv) if an invoice of an expense or other obligation is received by either Party and is the obligation of both Parties, then the Parties shall consult with each other and shall each promptly pay its portion of such invoice to the obligee. Each Party shall be permitted to offset any monies owed by it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other Party pursuant to this </w:t>
      </w:r>
      <w:r>
        <w:rPr>
          <w:rFonts w:ascii="Arial" w:cs="Arial" w:eastAsia="Arial" w:hAnsi="Arial"/>
          <w:sz w:val="22"/>
          <w:szCs w:val="22"/>
          <w:u w:val="single" w:color="auto"/>
          <w:color w:val="auto"/>
        </w:rPr>
        <w:t>Section 3.6</w:t>
      </w:r>
      <w:r>
        <w:rPr>
          <w:rFonts w:ascii="Arial" w:cs="Arial" w:eastAsia="Arial" w:hAnsi="Arial"/>
          <w:sz w:val="22"/>
          <w:szCs w:val="22"/>
          <w:color w:val="auto"/>
        </w:rPr>
        <w:t xml:space="preserve"> against amounts owing by it to such other Party pursuant to this </w:t>
      </w:r>
      <w:r>
        <w:rPr>
          <w:rFonts w:ascii="Arial" w:cs="Arial" w:eastAsia="Arial" w:hAnsi="Arial"/>
          <w:sz w:val="22"/>
          <w:szCs w:val="22"/>
          <w:u w:val="single" w:color="auto"/>
          <w:color w:val="auto"/>
        </w:rPr>
        <w:t>Section 3.6</w:t>
      </w:r>
      <w:r>
        <w:rPr>
          <w:rFonts w:ascii="Arial" w:cs="Arial" w:eastAsia="Arial" w:hAnsi="Arial"/>
          <w:sz w:val="22"/>
          <w:szCs w:val="22"/>
          <w:color w:val="auto"/>
        </w:rPr>
        <w:t>.</w:t>
      </w:r>
    </w:p>
    <w:p>
      <w:pPr>
        <w:spacing w:after="0" w:line="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3.7 Disputes. </w:t>
      </w:r>
      <w:r>
        <w:rPr>
          <w:rFonts w:ascii="Arial" w:cs="Arial" w:eastAsia="Arial" w:hAnsi="Arial"/>
          <w:sz w:val="19"/>
          <w:szCs w:val="19"/>
          <w:color w:val="auto"/>
        </w:rPr>
        <w:t>If Sellers and Buyer are unable to resolve the matters addressed in the Dispute Notice, each of Buyer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Sellers shall within ten Business Days after the delivery of such Dispute Notice, summarize its position with regard to such dispute in a written document of 20 pages or less and submit such summaries to such Person as the Parties may mutually select (the “</w:t>
      </w:r>
      <w:r>
        <w:rPr>
          <w:rFonts w:ascii="Arial" w:cs="Arial" w:eastAsia="Arial" w:hAnsi="Arial"/>
          <w:sz w:val="19"/>
          <w:szCs w:val="19"/>
          <w:b w:val="1"/>
          <w:bCs w:val="1"/>
          <w:i w:val="1"/>
          <w:iCs w:val="1"/>
          <w:color w:val="auto"/>
        </w:rPr>
        <w:t>Accounting Arbitrator</w:t>
      </w:r>
      <w:r>
        <w:rPr>
          <w:rFonts w:ascii="Arial" w:cs="Arial" w:eastAsia="Arial" w:hAnsi="Arial"/>
          <w:sz w:val="19"/>
          <w:szCs w:val="19"/>
          <w:color w:val="auto"/>
        </w:rPr>
        <w:t>”), together with the Dispute Notice, the Final Settlement Statement and any other documentation such Party may desire to submit. Within ten Business Days after receiving the Parties’ respective submissions, the Accounting Arbitrator shall render a decision choosing either Sellers’ position or Buyer’s position with respect to each matter addressed in any Dispute Notice, based on the materials described above. Any decision rendered by the Accounting Arbitrator pursuant hereto shall be final, conclusive and binding on Sellers and Buyer and enforceable against any of the Parties in any court of competent jurisdiction. The costs of such Accounting Arbitrators shall be borne one-half by Buyer and one-half by Sellers.</w:t>
      </w:r>
    </w:p>
    <w:p>
      <w:pPr>
        <w:spacing w:after="0" w:line="19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b w:val="1"/>
          <w:bCs w:val="1"/>
          <w:i w:val="1"/>
          <w:iCs w:val="1"/>
          <w:color w:val="auto"/>
        </w:rPr>
        <w:t>3.8 Allocation of Purchase Price; Allocated Values</w:t>
      </w:r>
      <w:r>
        <w:rPr>
          <w:rFonts w:ascii="Arial" w:cs="Arial" w:eastAsia="Arial" w:hAnsi="Arial"/>
          <w:sz w:val="19"/>
          <w:szCs w:val="19"/>
          <w:color w:val="auto"/>
        </w:rPr>
        <w:t>. Solely for the purposes of</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Article XI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Article XII</w:t>
      </w:r>
      <w:r>
        <w:rPr>
          <w:rFonts w:ascii="Arial" w:cs="Arial" w:eastAsia="Arial" w:hAnsi="Arial"/>
          <w:sz w:val="19"/>
          <w:szCs w:val="19"/>
          <w:color w:val="auto"/>
        </w:rPr>
        <w:t>, Buyer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Sellers agree that the Purchase Price shall be allocated among the Assets as set forth on </w:t>
      </w:r>
      <w:r>
        <w:rPr>
          <w:rFonts w:ascii="Arial" w:cs="Arial" w:eastAsia="Arial" w:hAnsi="Arial"/>
          <w:sz w:val="19"/>
          <w:szCs w:val="19"/>
          <w:u w:val="single" w:color="auto"/>
          <w:color w:val="auto"/>
        </w:rPr>
        <w:t>Schedule 3.8</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Allocated Values</w:t>
      </w:r>
      <w:r>
        <w:rPr>
          <w:rFonts w:ascii="Arial" w:cs="Arial" w:eastAsia="Arial" w:hAnsi="Arial"/>
          <w:sz w:val="19"/>
          <w:szCs w:val="19"/>
          <w:color w:val="auto"/>
        </w:rPr>
        <w:t>”).</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3.9 Allocation for Imbalances at Closing</w:t>
      </w:r>
      <w:r>
        <w:rPr>
          <w:rFonts w:ascii="Arial" w:cs="Arial" w:eastAsia="Arial" w:hAnsi="Arial"/>
          <w:sz w:val="22"/>
          <w:szCs w:val="22"/>
          <w:color w:val="auto"/>
        </w:rPr>
        <w:t>. If, prior to Closing, any Party discovers an error in the Imbalances set forth on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4.12</w:t>
      </w:r>
      <w:r>
        <w:rPr>
          <w:rFonts w:ascii="Arial" w:cs="Arial" w:eastAsia="Arial" w:hAnsi="Arial"/>
          <w:sz w:val="22"/>
          <w:szCs w:val="22"/>
          <w:color w:val="auto"/>
        </w:rPr>
        <w:t xml:space="preserve">, then the Purchase Price shall be further adjusted at Closing pursuant to </w:t>
      </w:r>
      <w:r>
        <w:rPr>
          <w:rFonts w:ascii="Arial" w:cs="Arial" w:eastAsia="Arial" w:hAnsi="Arial"/>
          <w:sz w:val="22"/>
          <w:szCs w:val="22"/>
          <w:u w:val="single" w:color="auto"/>
          <w:color w:val="auto"/>
        </w:rPr>
        <w:t>Section 3.3(a)(v)</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3.3(a)(vi)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3.3(b)(vi)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3.3(b)(vii)</w:t>
      </w:r>
      <w:r>
        <w:rPr>
          <w:rFonts w:ascii="Arial" w:cs="Arial" w:eastAsia="Arial" w:hAnsi="Arial"/>
          <w:sz w:val="22"/>
          <w:szCs w:val="22"/>
          <w:color w:val="auto"/>
        </w:rPr>
        <w:t xml:space="preserve">, as applicable, and </w:t>
      </w:r>
      <w:r>
        <w:rPr>
          <w:rFonts w:ascii="Arial" w:cs="Arial" w:eastAsia="Arial" w:hAnsi="Arial"/>
          <w:sz w:val="22"/>
          <w:szCs w:val="22"/>
          <w:u w:val="single" w:color="auto"/>
          <w:color w:val="auto"/>
        </w:rPr>
        <w:t>Schedule 4.12</w:t>
      </w:r>
      <w:r>
        <w:rPr>
          <w:rFonts w:ascii="Arial" w:cs="Arial" w:eastAsia="Arial" w:hAnsi="Arial"/>
          <w:sz w:val="22"/>
          <w:szCs w:val="22"/>
          <w:color w:val="auto"/>
        </w:rPr>
        <w:t xml:space="preserve"> will be deemed amended immediately prior to Closing to reflect the Imbalances for which the Purchase Price is so adjusted.</w:t>
      </w:r>
    </w:p>
    <w:p>
      <w:pPr>
        <w:spacing w:after="0" w:line="22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i w:val="1"/>
          <w:iCs w:val="1"/>
          <w:color w:val="auto"/>
        </w:rPr>
        <w:t>3.10</w:t>
      </w:r>
      <w:r>
        <w:rPr>
          <w:sz w:val="20"/>
          <w:szCs w:val="20"/>
          <w:color w:val="auto"/>
        </w:rPr>
        <w:tab/>
      </w:r>
      <w:r>
        <w:rPr>
          <w:rFonts w:ascii="Arial" w:cs="Arial" w:eastAsia="Arial" w:hAnsi="Arial"/>
          <w:sz w:val="19"/>
          <w:szCs w:val="19"/>
          <w:b w:val="1"/>
          <w:bCs w:val="1"/>
          <w:i w:val="1"/>
          <w:iCs w:val="1"/>
          <w:color w:val="auto"/>
        </w:rPr>
        <w:t>Holdback Amount</w:t>
      </w:r>
      <w:r>
        <w:rPr>
          <w:rFonts w:ascii="Arial" w:cs="Arial" w:eastAsia="Arial" w:hAnsi="Arial"/>
          <w:sz w:val="19"/>
          <w:szCs w:val="19"/>
          <w:color w:val="auto"/>
        </w:rPr>
        <w:t>.</w:t>
      </w:r>
    </w:p>
    <w:p>
      <w:pPr>
        <w:spacing w:after="0" w:line="22" w:lineRule="exact"/>
        <w:rPr>
          <w:sz w:val="20"/>
          <w:szCs w:val="20"/>
          <w:color w:val="auto"/>
        </w:rPr>
      </w:pPr>
    </w:p>
    <w:p>
      <w:pPr>
        <w:jc w:val="both"/>
        <w:ind w:firstLine="1305"/>
        <w:spacing w:after="0" w:line="257" w:lineRule="auto"/>
        <w:tabs>
          <w:tab w:leader="none" w:pos="1957" w:val="left"/>
        </w:tabs>
        <w:numPr>
          <w:ilvl w:val="0"/>
          <w:numId w:val="30"/>
        </w:numPr>
        <w:rPr>
          <w:rFonts w:ascii="Arial" w:cs="Arial" w:eastAsia="Arial" w:hAnsi="Arial"/>
          <w:sz w:val="21"/>
          <w:szCs w:val="21"/>
          <w:color w:val="auto"/>
        </w:rPr>
      </w:pPr>
      <w:r>
        <w:rPr>
          <w:rFonts w:ascii="Arial" w:cs="Arial" w:eastAsia="Arial" w:hAnsi="Arial"/>
          <w:sz w:val="21"/>
          <w:szCs w:val="21"/>
          <w:color w:val="auto"/>
        </w:rPr>
        <w:t>At Closing, in partial satisfaction of Buyer’s payment obligations under Section 3.1, the Deposit, but specifically excluding any interest or income earned thereon to the Closing, shall be retained by the Escrow Agent pursuant to the Escrow Agreement and from and after the Closing the Deposit and all interest or other amounts earned thereon after the Closing shall be the “</w:t>
      </w:r>
      <w:r>
        <w:rPr>
          <w:rFonts w:ascii="Arial" w:cs="Arial" w:eastAsia="Arial" w:hAnsi="Arial"/>
          <w:sz w:val="21"/>
          <w:szCs w:val="21"/>
          <w:b w:val="1"/>
          <w:bCs w:val="1"/>
          <w:i w:val="1"/>
          <w:iCs w:val="1"/>
          <w:color w:val="auto"/>
        </w:rPr>
        <w:t>Holdback Amount</w:t>
      </w:r>
      <w:r>
        <w:rPr>
          <w:rFonts w:ascii="Arial" w:cs="Arial" w:eastAsia="Arial" w:hAnsi="Arial"/>
          <w:sz w:val="21"/>
          <w:szCs w:val="21"/>
          <w:color w:val="auto"/>
        </w:rPr>
        <w:t xml:space="preserve">” for the purposes of this Agreement and the Escrow Agreement. The Holdback Amount shall be paid out in accordance with the provisions of this </w:t>
      </w:r>
      <w:r>
        <w:rPr>
          <w:rFonts w:ascii="Arial" w:cs="Arial" w:eastAsia="Arial" w:hAnsi="Arial"/>
          <w:sz w:val="21"/>
          <w:szCs w:val="21"/>
          <w:u w:val="single" w:color="auto"/>
          <w:color w:val="auto"/>
        </w:rPr>
        <w:t>Section 3.10</w:t>
      </w:r>
      <w:r>
        <w:rPr>
          <w:rFonts w:ascii="Arial" w:cs="Arial" w:eastAsia="Arial" w:hAnsi="Arial"/>
          <w:sz w:val="21"/>
          <w:szCs w:val="21"/>
          <w:color w:val="auto"/>
        </w:rPr>
        <w:t xml:space="preserve"> and the Escrow Agreement by way of security against all obligations of Sellers to defend and indemnify or otherwise pay any amounts owed by Sellers to Buyer and Buyer Indemnified Parties pursuant to Sellers’ payment, defense and indemnity obligations under </w:t>
      </w:r>
      <w:r>
        <w:rPr>
          <w:rFonts w:ascii="Arial" w:cs="Arial" w:eastAsia="Arial" w:hAnsi="Arial"/>
          <w:sz w:val="21"/>
          <w:szCs w:val="21"/>
          <w:u w:val="single" w:color="auto"/>
          <w:color w:val="auto"/>
        </w:rPr>
        <w:t>Section 13.2</w:t>
      </w:r>
      <w:r>
        <w:rPr>
          <w:rFonts w:ascii="Arial" w:cs="Arial" w:eastAsia="Arial" w:hAnsi="Arial"/>
          <w:sz w:val="21"/>
          <w:szCs w:val="21"/>
          <w:color w:val="auto"/>
        </w:rPr>
        <w:t xml:space="preserve"> and Sellers’ special warranty of title under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11.1(b)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jc w:val="both"/>
        <w:ind w:firstLine="1305"/>
        <w:spacing w:after="0" w:line="287" w:lineRule="auto"/>
        <w:tabs>
          <w:tab w:leader="none" w:pos="1815"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To the extent that Sellers do not promptly (and in any event within 10 Business Days after receipt of written notice from Buyer) reimburse or pay Buyer for any Liabilities for which Buyer is entitled to be indemnified or paid by Sellers pursuant to </w:t>
      </w:r>
      <w:r>
        <w:rPr>
          <w:rFonts w:ascii="Arial" w:cs="Arial" w:eastAsia="Arial" w:hAnsi="Arial"/>
          <w:sz w:val="19"/>
          <w:szCs w:val="19"/>
          <w:u w:val="single" w:color="auto"/>
          <w:color w:val="auto"/>
        </w:rPr>
        <w:t>Sections 11.1(b)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13.2</w:t>
      </w:r>
      <w:r>
        <w:rPr>
          <w:rFonts w:ascii="Arial" w:cs="Arial" w:eastAsia="Arial" w:hAnsi="Arial"/>
          <w:sz w:val="19"/>
          <w:szCs w:val="19"/>
          <w:color w:val="auto"/>
        </w:rPr>
        <w:t>, then Buyer shall be entitled, at any time and from time to time, to deliver to the Escrow Agent and Sellers one or more written notices (an “</w:t>
      </w:r>
      <w:r>
        <w:rPr>
          <w:rFonts w:ascii="Arial" w:cs="Arial" w:eastAsia="Arial" w:hAnsi="Arial"/>
          <w:sz w:val="19"/>
          <w:szCs w:val="19"/>
          <w:b w:val="1"/>
          <w:bCs w:val="1"/>
          <w:i w:val="1"/>
          <w:iCs w:val="1"/>
          <w:color w:val="auto"/>
        </w:rPr>
        <w:t>Escrow Claim Notice</w:t>
      </w:r>
      <w:r>
        <w:rPr>
          <w:rFonts w:ascii="Arial" w:cs="Arial" w:eastAsia="Arial" w:hAnsi="Arial"/>
          <w:sz w:val="19"/>
          <w:szCs w:val="19"/>
          <w:color w:val="auto"/>
        </w:rPr>
        <w:t>”) which notice shall specify with particularity the nature and Buyer’s good faith estimate of the amount of the claim (the “</w:t>
      </w:r>
      <w:r>
        <w:rPr>
          <w:rFonts w:ascii="Arial" w:cs="Arial" w:eastAsia="Arial" w:hAnsi="Arial"/>
          <w:sz w:val="19"/>
          <w:szCs w:val="19"/>
          <w:b w:val="1"/>
          <w:bCs w:val="1"/>
          <w:i w:val="1"/>
          <w:iCs w:val="1"/>
          <w:color w:val="auto"/>
        </w:rPr>
        <w:t>Escrow Claim</w:t>
      </w:r>
      <w:r>
        <w:rPr>
          <w:rFonts w:ascii="Arial" w:cs="Arial" w:eastAsia="Arial" w:hAnsi="Arial"/>
          <w:sz w:val="19"/>
          <w:szCs w:val="19"/>
          <w:color w:val="auto"/>
        </w:rPr>
        <w:t xml:space="preserve">”), including the provision of this Agreement entitling Buyer to such Escrow Claim. Upon Sellers’ and Buyer’s agreement on the amount and validity of such Escrow Claim, Sellers and Buyer shall jointly instruct the Escrow Agent to disburse to Buyer the amount set forth in such joint instructions, which will be that portion of the Holdback Amount being held in the Escrow Account as would satisfy such Escrow Claim. If Sellers and Buyer are unable to agree on the amount or validity of any such Escrow Claim, it shall be resolved in accordance with </w:t>
      </w:r>
      <w:r>
        <w:rPr>
          <w:rFonts w:ascii="Arial" w:cs="Arial" w:eastAsia="Arial" w:hAnsi="Arial"/>
          <w:sz w:val="19"/>
          <w:szCs w:val="19"/>
          <w:u w:val="single" w:color="auto"/>
          <w:color w:val="auto"/>
        </w:rPr>
        <w:t>Section 15.13</w:t>
      </w:r>
      <w:r>
        <w:rPr>
          <w:rFonts w:ascii="Arial" w:cs="Arial" w:eastAsia="Arial" w:hAnsi="Arial"/>
          <w:sz w:val="19"/>
          <w:szCs w:val="19"/>
          <w:color w:val="auto"/>
        </w:rPr>
        <w:t xml:space="preserve"> (except that with respect to Sellers’ indemnity obligations for Specified Obligations,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13.13</w:t>
      </w:r>
      <w:r>
        <w:rPr>
          <w:rFonts w:ascii="Arial" w:cs="Arial" w:eastAsia="Arial" w:hAnsi="Arial"/>
          <w:sz w:val="19"/>
          <w:szCs w:val="19"/>
          <w:color w:val="auto"/>
        </w:rPr>
        <w:t>) and if upon the resolution or determination of any such Escrow Claim, the Parties fail to deliver a joint written instruction to the Escrow Agent in accordance with the foregoing sentence, then the Escrow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69" w:name="page70"/>
    <w:bookmarkEnd w:id="69"/>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Agent shall pay the Escrow Claim to Buyer upon delivery by any Party to the Escrow Agent of a final and non-appealable written court order resolving such dispute and directing the payment of a specified amount to Buyer with respect to such Escrow Claim (except that with respect to Sellers’ indemnity obligations for Specified Obligations, a final and binding arbitral award issued by arbitrators in accordance with </w:t>
      </w:r>
      <w:r>
        <w:rPr>
          <w:rFonts w:ascii="Arial" w:cs="Arial" w:eastAsia="Arial" w:hAnsi="Arial"/>
          <w:sz w:val="19"/>
          <w:szCs w:val="19"/>
          <w:u w:val="single" w:color="auto"/>
          <w:color w:val="auto"/>
        </w:rPr>
        <w:t>Section 13.13</w:t>
      </w:r>
      <w:r>
        <w:rPr>
          <w:rFonts w:ascii="Arial" w:cs="Arial" w:eastAsia="Arial" w:hAnsi="Arial"/>
          <w:sz w:val="19"/>
          <w:szCs w:val="19"/>
          <w:color w:val="auto"/>
        </w:rPr>
        <w:t xml:space="preserve">). The Escrow Agent shall release to Sellers any portion of the Holdback Amount remaining in the Escrow Account on the first Business Day that is 273 days after the Closing Date, except for the aggregate amount of all outstanding Escrow Claims for which Buyer has, in good faith, provided an Escrow Claim Notice to Sellers and Escrow Agent in accordance with </w:t>
      </w:r>
      <w:r>
        <w:rPr>
          <w:rFonts w:ascii="Arial" w:cs="Arial" w:eastAsia="Arial" w:hAnsi="Arial"/>
          <w:sz w:val="19"/>
          <w:szCs w:val="19"/>
          <w:u w:val="single" w:color="auto"/>
          <w:color w:val="auto"/>
        </w:rPr>
        <w:t>Section 3.10(b)</w:t>
      </w:r>
      <w:r>
        <w:rPr>
          <w:rFonts w:ascii="Arial" w:cs="Arial" w:eastAsia="Arial" w:hAnsi="Arial"/>
          <w:sz w:val="19"/>
          <w:szCs w:val="19"/>
          <w:color w:val="auto"/>
        </w:rPr>
        <w:t xml:space="preserve"> that has not been previously satisfied (which monies shall remain part of the Holdback Amount until final resolution of such outstanding Escrow Claims). Upon the final resolution and payment of all Escrow Claim Notices delivered by Buyer during the Survival Period, Buyer and Sellers shall execute and deliver to the Escrow Agent written instruction to release any remaining Holdback Amount to Sellers.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SELLERS</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Subject to the matters specifically listed or disclosed in the Schedules (as added, supplemented or amended pursuant to </w:t>
      </w:r>
      <w:r>
        <w:rPr>
          <w:rFonts w:ascii="Arial" w:cs="Arial" w:eastAsia="Arial" w:hAnsi="Arial"/>
          <w:sz w:val="22"/>
          <w:szCs w:val="22"/>
          <w:u w:val="single" w:color="auto"/>
          <w:color w:val="auto"/>
        </w:rPr>
        <w:t>Section 6.6</w:t>
      </w:r>
      <w:r>
        <w:rPr>
          <w:rFonts w:ascii="Arial" w:cs="Arial" w:eastAsia="Arial" w:hAnsi="Arial"/>
          <w:sz w:val="22"/>
          <w:szCs w:val="22"/>
          <w:color w:val="auto"/>
        </w:rPr>
        <w:t>), each Seller jointly and severally with each other Seller represents and warrants to Buyer, as of the Execution Date and as of the Closing Date, the following:</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 xml:space="preserve">4.1 Organization, Existence and Qualification. </w:t>
      </w:r>
      <w:r>
        <w:rPr>
          <w:rFonts w:ascii="Arial" w:cs="Arial" w:eastAsia="Arial" w:hAnsi="Arial"/>
          <w:sz w:val="19"/>
          <w:szCs w:val="19"/>
          <w:color w:val="auto"/>
        </w:rPr>
        <w:t>Each Seller is a limited partnership duly formed and validly existing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the Laws of the state of its formation. Each Seller has all requisite power and authority to own and operate its property (including its interests in the Assets) and to carry on its business as now conducted. Each Seller is duly licensed or qualified to do business as a foreign limited partnership in all jurisdictions in which it carries on business or owns assets and such qualification is required by Law, except where the failure to be so qualified would not have a material adverse effect.</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i w:val="1"/>
          <w:iCs w:val="1"/>
          <w:color w:val="auto"/>
        </w:rPr>
        <w:t>4.2 Authority, Approval and Enforceability</w:t>
      </w:r>
      <w:r>
        <w:rPr>
          <w:rFonts w:ascii="Arial" w:cs="Arial" w:eastAsia="Arial" w:hAnsi="Arial"/>
          <w:sz w:val="19"/>
          <w:szCs w:val="19"/>
          <w:color w:val="auto"/>
        </w:rPr>
        <w:t>. Each Seller has full power and authority to enter into and perform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the Transaction Documents to which it is a party and the transactions contemplated herein and therein. The execution, delivery and performance by each Seller of this Agreement have been duly and validly authorized and approved by all necessary limited partnership action on the part of each Seller. Assuming the due authorization, execution and delivery by the other parties to such documents, this Agreement is, and the Transaction Documents to which each Seller is a party when executed and delivered by such Seller will be, the valid and binding obligations of such Seller and enforceable against such Seller in accordance with their respective terms, subject to the effects of bankruptcy, insolvency, reorganization, moratorium and similar Laws, as well as to principles of equity (regardless of whether such enforceability is considered in a proceeding in equity or at law).</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i w:val="1"/>
          <w:iCs w:val="1"/>
          <w:color w:val="auto"/>
        </w:rPr>
        <w:t>4.3 No Conflicts</w:t>
      </w:r>
      <w:r>
        <w:rPr>
          <w:rFonts w:ascii="Arial" w:cs="Arial" w:eastAsia="Arial" w:hAnsi="Arial"/>
          <w:sz w:val="21"/>
          <w:szCs w:val="21"/>
          <w:color w:val="auto"/>
        </w:rPr>
        <w:t>. Assuming the receipt of all Consents, the execution, delivery and performance by each Seller of this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Agreement and the consummation of the transactions contemplated herein will not (a) conflict with or result in a breach of any provisions of the organizational documents of such Seller, (b) except for Permitted Encumbrances, result in a default or the creation of any Encumbrance or give rise to any right of termination, cancellation or acceleration under any of the terms, conditions or provisions of any note, bond, mortgage, indenture, license or other Applicable Contract to which such Seller is a party or by which such Seller or the Assets may be bound or (c) violate any Law applicable to such Seller or any of the Assets, except in the case of clauses (b) and (c) where such default, Encumbrance, termination, cancellation, acceleration or violation would not have a material effect upon the ability of such Seller to consummate the transactions contemplated by this Agreement or perform its obligations hereunder.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70" w:name="page71"/>
    <w:bookmarkEnd w:id="70"/>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i w:val="1"/>
          <w:iCs w:val="1"/>
          <w:color w:val="auto"/>
        </w:rPr>
        <w:t>4.4 Consents</w:t>
      </w:r>
      <w:r>
        <w:rPr>
          <w:rFonts w:ascii="Arial" w:cs="Arial" w:eastAsia="Arial" w:hAnsi="Arial"/>
          <w:sz w:val="22"/>
          <w:szCs w:val="22"/>
          <w:color w:val="auto"/>
        </w:rPr>
        <w:t>. Except (a) as set forth on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4.4</w:t>
      </w:r>
      <w:r>
        <w:rPr>
          <w:rFonts w:ascii="Arial" w:cs="Arial" w:eastAsia="Arial" w:hAnsi="Arial"/>
          <w:sz w:val="22"/>
          <w:szCs w:val="22"/>
          <w:color w:val="auto"/>
        </w:rPr>
        <w:t>, (b) for Customary Post-Closing Consents and (c) under Contracts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are terminable upon not greater than 60 days’ notice without payment of any fee, there are no restrictions on assignment, including requirements for consents from Third Parties to any assignment (in each case), that a Seller is required to obtain in connection with the transfer of its Assets to Buyer or the consummation of the transactions contemplated by this Agreement by such Seller (each, a “</w:t>
      </w:r>
      <w:r>
        <w:rPr>
          <w:rFonts w:ascii="Arial" w:cs="Arial" w:eastAsia="Arial" w:hAnsi="Arial"/>
          <w:sz w:val="22"/>
          <w:szCs w:val="22"/>
          <w:b w:val="1"/>
          <w:bCs w:val="1"/>
          <w:i w:val="1"/>
          <w:iCs w:val="1"/>
          <w:color w:val="auto"/>
        </w:rPr>
        <w:t>Consent</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4.5 Bankruptcy</w:t>
      </w:r>
      <w:r>
        <w:rPr>
          <w:rFonts w:ascii="Arial" w:cs="Arial" w:eastAsia="Arial" w:hAnsi="Arial"/>
          <w:sz w:val="22"/>
          <w:szCs w:val="22"/>
          <w:color w:val="auto"/>
        </w:rPr>
        <w:t>. There are no bankruptcy, reorganization or receivership proceedings pending, being contemplated by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such Seller’s Knowledge, threatened in writing against such Seller.</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4.6 Litigation</w:t>
      </w:r>
      <w:r>
        <w:rPr>
          <w:rFonts w:ascii="Arial" w:cs="Arial" w:eastAsia="Arial" w:hAnsi="Arial"/>
          <w:sz w:val="22"/>
          <w:szCs w:val="22"/>
          <w:color w:val="auto"/>
        </w:rPr>
        <w:t>. Except as set forth on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4.6</w:t>
      </w:r>
      <w:r>
        <w:rPr>
          <w:rFonts w:ascii="Arial" w:cs="Arial" w:eastAsia="Arial" w:hAnsi="Arial"/>
          <w:sz w:val="22"/>
          <w:szCs w:val="22"/>
          <w:color w:val="auto"/>
        </w:rPr>
        <w:t>, as of the date of this Agreement, there is no suit, action or litigation by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Third Party before any Governmental Authority, and no legal, administrative or arbitration proceeding, in each case, pending or, to Sellers’ Knowledge, threatened in writing against Sellers or the Assets. Sellers are not in material default under any order, writ, injunction or decree of any Governmental Authority</w:t>
      </w:r>
    </w:p>
    <w:p>
      <w:pPr>
        <w:spacing w:after="0" w:line="22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i w:val="1"/>
          <w:iCs w:val="1"/>
          <w:color w:val="auto"/>
        </w:rPr>
        <w:t>4.7</w:t>
      </w:r>
      <w:r>
        <w:rPr>
          <w:sz w:val="20"/>
          <w:szCs w:val="20"/>
          <w:color w:val="auto"/>
        </w:rPr>
        <w:tab/>
      </w:r>
      <w:r>
        <w:rPr>
          <w:rFonts w:ascii="Arial" w:cs="Arial" w:eastAsia="Arial" w:hAnsi="Arial"/>
          <w:sz w:val="19"/>
          <w:szCs w:val="19"/>
          <w:b w:val="1"/>
          <w:bCs w:val="1"/>
          <w:i w:val="1"/>
          <w:iCs w:val="1"/>
          <w:color w:val="auto"/>
        </w:rPr>
        <w:t>Material Contracts</w:t>
      </w:r>
      <w:r>
        <w:rPr>
          <w:rFonts w:ascii="Arial" w:cs="Arial" w:eastAsia="Arial" w:hAnsi="Arial"/>
          <w:sz w:val="19"/>
          <w:szCs w:val="19"/>
          <w:color w:val="auto"/>
        </w:rPr>
        <w:t>.</w:t>
      </w:r>
    </w:p>
    <w:p>
      <w:pPr>
        <w:spacing w:after="0" w:line="260" w:lineRule="exact"/>
        <w:rPr>
          <w:sz w:val="20"/>
          <w:szCs w:val="20"/>
          <w:color w:val="auto"/>
        </w:rPr>
      </w:pPr>
    </w:p>
    <w:p>
      <w:pPr>
        <w:ind w:firstLine="1305"/>
        <w:spacing w:after="0" w:line="263" w:lineRule="auto"/>
        <w:tabs>
          <w:tab w:leader="none" w:pos="1906"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Except for Contracts entered into in accordance with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4.7</w:t>
      </w:r>
      <w:r>
        <w:rPr>
          <w:rFonts w:ascii="Arial" w:cs="Arial" w:eastAsia="Arial" w:hAnsi="Arial"/>
          <w:sz w:val="22"/>
          <w:szCs w:val="22"/>
          <w:color w:val="auto"/>
        </w:rPr>
        <w:t xml:space="preserve"> sets forth all Applicable Contracts of the type described below (collectively, the “</w:t>
      </w:r>
      <w:r>
        <w:rPr>
          <w:rFonts w:ascii="Arial" w:cs="Arial" w:eastAsia="Arial" w:hAnsi="Arial"/>
          <w:sz w:val="22"/>
          <w:szCs w:val="22"/>
          <w:b w:val="1"/>
          <w:bCs w:val="1"/>
          <w:i w:val="1"/>
          <w:iCs w:val="1"/>
          <w:color w:val="auto"/>
        </w:rPr>
        <w:t>Material Contracts</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firstLine="1953"/>
        <w:spacing w:after="0" w:line="249" w:lineRule="auto"/>
        <w:tabs>
          <w:tab w:leader="none" w:pos="2385"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Applicable Contract that can reasonably be expected to result in aggregate payments by such Seller of more than $100,000 during the current or any subsequent calendar year (based solely on the terms thereof and current volumes, without regard to any expected increase in volumes or revenues);</w:t>
      </w:r>
    </w:p>
    <w:p>
      <w:pPr>
        <w:jc w:val="both"/>
        <w:ind w:firstLine="1953"/>
        <w:spacing w:after="0" w:line="245" w:lineRule="auto"/>
        <w:tabs>
          <w:tab w:leader="none" w:pos="2456"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Applicable Contract that can reasonably be expected to result in aggregate revenues to such Seller of more than $100,000 during the current or any subsequent calendar year (based solely on the terms thereof and current volumes, without regard to any expected increase in volumes or revenues);</w:t>
      </w:r>
    </w:p>
    <w:p>
      <w:pPr>
        <w:spacing w:after="0" w:line="233" w:lineRule="exact"/>
        <w:rPr>
          <w:rFonts w:ascii="Arial" w:cs="Arial" w:eastAsia="Arial" w:hAnsi="Arial"/>
          <w:sz w:val="22"/>
          <w:szCs w:val="22"/>
          <w:color w:val="auto"/>
        </w:rPr>
      </w:pPr>
    </w:p>
    <w:p>
      <w:pPr>
        <w:ind w:firstLine="1953"/>
        <w:spacing w:after="0" w:line="263" w:lineRule="auto"/>
        <w:tabs>
          <w:tab w:leader="none" w:pos="2542"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Hydrocarbon purchase and sale, transportation, processing or similar Applicable Contract that is not terminable without penalty upon 60 days’ or less notice;</w:t>
      </w:r>
    </w:p>
    <w:p>
      <w:pPr>
        <w:spacing w:after="0" w:line="215" w:lineRule="exact"/>
        <w:rPr>
          <w:rFonts w:ascii="Arial" w:cs="Arial" w:eastAsia="Arial" w:hAnsi="Arial"/>
          <w:sz w:val="22"/>
          <w:szCs w:val="22"/>
          <w:color w:val="auto"/>
        </w:rPr>
      </w:pPr>
    </w:p>
    <w:p>
      <w:pPr>
        <w:ind w:firstLine="1953"/>
        <w:spacing w:after="0" w:line="263" w:lineRule="auto"/>
        <w:tabs>
          <w:tab w:leader="none" w:pos="2527"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indenture, mortgage, loan, or similar Applicable Contract, a Seller’s obligations under which are secured by a lien or mortgage on any of the Assets;</w:t>
      </w:r>
    </w:p>
    <w:p>
      <w:pPr>
        <w:spacing w:after="0" w:line="215" w:lineRule="exact"/>
        <w:rPr>
          <w:rFonts w:ascii="Arial" w:cs="Arial" w:eastAsia="Arial" w:hAnsi="Arial"/>
          <w:sz w:val="22"/>
          <w:szCs w:val="22"/>
          <w:color w:val="auto"/>
        </w:rPr>
      </w:pPr>
    </w:p>
    <w:p>
      <w:pPr>
        <w:jc w:val="both"/>
        <w:ind w:firstLine="1953"/>
        <w:spacing w:after="0" w:line="253" w:lineRule="auto"/>
        <w:tabs>
          <w:tab w:leader="none" w:pos="2457"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Applicable Contract that constitutes a lease under which a Seller is the lessor or the lessee of real property (other than any Lease) or Personal Property which lease (A) cannot be terminated by such Seller without penalty upon 60 days’ or less notice and (B) involves an annual base rental of more than $100,000;</w:t>
      </w:r>
    </w:p>
    <w:p>
      <w:pPr>
        <w:spacing w:after="0" w:line="226" w:lineRule="exact"/>
        <w:rPr>
          <w:rFonts w:ascii="Arial" w:cs="Arial" w:eastAsia="Arial" w:hAnsi="Arial"/>
          <w:sz w:val="22"/>
          <w:szCs w:val="22"/>
          <w:color w:val="auto"/>
        </w:rPr>
      </w:pPr>
    </w:p>
    <w:p>
      <w:pPr>
        <w:jc w:val="both"/>
        <w:ind w:firstLine="1953"/>
        <w:spacing w:after="0" w:line="253" w:lineRule="auto"/>
        <w:tabs>
          <w:tab w:leader="none" w:pos="2523"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farmout agreement, farmin agreement, area of mutual interest agreement, exploration agreement, development agreement, participation agreement, joint operating agreement, pooling agreement, pooling declaration, unit agreement or similar Applicable Contract; and</w:t>
      </w:r>
    </w:p>
    <w:p>
      <w:pPr>
        <w:spacing w:after="0" w:line="226" w:lineRule="exact"/>
        <w:rPr>
          <w:rFonts w:ascii="Arial" w:cs="Arial" w:eastAsia="Arial" w:hAnsi="Arial"/>
          <w:sz w:val="22"/>
          <w:szCs w:val="22"/>
          <w:color w:val="auto"/>
        </w:rPr>
      </w:pPr>
    </w:p>
    <w:p>
      <w:pPr>
        <w:ind w:left="2620" w:hanging="667"/>
        <w:spacing w:after="0"/>
        <w:tabs>
          <w:tab w:leader="none" w:pos="26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any Applicable Contract between any Seller and any Affiliate of Sellers that will not be terminated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prior to Closing.</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jc w:val="both"/>
        <w:ind w:firstLine="1305"/>
        <w:spacing w:after="0" w:line="250" w:lineRule="auto"/>
        <w:tabs>
          <w:tab w:leader="none" w:pos="1771"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4.7</w:t>
      </w:r>
      <w:r>
        <w:rPr>
          <w:rFonts w:ascii="Arial" w:cs="Arial" w:eastAsia="Arial" w:hAnsi="Arial"/>
          <w:sz w:val="22"/>
          <w:szCs w:val="22"/>
          <w:color w:val="auto"/>
        </w:rPr>
        <w:t>, there exists no default under any Material Contract by any Seller or, to any Seller’s Knowledge, by any other Person that is a party to such Material Contract, and no event has occurred that with notice or lapse of time or both would constitute any default under any such Contract by Seller or, to such Seller’s Knowledge, any other Person who is a party to such Material Contract.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b w:val="1"/>
          <w:bCs w:val="1"/>
          <w:i w:val="1"/>
          <w:iCs w:val="1"/>
          <w:color w:val="auto"/>
        </w:rPr>
        <w:t xml:space="preserve">4.8 Gathering and Transportation. </w:t>
      </w:r>
      <w:r>
        <w:rPr>
          <w:rFonts w:ascii="Arial" w:cs="Arial" w:eastAsia="Arial" w:hAnsi="Arial"/>
          <w:sz w:val="21"/>
          <w:szCs w:val="21"/>
          <w:color w:val="auto"/>
        </w:rPr>
        <w:t>Except as set forth on</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Schedule 4.8</w:t>
      </w:r>
      <w:r>
        <w:rPr>
          <w:rFonts w:ascii="Arial" w:cs="Arial" w:eastAsia="Arial" w:hAnsi="Arial"/>
          <w:sz w:val="21"/>
          <w:szCs w:val="21"/>
          <w:color w:val="auto"/>
        </w:rPr>
        <w:t>, all Contracts and arrangements for the gathering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 transportation of Hydrocarbons produced from the Assets are terminable upon 30 days’ or less notice.</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i w:val="1"/>
          <w:iCs w:val="1"/>
          <w:color w:val="auto"/>
        </w:rPr>
        <w:t>4.9 Compliance with Law</w:t>
      </w:r>
      <w:r>
        <w:rPr>
          <w:rFonts w:ascii="Arial" w:cs="Arial" w:eastAsia="Arial" w:hAnsi="Arial"/>
          <w:sz w:val="22"/>
          <w:szCs w:val="22"/>
          <w:color w:val="auto"/>
        </w:rPr>
        <w:t>. Except as described on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4.9</w:t>
      </w:r>
      <w:r>
        <w:rPr>
          <w:rFonts w:ascii="Arial" w:cs="Arial" w:eastAsia="Arial" w:hAnsi="Arial"/>
          <w:sz w:val="22"/>
          <w:szCs w:val="22"/>
          <w:color w:val="auto"/>
        </w:rPr>
        <w:t>, the Assets are and have been operated by Sellers and,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Sellers’ Knowledge, by such Seller’s predecessor in interest in compliance in all material respects with all Laws (excluding Environmental Laws). Except as described on </w:t>
      </w:r>
      <w:r>
        <w:rPr>
          <w:rFonts w:ascii="Arial" w:cs="Arial" w:eastAsia="Arial" w:hAnsi="Arial"/>
          <w:sz w:val="22"/>
          <w:szCs w:val="22"/>
          <w:u w:val="single" w:color="auto"/>
          <w:color w:val="auto"/>
        </w:rPr>
        <w:t>Schedule 4.9</w:t>
      </w:r>
      <w:r>
        <w:rPr>
          <w:rFonts w:ascii="Arial" w:cs="Arial" w:eastAsia="Arial" w:hAnsi="Arial"/>
          <w:sz w:val="22"/>
          <w:szCs w:val="22"/>
          <w:color w:val="auto"/>
        </w:rPr>
        <w:t xml:space="preserve">, no Seller has received any written notice of a violation of any statute, law, ordinance, regulation, rule, order, writ, injunction or decree of any foreign, federal, state or local government or any other governmental department or agency, or any judgment, decree, order, writ or injunction of any court, applicable to the Assets. For the avoidance of doubt, this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does not include any matters with respect to Environmental Laws, which shall be exclusively addressed in </w:t>
      </w:r>
      <w:r>
        <w:rPr>
          <w:rFonts w:ascii="Arial" w:cs="Arial" w:eastAsia="Arial" w:hAnsi="Arial"/>
          <w:sz w:val="22"/>
          <w:szCs w:val="22"/>
          <w:u w:val="single" w:color="auto"/>
          <w:color w:val="auto"/>
        </w:rPr>
        <w:t>Section 4.15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2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i w:val="1"/>
          <w:iCs w:val="1"/>
          <w:color w:val="auto"/>
        </w:rPr>
        <w:t xml:space="preserve">4.10 Preferential Purchase Rights. </w:t>
      </w:r>
      <w:r>
        <w:rPr>
          <w:rFonts w:ascii="Arial" w:cs="Arial" w:eastAsia="Arial" w:hAnsi="Arial"/>
          <w:sz w:val="22"/>
          <w:szCs w:val="22"/>
          <w:color w:val="auto"/>
        </w:rPr>
        <w:t>There are no preferential purchase rights, rights of first refusal or other similar rights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are applicable to the transfer of the Assets in connection with the transactions contemplated hereby (each a “</w:t>
      </w:r>
      <w:r>
        <w:rPr>
          <w:rFonts w:ascii="Arial" w:cs="Arial" w:eastAsia="Arial" w:hAnsi="Arial"/>
          <w:sz w:val="22"/>
          <w:szCs w:val="22"/>
          <w:b w:val="1"/>
          <w:bCs w:val="1"/>
          <w:i w:val="1"/>
          <w:iCs w:val="1"/>
          <w:color w:val="auto"/>
        </w:rPr>
        <w:t>Preferential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Purchase Right</w:t>
      </w:r>
      <w:r>
        <w:rPr>
          <w:rFonts w:ascii="Arial" w:cs="Arial" w:eastAsia="Arial" w:hAnsi="Arial"/>
          <w:sz w:val="22"/>
          <w:szCs w:val="22"/>
          <w:color w:val="auto"/>
        </w:rPr>
        <w:t>”).</w:t>
      </w:r>
    </w:p>
    <w:p>
      <w:pPr>
        <w:spacing w:after="0" w:line="2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i w:val="1"/>
          <w:iCs w:val="1"/>
          <w:color w:val="auto"/>
        </w:rPr>
        <w:t xml:space="preserve">4.11 Royalties, Etc. </w:t>
      </w:r>
      <w:r>
        <w:rPr>
          <w:rFonts w:ascii="Arial" w:cs="Arial" w:eastAsia="Arial" w:hAnsi="Arial"/>
          <w:sz w:val="22"/>
          <w:szCs w:val="22"/>
          <w:color w:val="auto"/>
        </w:rPr>
        <w:t>Except for those items that are being held in suspense for which the Purchase Price is adjusted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3.3(b)(viii)</w:t>
      </w:r>
      <w:r>
        <w:rPr>
          <w:rFonts w:ascii="Arial" w:cs="Arial" w:eastAsia="Arial" w:hAnsi="Arial"/>
          <w:sz w:val="22"/>
          <w:szCs w:val="22"/>
          <w:color w:val="auto"/>
        </w:rPr>
        <w:t xml:space="preserve">, each Seller has properly, timely and legally paid, in accordance with the terms of each Lease and applicable Laws, all Burdens with respect to the Assets due by that Seller, or if not paid, is contesting such Burdens in good faith in the normal course of business and described on </w:t>
      </w:r>
      <w:r>
        <w:rPr>
          <w:rFonts w:ascii="Arial" w:cs="Arial" w:eastAsia="Arial" w:hAnsi="Arial"/>
          <w:sz w:val="22"/>
          <w:szCs w:val="22"/>
          <w:u w:val="single" w:color="auto"/>
          <w:color w:val="auto"/>
        </w:rPr>
        <w:t>Schedule 4.11</w:t>
      </w:r>
      <w:r>
        <w:rPr>
          <w:rFonts w:ascii="Arial" w:cs="Arial" w:eastAsia="Arial" w:hAnsi="Arial"/>
          <w:sz w:val="22"/>
          <w:szCs w:val="22"/>
          <w:color w:val="auto"/>
        </w:rPr>
        <w:t>. All rentals, shut-in payments, and operating expenses payable by any Seller with respect to the Assets prior to the Effective Time, have been duly and properly paid in all material respects. No Seller has received any written requests or demands for payments, adjustments of payments or performance pursuant to obligations under the Leases.</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b w:val="1"/>
          <w:bCs w:val="1"/>
          <w:i w:val="1"/>
          <w:iCs w:val="1"/>
          <w:color w:val="auto"/>
        </w:rPr>
        <w:t xml:space="preserve">4.12 Imbalances. </w:t>
      </w:r>
      <w:r>
        <w:rPr>
          <w:rFonts w:ascii="Arial" w:cs="Arial" w:eastAsia="Arial" w:hAnsi="Arial"/>
          <w:sz w:val="22"/>
          <w:szCs w:val="22"/>
          <w:color w:val="auto"/>
        </w:rPr>
        <w:t>To Sellers’ Knowledge,</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4.12</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sets forth all Imbalances associated with the Assets as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Effective Time.</w:t>
      </w: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b w:val="1"/>
          <w:bCs w:val="1"/>
          <w:i w:val="1"/>
          <w:iCs w:val="1"/>
          <w:color w:val="auto"/>
        </w:rPr>
        <w:t xml:space="preserve">4.13 Current Commitments. </w:t>
      </w:r>
      <w:r>
        <w:rPr>
          <w:rFonts w:ascii="Arial" w:cs="Arial" w:eastAsia="Arial" w:hAnsi="Arial"/>
          <w:sz w:val="21"/>
          <w:szCs w:val="21"/>
          <w:u w:val="single" w:color="auto"/>
          <w:color w:val="auto"/>
        </w:rPr>
        <w:t>Schedule 4.13</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sets forth, as of the date of this Agreement, all authorities for expenditures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i w:val="1"/>
          <w:iCs w:val="1"/>
          <w:color w:val="auto"/>
        </w:rPr>
        <w:t>AFEs</w:t>
      </w:r>
      <w:r>
        <w:rPr>
          <w:rFonts w:ascii="Arial" w:cs="Arial" w:eastAsia="Arial" w:hAnsi="Arial"/>
          <w:sz w:val="21"/>
          <w:szCs w:val="21"/>
          <w:color w:val="auto"/>
        </w:rPr>
        <w:t>”) that have been delivered to Sellers, relating to the Assets to drill, rework or conduct any other operations on or in connection with a well or for other capital expenditures in connection with the Assets for which all of the activities anticipated in such AFEs or commitments have not been completed by the date of this Agreement.</w:t>
      </w:r>
    </w:p>
    <w:p>
      <w:pPr>
        <w:spacing w:after="0" w:line="2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b w:val="1"/>
          <w:bCs w:val="1"/>
          <w:i w:val="1"/>
          <w:iCs w:val="1"/>
          <w:color w:val="auto"/>
        </w:rPr>
        <w:t xml:space="preserve">4.14 Operating Expenses for New Wells. </w:t>
      </w:r>
      <w:r>
        <w:rPr>
          <w:rFonts w:ascii="Arial" w:cs="Arial" w:eastAsia="Arial" w:hAnsi="Arial"/>
          <w:sz w:val="22"/>
          <w:szCs w:val="22"/>
          <w:color w:val="auto"/>
        </w:rPr>
        <w:t>Except as set forth on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4.14</w:t>
      </w:r>
      <w:r>
        <w:rPr>
          <w:rFonts w:ascii="Arial" w:cs="Arial" w:eastAsia="Arial" w:hAnsi="Arial"/>
          <w:sz w:val="22"/>
          <w:szCs w:val="22"/>
          <w:color w:val="auto"/>
        </w:rPr>
        <w:t>, there are no Operating Expenses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attributable to the period prior to the Effective Time for or related to New Wells.</w:t>
      </w:r>
    </w:p>
    <w:p>
      <w:pPr>
        <w:spacing w:after="0" w:line="20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i w:val="1"/>
          <w:iCs w:val="1"/>
          <w:color w:val="auto"/>
        </w:rPr>
        <w:t>4.15</w:t>
      </w:r>
      <w:r>
        <w:rPr>
          <w:sz w:val="20"/>
          <w:szCs w:val="20"/>
          <w:color w:val="auto"/>
        </w:rPr>
        <w:tab/>
      </w:r>
      <w:r>
        <w:rPr>
          <w:rFonts w:ascii="Arial" w:cs="Arial" w:eastAsia="Arial" w:hAnsi="Arial"/>
          <w:sz w:val="18"/>
          <w:szCs w:val="18"/>
          <w:b w:val="1"/>
          <w:bCs w:val="1"/>
          <w:i w:val="1"/>
          <w:iCs w:val="1"/>
          <w:color w:val="auto"/>
        </w:rPr>
        <w:t>Environmental Representation and Warranty.</w:t>
      </w:r>
    </w:p>
    <w:p>
      <w:pPr>
        <w:spacing w:after="0" w:line="274" w:lineRule="exact"/>
        <w:rPr>
          <w:sz w:val="20"/>
          <w:szCs w:val="20"/>
          <w:color w:val="auto"/>
        </w:rPr>
      </w:pPr>
    </w:p>
    <w:p>
      <w:pPr>
        <w:jc w:val="both"/>
        <w:ind w:right="20" w:firstLine="1305"/>
        <w:spacing w:after="0" w:line="253" w:lineRule="auto"/>
        <w:tabs>
          <w:tab w:leader="none" w:pos="18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 4.15</w:t>
      </w:r>
      <w:r>
        <w:rPr>
          <w:rFonts w:ascii="Arial" w:cs="Arial" w:eastAsia="Arial" w:hAnsi="Arial"/>
          <w:sz w:val="22"/>
          <w:szCs w:val="22"/>
          <w:color w:val="auto"/>
        </w:rPr>
        <w:t>, (i) with respect to the Assets operated by any Seller or any of Sellers’ Affiliates, those Assets are being operated in material compliance with all Environmental Laws, (ii) with respect to the Assets not operated by any Seller or any of Sellers’ Affiliates,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72" w:name="page73"/>
    <w:bookmarkEnd w:id="72"/>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to Sellers’ Knowledge, those Assets are being operated in compliance with all Environmental Laws, (iii) Seller has not received a written notice of a violation of an Environmental Law from a Governmental Authority with respect to the Assets, (iv) with respect to the Assets operated by any Seller or any of Sellers’ Affiliates, no notice of action alleging a material violation of an Environmental Law is pending or, to such Seller’s Knowledge, threatened against such Assets, and (v) with respect to the Assets not operated by any Seller or any of Sellers’ Affiliates, to such Seller’s Knowledge, no notice of action alleging a violation of an Environmental Law is pending or threatened against such Assets.</w:t>
      </w:r>
    </w:p>
    <w:p>
      <w:pPr>
        <w:spacing w:after="0" w:line="221" w:lineRule="exact"/>
        <w:rPr>
          <w:sz w:val="20"/>
          <w:szCs w:val="20"/>
          <w:color w:val="auto"/>
        </w:rPr>
      </w:pPr>
    </w:p>
    <w:p>
      <w:pPr>
        <w:jc w:val="both"/>
        <w:ind w:firstLine="1305"/>
        <w:spacing w:after="0" w:line="253" w:lineRule="auto"/>
        <w:tabs>
          <w:tab w:leader="none" w:pos="1954"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Except as described on </w:t>
      </w:r>
      <w:r>
        <w:rPr>
          <w:rFonts w:ascii="Arial" w:cs="Arial" w:eastAsia="Arial" w:hAnsi="Arial"/>
          <w:sz w:val="22"/>
          <w:szCs w:val="22"/>
          <w:u w:val="single" w:color="auto"/>
          <w:color w:val="auto"/>
        </w:rPr>
        <w:t>Schedule 4.15</w:t>
      </w:r>
      <w:r>
        <w:rPr>
          <w:rFonts w:ascii="Arial" w:cs="Arial" w:eastAsia="Arial" w:hAnsi="Arial"/>
          <w:sz w:val="22"/>
          <w:szCs w:val="22"/>
          <w:color w:val="auto"/>
        </w:rPr>
        <w:t>, there are no civil, criminal, or administrative actions, lawsuits, litigation, hearings, or proceedings pending against such Seller with respect to the Assets or the Assets as a result of the violation or breach of any Environmental Law.</w:t>
      </w:r>
    </w:p>
    <w:p>
      <w:pPr>
        <w:spacing w:after="0" w:line="22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i w:val="1"/>
          <w:iCs w:val="1"/>
          <w:color w:val="auto"/>
        </w:rPr>
        <w:t xml:space="preserve">4.16 Taxes. </w:t>
      </w:r>
      <w:r>
        <w:rPr>
          <w:rFonts w:ascii="Arial" w:cs="Arial" w:eastAsia="Arial" w:hAnsi="Arial"/>
          <w:sz w:val="21"/>
          <w:szCs w:val="21"/>
          <w:color w:val="auto"/>
        </w:rPr>
        <w:t>All Asset Taxes based on a Seller’s ownership of its Assets for all taxable periods prior to the taxable period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which this Agreement is executed that were required to be paid prior to the Effective Time have been paid. Except as set forth on </w:t>
      </w:r>
      <w:r>
        <w:rPr>
          <w:rFonts w:ascii="Arial" w:cs="Arial" w:eastAsia="Arial" w:hAnsi="Arial"/>
          <w:sz w:val="21"/>
          <w:szCs w:val="21"/>
          <w:u w:val="single" w:color="auto"/>
          <w:color w:val="auto"/>
        </w:rPr>
        <w:t>Schedule 4.16</w:t>
      </w:r>
      <w:r>
        <w:rPr>
          <w:rFonts w:ascii="Arial" w:cs="Arial" w:eastAsia="Arial" w:hAnsi="Arial"/>
          <w:sz w:val="21"/>
          <w:szCs w:val="21"/>
          <w:color w:val="auto"/>
        </w:rPr>
        <w:t>, no Seller has received written notice nor, to any Seller’s Knowledge, is there any pending or threatened claim against or audit of such Seller from or by any applicable Taxing Authority for the assessment of Asset Taxes. All income taxes that could result in a lien or other claim against any of the Assets that have become due and payable have been properly paid, unless contested in good faith by appropriate proceeding.</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b w:val="1"/>
          <w:bCs w:val="1"/>
          <w:i w:val="1"/>
          <w:iCs w:val="1"/>
          <w:color w:val="auto"/>
        </w:rPr>
        <w:t xml:space="preserve">4.17 Well Status. </w:t>
      </w:r>
      <w:r>
        <w:rPr>
          <w:rFonts w:ascii="Arial" w:cs="Arial" w:eastAsia="Arial" w:hAnsi="Arial"/>
          <w:sz w:val="21"/>
          <w:szCs w:val="21"/>
          <w:color w:val="auto"/>
        </w:rPr>
        <w:t>During the period of a Seller’s ownership of its Assets, and to such Seller’s Knowledge prior to such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Seller’s ownership, there are no wells located on the Assets that: (a) such Seller is obligated by Law or contract to currently plug and abandon; or (b) to the extent plugged and abandoned, have not been plugged in accordance with applicable material requirements of each Governmental Authority having jurisdiction over the Assets.</w:t>
      </w:r>
    </w:p>
    <w:p>
      <w:pPr>
        <w:spacing w:after="0" w:line="210"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i w:val="1"/>
          <w:iCs w:val="1"/>
          <w:color w:val="auto"/>
        </w:rPr>
        <w:t xml:space="preserve">4.18 Calls on Production. </w:t>
      </w:r>
      <w:r>
        <w:rPr>
          <w:rFonts w:ascii="Arial" w:cs="Arial" w:eastAsia="Arial" w:hAnsi="Arial"/>
          <w:sz w:val="19"/>
          <w:szCs w:val="19"/>
          <w:color w:val="auto"/>
        </w:rPr>
        <w:t>Except pursuant to the Material Contracts, no Person has any call upon, option to purchase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similar rights with respect to the production from the Assets; production from the Assets is not bound by any gas dedications or subject to any monetary or in kind through-put fees or charges in connection with gathering or transportation; and the Assets are not bound by any Hedge Contract that will continue after Closing. Proceeds from the sale of oil, condensate and gas from the Assets are being received by such Seller, as applicable, in a timely manner and are not being held in suspense for any reason.</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b w:val="1"/>
          <w:bCs w:val="1"/>
          <w:i w:val="1"/>
          <w:iCs w:val="1"/>
          <w:color w:val="auto"/>
        </w:rPr>
        <w:t xml:space="preserve">4.19 Tax Partnerships. </w:t>
      </w:r>
      <w:r>
        <w:rPr>
          <w:rFonts w:ascii="Arial" w:cs="Arial" w:eastAsia="Arial" w:hAnsi="Arial"/>
          <w:sz w:val="22"/>
          <w:szCs w:val="22"/>
          <w:color w:val="auto"/>
        </w:rPr>
        <w:t>The Assets are not subject to any tax partnership agreements requiring a partnership income tax</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return to be filed under Subchapter K of Chapter 1 of Subtitle A of the Code.</w:t>
      </w:r>
    </w:p>
    <w:p>
      <w:pPr>
        <w:spacing w:after="0" w:line="20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i w:val="1"/>
          <w:iCs w:val="1"/>
          <w:color w:val="auto"/>
        </w:rPr>
        <w:t xml:space="preserve">4.20 Wells. </w:t>
      </w:r>
      <w:r>
        <w:rPr>
          <w:rFonts w:ascii="Arial" w:cs="Arial" w:eastAsia="Arial" w:hAnsi="Arial"/>
          <w:sz w:val="22"/>
          <w:szCs w:val="22"/>
          <w:color w:val="auto"/>
        </w:rPr>
        <w:t>During the period of a Seller’s ownership of its Assets, and to such Seller’s Knowledge, prior to such Seller’s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ownership, the Wells have been or are being drilled, completed and operated within the boundaries of the Leases or within the limits otherwise permitted or prescribed by contract, pooling or unit agreement, and by Law.</w:t>
      </w:r>
    </w:p>
    <w:p>
      <w:pPr>
        <w:spacing w:after="0" w:line="218"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b w:val="1"/>
          <w:bCs w:val="1"/>
          <w:i w:val="1"/>
          <w:iCs w:val="1"/>
          <w:color w:val="auto"/>
        </w:rPr>
        <w:t xml:space="preserve">4.21 Brokers’ Fees. </w:t>
      </w:r>
      <w:r>
        <w:rPr>
          <w:rFonts w:ascii="Arial" w:cs="Arial" w:eastAsia="Arial" w:hAnsi="Arial"/>
          <w:sz w:val="19"/>
          <w:szCs w:val="19"/>
          <w:color w:val="auto"/>
        </w:rPr>
        <w:t>Such Seller has incurred no liability, contingent or otherwise, for brokers’ or finders’ fees relating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transactions contemplated by this Agreement for which Buyer or any Affiliate of Buyer shall have any responsibility.</w:t>
      </w:r>
    </w:p>
    <w:p>
      <w:pPr>
        <w:spacing w:after="0" w:line="13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b w:val="1"/>
          <w:bCs w:val="1"/>
          <w:i w:val="1"/>
          <w:iCs w:val="1"/>
          <w:color w:val="auto"/>
        </w:rPr>
        <w:t xml:space="preserve">4.22 EnerVest Assets. </w:t>
      </w:r>
      <w:r>
        <w:rPr>
          <w:rFonts w:ascii="Arial" w:cs="Arial" w:eastAsia="Arial" w:hAnsi="Arial"/>
          <w:sz w:val="22"/>
          <w:szCs w:val="22"/>
          <w:color w:val="auto"/>
        </w:rPr>
        <w:t>Each Seller has sufficient assets and resources to fulfill its indemnity obligations under</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13.2</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and its special warranty of title under </w:t>
      </w:r>
      <w:r>
        <w:rPr>
          <w:rFonts w:ascii="Arial" w:cs="Arial" w:eastAsia="Arial" w:hAnsi="Arial"/>
          <w:sz w:val="22"/>
          <w:szCs w:val="22"/>
          <w:u w:val="single" w:color="auto"/>
          <w:color w:val="auto"/>
        </w:rPr>
        <w:t>Section 11.1(b)</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73" w:name="page74"/>
    <w:bookmarkEnd w:id="73"/>
    <w:p>
      <w:pPr>
        <w:ind w:left="1048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9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REPRESENTATIONS AND WARRANTIES OF BUYER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Buyer represents and warrants to Sellers, as of the Execution Date and as of the Closing Date, the following:</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5.1 Organization, Existence and Qualification. </w:t>
      </w:r>
      <w:r>
        <w:rPr>
          <w:rFonts w:ascii="Arial" w:cs="Arial" w:eastAsia="Arial" w:hAnsi="Arial"/>
          <w:sz w:val="22"/>
          <w:szCs w:val="22"/>
          <w:color w:val="auto"/>
        </w:rPr>
        <w:t>Buyer is a corporation duly organized, validly existing and in good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standing under the Laws of the State of Texas and has all requisite power and authority to own and operate its property and to carry on its business as now conducted. Buyer is duly licensed or qualified to do business as a foreign corporation in all jurisdictions in which it carries on business or owns assets and such qualification is required by Law except where the failure to be so qualified would not have a material adverse effect upon the ability of Buyer to consummate the transactions contemplated by this Agreement.</w:t>
      </w:r>
    </w:p>
    <w:p>
      <w:pPr>
        <w:spacing w:after="0" w:line="22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i w:val="1"/>
          <w:iCs w:val="1"/>
          <w:color w:val="auto"/>
        </w:rPr>
        <w:t xml:space="preserve">5.2 Authority, Approval and Enforceability. </w:t>
      </w:r>
      <w:r>
        <w:rPr>
          <w:rFonts w:ascii="Arial" w:cs="Arial" w:eastAsia="Arial" w:hAnsi="Arial"/>
          <w:sz w:val="19"/>
          <w:szCs w:val="19"/>
          <w:color w:val="auto"/>
        </w:rPr>
        <w:t>Buyer has full power and authority to enter into and perform this Agreement,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Transaction Documents to which it is a party and the transactions contemplated herein and therein. The execution, delivery and performance by Buyer of this Agreement have been duly and validly authorized and approved by all necessary corporate action on the part of Buyer. Assuming the due authorization, execution and delivery by the other parties to such documents, this Agreement is, and the Transaction Documents to which Buyer is a party when executed and delivered by Buyer will be, the valid and binding obligations of Buyer and enforceable against Buyer in accordance with their respective terms, subject to the effects of bankruptcy, insolvency, reorganization, moratorium and similar Laws, as well as to principles of equity (regardless of whether such enforceability is considered in a proceeding in equity or at law).</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i w:val="1"/>
          <w:iCs w:val="1"/>
          <w:color w:val="auto"/>
        </w:rPr>
        <w:t xml:space="preserve">5.3 No Conflicts. </w:t>
      </w:r>
      <w:r>
        <w:rPr>
          <w:rFonts w:ascii="Arial" w:cs="Arial" w:eastAsia="Arial" w:hAnsi="Arial"/>
          <w:sz w:val="21"/>
          <w:szCs w:val="21"/>
          <w:color w:val="auto"/>
        </w:rPr>
        <w:t>The execution, delivery and performance by Buyer of this Agreement and the consummation of the transactions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contemplated herein will not (a) conflict with or result in a breach of any provisions of the organizational documents of Buyer, (b) result in a default or the creation of any Encumbrance or give rise to any right of termination, cancellation or acceleration under any of the terms, conditions or provisions of any note, bond, mortgage, indenture, license or other agreement to which Buyer is a party or by which Buyer or any of its property may be bound or (c) violate any Law applicable to Buyer or any of its property, except in the case of clauses (b) and (c) where such default, Encumbrance, termination, cancellation, acceleration or violation would not have a material effect upon the ability of Buyer to consummate the transactions contemplated by this Agreement or perform its obligations hereunder.</w:t>
      </w:r>
    </w:p>
    <w:p>
      <w:pPr>
        <w:spacing w:after="0" w:line="22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b w:val="1"/>
          <w:bCs w:val="1"/>
          <w:i w:val="1"/>
          <w:iCs w:val="1"/>
          <w:color w:val="auto"/>
        </w:rPr>
        <w:t xml:space="preserve">5.4 Consents. </w:t>
      </w:r>
      <w:r>
        <w:rPr>
          <w:rFonts w:ascii="Arial" w:cs="Arial" w:eastAsia="Arial" w:hAnsi="Arial"/>
          <w:sz w:val="19"/>
          <w:szCs w:val="19"/>
          <w:color w:val="auto"/>
        </w:rPr>
        <w:t>There are no consents, including requirements for consents from Third Parties, in each case, that Buyer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required to obtain in connection with its acquisition and ownership of the Assets as contemplated by this Agreement.</w:t>
      </w:r>
    </w:p>
    <w:p>
      <w:pPr>
        <w:spacing w:after="0" w:line="13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b w:val="1"/>
          <w:bCs w:val="1"/>
          <w:i w:val="1"/>
          <w:iCs w:val="1"/>
          <w:color w:val="auto"/>
        </w:rPr>
        <w:t xml:space="preserve">5.5 Bankruptcy. </w:t>
      </w:r>
      <w:r>
        <w:rPr>
          <w:rFonts w:ascii="Arial" w:cs="Arial" w:eastAsia="Arial" w:hAnsi="Arial"/>
          <w:sz w:val="22"/>
          <w:szCs w:val="22"/>
          <w:color w:val="auto"/>
        </w:rPr>
        <w:t>There are no bankruptcy, reorganization or receivership proceedings pending, being contemplated by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Buyer’s knowledge, threatened in writing against Buyer or any Affiliate of Buyer.</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5.6 Litigation. </w:t>
      </w:r>
      <w:r>
        <w:rPr>
          <w:rFonts w:ascii="Arial" w:cs="Arial" w:eastAsia="Arial" w:hAnsi="Arial"/>
          <w:sz w:val="22"/>
          <w:szCs w:val="22"/>
          <w:color w:val="auto"/>
        </w:rPr>
        <w:t>As of the date of this Agreement, there is no suit, action or litigation by any Person by or before any</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and no legal, administrative or arbitration proceeding, in each case, pending, or to Buyer’s knowledge, threatened in writing against Buyer that would have a material adverse effect upon the ability of Buyer to consummate the transactions contemplated by this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74" w:name="page75"/>
    <w:bookmarkEnd w:id="7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5.7 Financing. </w:t>
      </w:r>
      <w:r>
        <w:rPr>
          <w:rFonts w:ascii="Arial" w:cs="Arial" w:eastAsia="Arial" w:hAnsi="Arial"/>
          <w:sz w:val="22"/>
          <w:szCs w:val="22"/>
          <w:color w:val="auto"/>
        </w:rPr>
        <w:t>Buyer has, and Buyer shall have as of the Closing Date, sufficient cash in immediately available funds</w:t>
      </w:r>
      <w:r>
        <w:rPr>
          <w:rFonts w:ascii="Arial" w:cs="Arial" w:eastAsia="Arial" w:hAnsi="Arial"/>
          <w:sz w:val="22"/>
          <w:szCs w:val="22"/>
          <w:b w:val="1"/>
          <w:bCs w:val="1"/>
          <w:color w:val="auto"/>
        </w:rPr>
        <w:t xml:space="preserve"> </w:t>
      </w:r>
      <w:r>
        <w:rPr>
          <w:rFonts w:ascii="Arial" w:cs="Arial" w:eastAsia="Arial" w:hAnsi="Arial"/>
          <w:sz w:val="22"/>
          <w:szCs w:val="22"/>
          <w:color w:val="auto"/>
        </w:rPr>
        <w:t>with which to pay the Purchase Price, consummate the transactions contemplated by this Agreement and perform its obligations under this Agreement and the Transaction Documents.</w:t>
      </w:r>
    </w:p>
    <w:p>
      <w:pPr>
        <w:spacing w:after="0" w:line="2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 xml:space="preserve">5.8 Regulatory. </w:t>
      </w:r>
      <w:r>
        <w:rPr>
          <w:rFonts w:ascii="Arial" w:cs="Arial" w:eastAsia="Arial" w:hAnsi="Arial"/>
          <w:sz w:val="19"/>
          <w:szCs w:val="19"/>
          <w:color w:val="auto"/>
        </w:rPr>
        <w:t>Buyer is and hereafter shall continue to be qualified to own and assume operatorship of the Assets in 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jurisdictions where the Assets are located, and the consummation of the transactions contemplated by this Agreement will not cause Buyer to be disqualified as such an owner or operator. To the extent required by any Laws, Buyer has maintained, and will hereafter continue to maintain, lease bonds, area-wide bonds or any other surety bonds as may be required by, and in accordance with, all Laws governing the ownership and operation of such leases and has filed any and all required reports necessary for such ownership and operation with all Governmental Authorities having jurisdiction over such ownership and operation.</w:t>
      </w:r>
    </w:p>
    <w:p>
      <w:pPr>
        <w:spacing w:after="0" w:line="1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i w:val="1"/>
          <w:iCs w:val="1"/>
          <w:color w:val="auto"/>
        </w:rPr>
        <w:t xml:space="preserve">5.9 Independent Evaluation. </w:t>
      </w:r>
      <w:r>
        <w:rPr>
          <w:rFonts w:ascii="Arial" w:cs="Arial" w:eastAsia="Arial" w:hAnsi="Arial"/>
          <w:sz w:val="21"/>
          <w:szCs w:val="21"/>
          <w:color w:val="auto"/>
        </w:rPr>
        <w:t>Buyer is sophisticated in the evaluation, purchase, ownership and operation of oil and gas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properties and related facilities. In making its decision to enter into this Agreement and to consummate the transactions contemplated hereby, Buyer (a) has relied or shall rely solely on its own independent investigation and evaluation of the Assets and the advice of its own legal, Tax, economic, environmental, engineering, geological and geophysical advisors and the express provisions of this Agreement and not on any comments, statements, projections or other materials made or given by any representatives or consultants or advisors of Sellers, and (b) subject to the express provisions of this Agreement, has satisfied or shall satisfy itself through its own due diligence as to the environmental and physical condition of and contractual arrangements and other matters affecting the Assets. Buyer has no knowledge of any breach of any representation, warranty or covenant of any Seller given hereunder.</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i w:val="1"/>
          <w:iCs w:val="1"/>
          <w:color w:val="auto"/>
        </w:rPr>
        <w:t xml:space="preserve">5.10 Brokers’ Fees. </w:t>
      </w:r>
      <w:r>
        <w:rPr>
          <w:rFonts w:ascii="Arial" w:cs="Arial" w:eastAsia="Arial" w:hAnsi="Arial"/>
          <w:sz w:val="21"/>
          <w:szCs w:val="21"/>
          <w:color w:val="auto"/>
        </w:rPr>
        <w:t>Buyer has incurred no liability, contingent or otherwise, for brokers’ or finders’ fees relating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transactions contemplated by this Agreement for which Sellers or Sellers’ Affiliates shall have any responsibility.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b w:val="1"/>
          <w:bCs w:val="1"/>
          <w:i w:val="1"/>
          <w:iCs w:val="1"/>
          <w:color w:val="auto"/>
        </w:rPr>
        <w:t xml:space="preserve">5.11 Accredited Investor. </w:t>
      </w:r>
      <w:r>
        <w:rPr>
          <w:rFonts w:ascii="Arial" w:cs="Arial" w:eastAsia="Arial" w:hAnsi="Arial"/>
          <w:sz w:val="22"/>
          <w:szCs w:val="22"/>
          <w:color w:val="auto"/>
        </w:rPr>
        <w:t>Buyer is an “accredited investor,” as such term is defined in Regulation D of the Securities Act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1933, as amended, and will acquire the Assets for its own account and not with a view to a sale or distribution thereof in violation of the Securities Act of 1933, as amended, and the rules and regulations thereunder, any state blue sky Laws or any other securities Laws.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AGREEMENTS</w:t>
      </w:r>
    </w:p>
    <w:p>
      <w:pPr>
        <w:spacing w:after="0" w:line="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i w:val="1"/>
          <w:iCs w:val="1"/>
          <w:color w:val="auto"/>
        </w:rPr>
        <w:t>6.1</w:t>
      </w:r>
      <w:r>
        <w:rPr>
          <w:sz w:val="20"/>
          <w:szCs w:val="20"/>
          <w:color w:val="auto"/>
        </w:rPr>
        <w:tab/>
      </w:r>
      <w:r>
        <w:rPr>
          <w:rFonts w:ascii="Arial" w:cs="Arial" w:eastAsia="Arial" w:hAnsi="Arial"/>
          <w:sz w:val="18"/>
          <w:szCs w:val="18"/>
          <w:b w:val="1"/>
          <w:bCs w:val="1"/>
          <w:i w:val="1"/>
          <w:iCs w:val="1"/>
          <w:color w:val="auto"/>
        </w:rPr>
        <w:t>Conduct of Business.</w:t>
      </w:r>
    </w:p>
    <w:p>
      <w:pPr>
        <w:spacing w:after="0" w:line="256" w:lineRule="exact"/>
        <w:rPr>
          <w:sz w:val="20"/>
          <w:szCs w:val="20"/>
          <w:color w:val="auto"/>
        </w:rPr>
      </w:pPr>
    </w:p>
    <w:p>
      <w:pPr>
        <w:jc w:val="both"/>
        <w:ind w:firstLine="1305"/>
        <w:spacing w:after="0" w:line="302" w:lineRule="auto"/>
        <w:tabs>
          <w:tab w:leader="none" w:pos="1925"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Except (w) as set forth on </w:t>
      </w:r>
      <w:r>
        <w:rPr>
          <w:rFonts w:ascii="Arial" w:cs="Arial" w:eastAsia="Arial" w:hAnsi="Arial"/>
          <w:sz w:val="19"/>
          <w:szCs w:val="19"/>
          <w:u w:val="single" w:color="auto"/>
          <w:color w:val="auto"/>
        </w:rPr>
        <w:t>Schedule 6.1</w:t>
      </w:r>
      <w:r>
        <w:rPr>
          <w:rFonts w:ascii="Arial" w:cs="Arial" w:eastAsia="Arial" w:hAnsi="Arial"/>
          <w:sz w:val="19"/>
          <w:szCs w:val="19"/>
          <w:color w:val="auto"/>
        </w:rPr>
        <w:t xml:space="preserve">, (x) for the operations covered by the AFEs and other capital commitments described on </w:t>
      </w:r>
      <w:r>
        <w:rPr>
          <w:rFonts w:ascii="Arial" w:cs="Arial" w:eastAsia="Arial" w:hAnsi="Arial"/>
          <w:sz w:val="19"/>
          <w:szCs w:val="19"/>
          <w:u w:val="single" w:color="auto"/>
          <w:color w:val="auto"/>
        </w:rPr>
        <w:t>Schedule 4.13</w:t>
      </w:r>
      <w:r>
        <w:rPr>
          <w:rFonts w:ascii="Arial" w:cs="Arial" w:eastAsia="Arial" w:hAnsi="Arial"/>
          <w:sz w:val="19"/>
          <w:szCs w:val="19"/>
          <w:color w:val="auto"/>
        </w:rPr>
        <w:t>, (y) for actions taken in connection with emergency situations or maintain a lease and (z) as expressly contemplated by this Agreement or as expressly consented to in writing by Buyer (which consent shall not be unreasonably delayed, withheld or conditioned), each Seller shall, from and after the date hereof until Closing:</w:t>
      </w:r>
    </w:p>
    <w:p>
      <w:pPr>
        <w:spacing w:after="0" w:line="183" w:lineRule="exact"/>
        <w:rPr>
          <w:rFonts w:ascii="Arial" w:cs="Arial" w:eastAsia="Arial" w:hAnsi="Arial"/>
          <w:sz w:val="19"/>
          <w:szCs w:val="19"/>
          <w:color w:val="auto"/>
        </w:rPr>
      </w:pPr>
    </w:p>
    <w:p>
      <w:pPr>
        <w:jc w:val="both"/>
        <w:ind w:firstLine="1953"/>
        <w:spacing w:after="0" w:line="312" w:lineRule="auto"/>
        <w:tabs>
          <w:tab w:leader="none" w:pos="2385" w:val="left"/>
        </w:tabs>
        <w:numPr>
          <w:ilvl w:val="1"/>
          <w:numId w:val="35"/>
        </w:numPr>
        <w:rPr>
          <w:rFonts w:ascii="Arial" w:cs="Arial" w:eastAsia="Arial" w:hAnsi="Arial"/>
          <w:sz w:val="19"/>
          <w:szCs w:val="19"/>
          <w:color w:val="auto"/>
        </w:rPr>
      </w:pPr>
      <w:r>
        <w:rPr>
          <w:rFonts w:ascii="Arial" w:cs="Arial" w:eastAsia="Arial" w:hAnsi="Arial"/>
          <w:sz w:val="19"/>
          <w:szCs w:val="19"/>
          <w:color w:val="auto"/>
        </w:rPr>
        <w:t>operate the Assets in the usual, regular and ordinary manner consistent with past practice (including the proper, timely and legal payment, in accordance with the terms of each Lease and Laws, of (A) all Burdens and (B) rentals, shut-in payments and other lease maintenance payments, in each case, with respect to the Assets due by a Seller prior to Closing);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75" w:name="page76"/>
    <w:bookmarkEnd w:id="75"/>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ind w:firstLine="1953"/>
        <w:spacing w:after="0" w:line="263" w:lineRule="auto"/>
        <w:tabs>
          <w:tab w:leader="none" w:pos="2517" w:val="left"/>
        </w:tabs>
        <w:numPr>
          <w:ilvl w:val="2"/>
          <w:numId w:val="36"/>
        </w:numPr>
        <w:rPr>
          <w:rFonts w:ascii="Arial" w:cs="Arial" w:eastAsia="Arial" w:hAnsi="Arial"/>
          <w:sz w:val="22"/>
          <w:szCs w:val="22"/>
          <w:color w:val="auto"/>
        </w:rPr>
      </w:pPr>
      <w:r>
        <w:rPr>
          <w:rFonts w:ascii="Arial" w:cs="Arial" w:eastAsia="Arial" w:hAnsi="Arial"/>
          <w:sz w:val="22"/>
          <w:szCs w:val="22"/>
          <w:color w:val="auto"/>
        </w:rPr>
        <w:t>maintain the books of account and Records relating to the Assets in the usual, regular and ordinary manner, in accordance with the usual accounting practices of such Seller.</w:t>
      </w:r>
    </w:p>
    <w:p>
      <w:pPr>
        <w:spacing w:after="0" w:line="215" w:lineRule="exact"/>
        <w:rPr>
          <w:rFonts w:ascii="Arial" w:cs="Arial" w:eastAsia="Arial" w:hAnsi="Arial"/>
          <w:sz w:val="22"/>
          <w:szCs w:val="22"/>
          <w:color w:val="auto"/>
        </w:rPr>
      </w:pPr>
    </w:p>
    <w:p>
      <w:pPr>
        <w:jc w:val="both"/>
        <w:ind w:firstLine="1305"/>
        <w:spacing w:after="0" w:line="291" w:lineRule="auto"/>
        <w:tabs>
          <w:tab w:leader="none" w:pos="1932"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Except (w) as set forth on </w:t>
      </w:r>
      <w:r>
        <w:rPr>
          <w:rFonts w:ascii="Arial" w:cs="Arial" w:eastAsia="Arial" w:hAnsi="Arial"/>
          <w:sz w:val="19"/>
          <w:szCs w:val="19"/>
          <w:u w:val="single" w:color="auto"/>
          <w:color w:val="auto"/>
        </w:rPr>
        <w:t>Schedule 6.1</w:t>
      </w:r>
      <w:r>
        <w:rPr>
          <w:rFonts w:ascii="Arial" w:cs="Arial" w:eastAsia="Arial" w:hAnsi="Arial"/>
          <w:sz w:val="19"/>
          <w:szCs w:val="19"/>
          <w:color w:val="auto"/>
        </w:rPr>
        <w:t xml:space="preserve">, (x) for the operations covered by the AFEs and other capital commitments described on </w:t>
      </w:r>
      <w:r>
        <w:rPr>
          <w:rFonts w:ascii="Arial" w:cs="Arial" w:eastAsia="Arial" w:hAnsi="Arial"/>
          <w:sz w:val="19"/>
          <w:szCs w:val="19"/>
          <w:u w:val="single" w:color="auto"/>
          <w:color w:val="auto"/>
        </w:rPr>
        <w:t>Schedule 4.13</w:t>
      </w:r>
      <w:r>
        <w:rPr>
          <w:rFonts w:ascii="Arial" w:cs="Arial" w:eastAsia="Arial" w:hAnsi="Arial"/>
          <w:sz w:val="19"/>
          <w:szCs w:val="19"/>
          <w:color w:val="auto"/>
        </w:rPr>
        <w:t>, (y) for actions taken in connection with emergency situations or to maintain a lease and</w:t>
      </w:r>
    </w:p>
    <w:p>
      <w:pPr>
        <w:spacing w:after="0" w:line="1" w:lineRule="exact"/>
        <w:rPr>
          <w:rFonts w:ascii="Arial" w:cs="Arial" w:eastAsia="Arial" w:hAnsi="Arial"/>
          <w:sz w:val="19"/>
          <w:szCs w:val="19"/>
          <w:color w:val="auto"/>
        </w:rPr>
      </w:pPr>
    </w:p>
    <w:p>
      <w:pPr>
        <w:ind w:right="20" w:firstLine="8"/>
        <w:spacing w:after="0" w:line="270" w:lineRule="auto"/>
        <w:tabs>
          <w:tab w:leader="none" w:pos="321" w:val="left"/>
        </w:tabs>
        <w:numPr>
          <w:ilvl w:val="0"/>
          <w:numId w:val="38"/>
        </w:numPr>
        <w:rPr>
          <w:rFonts w:ascii="Arial" w:cs="Arial" w:eastAsia="Arial" w:hAnsi="Arial"/>
          <w:sz w:val="21"/>
          <w:szCs w:val="21"/>
          <w:color w:val="auto"/>
        </w:rPr>
      </w:pPr>
      <w:r>
        <w:rPr>
          <w:rFonts w:ascii="Arial" w:cs="Arial" w:eastAsia="Arial" w:hAnsi="Arial"/>
          <w:sz w:val="21"/>
          <w:szCs w:val="21"/>
          <w:color w:val="auto"/>
        </w:rPr>
        <w:t>as expressly contemplated by this Agreement or as expressly consented to in writing by Buyer (which consent shall not be unreasonably delayed, withheld or conditioned), each Seller shall, from and after the date hereof until Closing:</w:t>
      </w:r>
    </w:p>
    <w:p>
      <w:pPr>
        <w:spacing w:after="0" w:line="208" w:lineRule="exact"/>
        <w:rPr>
          <w:rFonts w:ascii="Arial" w:cs="Arial" w:eastAsia="Arial" w:hAnsi="Arial"/>
          <w:sz w:val="21"/>
          <w:szCs w:val="21"/>
          <w:color w:val="auto"/>
        </w:rPr>
      </w:pPr>
    </w:p>
    <w:p>
      <w:pPr>
        <w:ind w:firstLine="1953"/>
        <w:spacing w:after="0" w:line="263" w:lineRule="auto"/>
        <w:tabs>
          <w:tab w:leader="none" w:pos="2445" w:val="left"/>
        </w:tabs>
        <w:numPr>
          <w:ilvl w:val="2"/>
          <w:numId w:val="38"/>
        </w:numPr>
        <w:rPr>
          <w:rFonts w:ascii="Arial" w:cs="Arial" w:eastAsia="Arial" w:hAnsi="Arial"/>
          <w:sz w:val="22"/>
          <w:szCs w:val="22"/>
          <w:color w:val="auto"/>
        </w:rPr>
      </w:pPr>
      <w:r>
        <w:rPr>
          <w:rFonts w:ascii="Arial" w:cs="Arial" w:eastAsia="Arial" w:hAnsi="Arial"/>
          <w:sz w:val="22"/>
          <w:szCs w:val="22"/>
          <w:color w:val="auto"/>
        </w:rPr>
        <w:t>not propose any operation reasonably expected to cost Sellers in excess of $500,000, or operations that in the aggregate are reasonably expected to cost Sellers in excess of $2,000,000;</w:t>
      </w:r>
    </w:p>
    <w:p>
      <w:pPr>
        <w:spacing w:after="0" w:line="215" w:lineRule="exact"/>
        <w:rPr>
          <w:sz w:val="20"/>
          <w:szCs w:val="20"/>
          <w:color w:val="auto"/>
        </w:rPr>
      </w:pPr>
    </w:p>
    <w:p>
      <w:pPr>
        <w:ind w:firstLine="1953"/>
        <w:spacing w:after="0" w:line="343" w:lineRule="auto"/>
        <w:tabs>
          <w:tab w:leader="none" w:pos="2492" w:val="left"/>
        </w:tabs>
        <w:numPr>
          <w:ilvl w:val="1"/>
          <w:numId w:val="39"/>
        </w:numPr>
        <w:rPr>
          <w:rFonts w:ascii="Arial" w:cs="Arial" w:eastAsia="Arial" w:hAnsi="Arial"/>
          <w:sz w:val="19"/>
          <w:szCs w:val="19"/>
          <w:color w:val="auto"/>
        </w:rPr>
      </w:pPr>
      <w:r>
        <w:rPr>
          <w:rFonts w:ascii="Arial" w:cs="Arial" w:eastAsia="Arial" w:hAnsi="Arial"/>
          <w:sz w:val="19"/>
          <w:szCs w:val="19"/>
          <w:color w:val="auto"/>
        </w:rPr>
        <w:t>not consent to any operation proposed by a Third Party that is reasonably expected to cost Sellers in excess of $500,000 or operations that in the aggregate are reasonably expected to cost Sellers in excess of $2,000,000;</w:t>
      </w:r>
    </w:p>
    <w:p>
      <w:pPr>
        <w:spacing w:after="0" w:line="145" w:lineRule="exact"/>
        <w:rPr>
          <w:rFonts w:ascii="Arial" w:cs="Arial" w:eastAsia="Arial" w:hAnsi="Arial"/>
          <w:sz w:val="19"/>
          <w:szCs w:val="19"/>
          <w:color w:val="auto"/>
        </w:rPr>
      </w:pPr>
    </w:p>
    <w:p>
      <w:pPr>
        <w:ind w:right="20" w:firstLine="1953"/>
        <w:spacing w:after="0" w:line="343" w:lineRule="auto"/>
        <w:tabs>
          <w:tab w:leader="none" w:pos="2559"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not enter into an Applicable Contract that, if entered into on or prior to the date of this Agreement, would be required to be listed on </w:t>
      </w:r>
      <w:r>
        <w:rPr>
          <w:rFonts w:ascii="Arial" w:cs="Arial" w:eastAsia="Arial" w:hAnsi="Arial"/>
          <w:sz w:val="19"/>
          <w:szCs w:val="19"/>
          <w:u w:val="single" w:color="auto"/>
          <w:color w:val="auto"/>
        </w:rPr>
        <w:t>Schedule 4.7</w:t>
      </w:r>
      <w:r>
        <w:rPr>
          <w:rFonts w:ascii="Arial" w:cs="Arial" w:eastAsia="Arial" w:hAnsi="Arial"/>
          <w:sz w:val="19"/>
          <w:szCs w:val="19"/>
          <w:color w:val="auto"/>
        </w:rPr>
        <w:t>, or materially amend or change the terms of any Material Contract;</w:t>
      </w:r>
    </w:p>
    <w:p>
      <w:pPr>
        <w:spacing w:after="0" w:line="145" w:lineRule="exact"/>
        <w:rPr>
          <w:rFonts w:ascii="Arial" w:cs="Arial" w:eastAsia="Arial" w:hAnsi="Arial"/>
          <w:sz w:val="19"/>
          <w:szCs w:val="19"/>
          <w:color w:val="auto"/>
        </w:rPr>
      </w:pPr>
    </w:p>
    <w:p>
      <w:pPr>
        <w:jc w:val="both"/>
        <w:ind w:firstLine="1953"/>
        <w:spacing w:after="0" w:line="247" w:lineRule="auto"/>
        <w:tabs>
          <w:tab w:leader="none" w:pos="2532" w:val="left"/>
        </w:tabs>
        <w:numPr>
          <w:ilvl w:val="1"/>
          <w:numId w:val="39"/>
        </w:numPr>
        <w:rPr>
          <w:rFonts w:ascii="Arial" w:cs="Arial" w:eastAsia="Arial" w:hAnsi="Arial"/>
          <w:sz w:val="22"/>
          <w:szCs w:val="22"/>
          <w:color w:val="auto"/>
        </w:rPr>
      </w:pPr>
      <w:r>
        <w:rPr>
          <w:rFonts w:ascii="Arial" w:cs="Arial" w:eastAsia="Arial" w:hAnsi="Arial"/>
          <w:sz w:val="22"/>
          <w:szCs w:val="22"/>
          <w:color w:val="auto"/>
        </w:rPr>
        <w:t>not transfer, sell, mortgage, pledge or dispose of any portion of the Assets other than (A) the sale or disposal of Hydrocarbons in the ordinary course of business, (B) sales of equipment that is no longer necessary in the operation of the Assets or for which replacement equipment has been obtained and (C) disposals of Assets where the consideration is less than $250,000 in the aggregate (pre-disposal);</w:t>
      </w:r>
    </w:p>
    <w:p>
      <w:pPr>
        <w:spacing w:after="0" w:line="2" w:lineRule="exact"/>
        <w:rPr>
          <w:rFonts w:ascii="Arial" w:cs="Arial" w:eastAsia="Arial" w:hAnsi="Arial"/>
          <w:sz w:val="22"/>
          <w:szCs w:val="22"/>
          <w:color w:val="auto"/>
        </w:rPr>
      </w:pPr>
    </w:p>
    <w:p>
      <w:pPr>
        <w:ind w:left="2420" w:hanging="467"/>
        <w:spacing w:after="0"/>
        <w:tabs>
          <w:tab w:leader="none" w:pos="24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not reduce or terminate existing insurance; and</w:t>
      </w:r>
    </w:p>
    <w:p>
      <w:pPr>
        <w:spacing w:after="0" w:line="242" w:lineRule="exact"/>
        <w:rPr>
          <w:rFonts w:ascii="Arial" w:cs="Arial" w:eastAsia="Arial" w:hAnsi="Arial"/>
          <w:sz w:val="22"/>
          <w:szCs w:val="22"/>
          <w:color w:val="auto"/>
        </w:rPr>
      </w:pPr>
    </w:p>
    <w:p>
      <w:pPr>
        <w:ind w:left="2480" w:hanging="527"/>
        <w:spacing w:after="0"/>
        <w:tabs>
          <w:tab w:leader="none" w:pos="2480" w:val="left"/>
        </w:tabs>
        <w:numPr>
          <w:ilvl w:val="1"/>
          <w:numId w:val="39"/>
        </w:numPr>
        <w:rPr>
          <w:rFonts w:ascii="Arial" w:cs="Arial" w:eastAsia="Arial" w:hAnsi="Arial"/>
          <w:sz w:val="22"/>
          <w:szCs w:val="22"/>
          <w:color w:val="auto"/>
        </w:rPr>
      </w:pPr>
      <w:r>
        <w:rPr>
          <w:rFonts w:ascii="Arial" w:cs="Arial" w:eastAsia="Arial" w:hAnsi="Arial"/>
          <w:sz w:val="22"/>
          <w:szCs w:val="22"/>
          <w:color w:val="auto"/>
        </w:rPr>
        <w:t>not commit to do any of the foregoing.</w:t>
      </w:r>
    </w:p>
    <w:p>
      <w:pPr>
        <w:spacing w:after="0" w:line="260" w:lineRule="exact"/>
        <w:rPr>
          <w:rFonts w:ascii="Arial" w:cs="Arial" w:eastAsia="Arial" w:hAnsi="Arial"/>
          <w:sz w:val="22"/>
          <w:szCs w:val="22"/>
          <w:color w:val="auto"/>
        </w:rPr>
      </w:pPr>
    </w:p>
    <w:p>
      <w:pPr>
        <w:jc w:val="both"/>
        <w:ind w:firstLine="1305"/>
        <w:spacing w:after="0" w:line="248" w:lineRule="auto"/>
        <w:tabs>
          <w:tab w:leader="none" w:pos="1758"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Buyer acknowledges that Sellers own undivided interests in certain of the properties comprising the Assets that a Seller is not the operator thereof, and Buyer agrees that the acts or omissions of the other Working Interest owners (including the operators) who are not Sellers or an Affiliate of Sellers shall not constitute a breach of the provisions of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no action required by a vote of Working Interest owners shall constitute such a breach so long as Sellers have voted their interests in a manner that complies with the provisions of this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i w:val="1"/>
          <w:iCs w:val="1"/>
          <w:color w:val="auto"/>
        </w:rPr>
        <w:t xml:space="preserve">6.2 Successor Operator. </w:t>
      </w:r>
      <w:r>
        <w:rPr>
          <w:rFonts w:ascii="Arial" w:cs="Arial" w:eastAsia="Arial" w:hAnsi="Arial"/>
          <w:sz w:val="19"/>
          <w:szCs w:val="19"/>
          <w:color w:val="auto"/>
        </w:rPr>
        <w:t>While Buyer acknowledges that it desires to succeed the applicable Seller as operator of those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Assets or portions thereof that such Seller may presently operate, Buyer acknowledges and agrees that Sellers cannot and do not covenant or warrant that Buyer shall become successor operator of such Assets since the Assets or portions thereof may be subject to operating or other agreements that control the appointment of a successor operator. Sellers agree, however, that as to the Assets that a Seller operates, Sellers shall use commercially reasonable efforts to support Buyer’s efforts to become successor operator of such Assets (to the extent permitted under any applicable joint operating agreement) effective as of Closing (at Buyer’s sole cost and expense) and to designate or appoint, to the extent legally possible and permitted under any applicable joint operating agreement, Buyer as successor operator of such Assets effective as of Closing.</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i w:val="1"/>
          <w:iCs w:val="1"/>
          <w:color w:val="auto"/>
        </w:rPr>
        <w:t xml:space="preserve">6.3 Governmental Bonds. </w:t>
      </w:r>
      <w:r>
        <w:rPr>
          <w:rFonts w:ascii="Arial" w:cs="Arial" w:eastAsia="Arial" w:hAnsi="Arial"/>
          <w:sz w:val="22"/>
          <w:szCs w:val="22"/>
          <w:color w:val="auto"/>
        </w:rPr>
        <w:t>Buyer acknowledges that none of the bonds, letters of credit and guarantees, if any, posted by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Seller or its Affiliates with Governmental Authorities and relating to the Assets are transferable to Buyer. On or before the Closing Date, Buyer shall obtain, or cause to be obtained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76" w:name="page77"/>
    <w:bookmarkEnd w:id="76"/>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in the name of the Buyer, replacements for such bonds, letters of credit and guarantees to the extent such replacements are necessary (a) for Buyer’s ownership of the Assets and (b) to permit the cancellation of the bonds, letters of credit and guarantees posted by Sellers or their Affiliates with respect to the Assets. In addition, at or prior to Closing, Buyer shall deliver to Sellers evidence of the posting of bonds or other security with all applicable Governmental Authorities meeting the requirements of such authorities to own and, where appropriate, operate the Assets.</w:t>
      </w:r>
    </w:p>
    <w:p>
      <w:pPr>
        <w:spacing w:after="0" w:line="2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i w:val="1"/>
          <w:iCs w:val="1"/>
          <w:color w:val="auto"/>
        </w:rPr>
        <w:t xml:space="preserve">6.4 Record Retention. </w:t>
      </w:r>
      <w:r>
        <w:rPr>
          <w:rFonts w:ascii="Arial" w:cs="Arial" w:eastAsia="Arial" w:hAnsi="Arial"/>
          <w:sz w:val="19"/>
          <w:szCs w:val="19"/>
          <w:color w:val="auto"/>
        </w:rPr>
        <w:t>Buyer shall, and shall cause its successors and assigns to, for a period of seven years following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Closing, (a) retain the Records, (b) provide each Seller, its Affiliates and its and their respective officers, employees and representatives with access to the Records (to the extent that Sellers have not retained the original or a copy) during normal business hours for review and copying at such Seller’s expense and (c) provide each Seller, its Affiliates and its and their respective officers, employees and representatives with access, during normal business hours, to materials received or produced after Closing relating to any indemnity claim made under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for review and copying at such Seller’s expense. At the end of such seven year period and prior to destroying any of the Records, Buyer shall notify Sellers in advance of such destruction and provide Sellers an opportunity to copy such Records at Sellers’ sole cost and expense.</w:t>
      </w:r>
    </w:p>
    <w:p>
      <w:pPr>
        <w:spacing w:after="0" w:line="19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6.5 Knowledge of Breach. </w:t>
      </w:r>
      <w:r>
        <w:rPr>
          <w:rFonts w:ascii="Arial" w:cs="Arial" w:eastAsia="Arial" w:hAnsi="Arial"/>
          <w:sz w:val="19"/>
          <w:szCs w:val="19"/>
          <w:color w:val="auto"/>
        </w:rPr>
        <w:t>Buyer will notify Sellers, and Sellers will notify Buyers, promptly and in reasonable detail</w:t>
      </w:r>
      <w:r>
        <w:rPr>
          <w:rFonts w:ascii="Arial" w:cs="Arial" w:eastAsia="Arial" w:hAnsi="Arial"/>
          <w:sz w:val="19"/>
          <w:szCs w:val="19"/>
          <w:b w:val="1"/>
          <w:bCs w:val="1"/>
          <w:color w:val="auto"/>
        </w:rPr>
        <w:t xml:space="preserve"> </w:t>
      </w:r>
      <w:r>
        <w:rPr>
          <w:rFonts w:ascii="Arial" w:cs="Arial" w:eastAsia="Arial" w:hAnsi="Arial"/>
          <w:sz w:val="19"/>
          <w:szCs w:val="19"/>
          <w:color w:val="auto"/>
        </w:rPr>
        <w:t>after any officer of Buyer or Sellers, as the case may be, obtains actual knowledge that any representation or warranty of the other Party contained in this Agreement is, becomes or will be untrue in any material respect on or before the Closing Date. No breach of any representation, warranty, covenant, agreement or condition of this Agreement shall be deemed to be a breach of this Agreement for any purpose under this Agreement, and no Party nor any Affiliate of any Party shall have any claim or recourse against the other Parties or their respective directors, officers, employees, partners, Affiliates, controlling persons, agents, advisors or representatives with respect to such breach, if such Party or any Affiliate had actual knowledge prior to the execution of this Agreement of such breach or of the threat of such breach or the circumstances giving rise to such breach.</w:t>
      </w:r>
    </w:p>
    <w:p>
      <w:pPr>
        <w:spacing w:after="0" w:line="1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i w:val="1"/>
          <w:iCs w:val="1"/>
          <w:color w:val="auto"/>
        </w:rPr>
        <w:t xml:space="preserve">6.6 Amendment of Schedules. </w:t>
      </w:r>
      <w:r>
        <w:rPr>
          <w:rFonts w:ascii="Arial" w:cs="Arial" w:eastAsia="Arial" w:hAnsi="Arial"/>
          <w:sz w:val="19"/>
          <w:szCs w:val="19"/>
          <w:color w:val="auto"/>
        </w:rPr>
        <w:t>Buyer agrees that, with respect to the representations and warranties of Sellers contained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this Agreement, Sellers shall have the continuing right until Closing to add, supplement or amend the Schedules to its representations and warranties with respect to any matter hereafter arising which, if existing at the date hereof or thereafter, would have been required to be set forth or described in such Schedules. For all purposes of this Agreement, including for purposes of determining whether the conditions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have been fulfilled, the Schedules to Sellers’ representations and warranties contained in this Agreement shall be deemed to include only that information contained therein on the date of this Agreement and shall be deemed to exclude all information contained in any addition, supplement or amendment thereto; provided, however, that if Closing shall occur, then all matters that are disclosed pursuant to any such addition, supplement or amendment at or prior to Closing and that are not the result of any breach by any Seller of its covenants under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be waived and Buyer shall not be entitled to make a claim with respect thereto pursuant to the terms of this Agreement or otherwise.</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6.7 Non-Solicitation of Employees. </w:t>
      </w:r>
      <w:r>
        <w:rPr>
          <w:rFonts w:ascii="Arial" w:cs="Arial" w:eastAsia="Arial" w:hAnsi="Arial"/>
          <w:sz w:val="22"/>
          <w:szCs w:val="22"/>
          <w:color w:val="auto"/>
        </w:rPr>
        <w:t>Except with respect to the employees identified in the Transition Services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from the Execution Date until the one year anniversary of either the Closing Date or the termination of this Agreement, Buyer will not, and will cause its Affiliates not to, directly or indirectly, solicit for employment or employ any officer or employee of Sellers or their Affiliates without obtaining the prior written consent of Sellers, which consent shall not be unreasonably withheld. This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shall not apply to general solicitations of employment not specifically directed towards officer or employees of Sellers or their Affiliates or field workers.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77" w:name="page78"/>
    <w:bookmarkEnd w:id="77"/>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6.8 Sellers’ Existence. </w:t>
      </w:r>
      <w:r>
        <w:rPr>
          <w:rFonts w:ascii="Arial" w:cs="Arial" w:eastAsia="Arial" w:hAnsi="Arial"/>
          <w:sz w:val="22"/>
          <w:szCs w:val="22"/>
          <w:color w:val="auto"/>
        </w:rPr>
        <w:t>Until the expiration of the Survival Period, each Seller shall maintain its valid existence and good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standing under the Laws of the state of its formation and continue to be duly licensed or qualified to do business as a foreign limited partnership (except for EnerVest Holding) in the State of Texas.</w:t>
      </w:r>
    </w:p>
    <w:p>
      <w:pPr>
        <w:spacing w:after="0" w:line="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 xml:space="preserve">6.9 Financial Statements. </w:t>
      </w:r>
      <w:r>
        <w:rPr>
          <w:rFonts w:ascii="Arial" w:cs="Arial" w:eastAsia="Arial" w:hAnsi="Arial"/>
          <w:sz w:val="19"/>
          <w:szCs w:val="19"/>
          <w:color w:val="auto"/>
        </w:rPr>
        <w:t>From and after the date of this Agreement until December 31, 2016 (the “</w:t>
      </w:r>
      <w:r>
        <w:rPr>
          <w:rFonts w:ascii="Arial" w:cs="Arial" w:eastAsia="Arial" w:hAnsi="Arial"/>
          <w:sz w:val="19"/>
          <w:szCs w:val="19"/>
          <w:b w:val="1"/>
          <w:bCs w:val="1"/>
          <w:i w:val="1"/>
          <w:iCs w:val="1"/>
          <w:color w:val="auto"/>
        </w:rPr>
        <w:t>Records Period</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Sellers shall, and shall cause their Affiliates and their respective officers, directors, managers, employees, agents and representatives to, provide reasonable cooperation to Buyer, its Affiliates and their agents and representatives in connection with Buyer’s or its Affiliates’ filings, if any, that are required by the Securities and Exchange Commission, under securities laws applicable to Buyer and its Affiliates (collectively, the “</w:t>
      </w:r>
      <w:r>
        <w:rPr>
          <w:rFonts w:ascii="Arial" w:cs="Arial" w:eastAsia="Arial" w:hAnsi="Arial"/>
          <w:sz w:val="19"/>
          <w:szCs w:val="19"/>
          <w:b w:val="1"/>
          <w:bCs w:val="1"/>
          <w:i w:val="1"/>
          <w:iCs w:val="1"/>
          <w:color w:val="auto"/>
        </w:rPr>
        <w:t>Filings</w:t>
      </w:r>
      <w:r>
        <w:rPr>
          <w:rFonts w:ascii="Arial" w:cs="Arial" w:eastAsia="Arial" w:hAnsi="Arial"/>
          <w:sz w:val="19"/>
          <w:szCs w:val="19"/>
          <w:color w:val="auto"/>
        </w:rPr>
        <w:t>”). During the Records Period, Sellers agree to make available to Buyer and its Affiliates and their agents, auditors and representatives any and all books, records, information and documents that are attributable to the Assets in Sellers’ or their Affiliates’ possession or control and access to Sellers’ and their Affiliates’ personnel, in each case as reasonably required by Buyer, its Affiliates and their agents, auditors and representatives in order to prepare and audit, if required, in connection with the Filings, financial statements meeting the requirements of Regulation S-X under the Securities Act of 1933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During the Records Period, Sellers shall, and shall cause their Affiliates to, provide reasonable cooperation to the independent auditors chosen by Buyer (“</w:t>
      </w:r>
      <w:r>
        <w:rPr>
          <w:rFonts w:ascii="Arial" w:cs="Arial" w:eastAsia="Arial" w:hAnsi="Arial"/>
          <w:sz w:val="19"/>
          <w:szCs w:val="19"/>
          <w:b w:val="1"/>
          <w:bCs w:val="1"/>
          <w:i w:val="1"/>
          <w:iCs w:val="1"/>
          <w:color w:val="auto"/>
        </w:rPr>
        <w:t>Buyer’s Auditor</w:t>
      </w:r>
      <w:r>
        <w:rPr>
          <w:rFonts w:ascii="Arial" w:cs="Arial" w:eastAsia="Arial" w:hAnsi="Arial"/>
          <w:sz w:val="19"/>
          <w:szCs w:val="19"/>
          <w:color w:val="auto"/>
        </w:rPr>
        <w:t xml:space="preserve">”) in connection with any audit by Buyer’s Auditor of any financial statements of Sellers or their Affiliates with respect to the Assets that Buyer or any of its Affiliates requires to comply with the requirements of the Securities Act or the Securities Exchange Act of 1934 with respect to any Filings. During the Records Period, Sellers and their Affiliates shall retain all books, records, information and documents relating to the Assets for the three (3) fiscal years prior to January 1, 2013 and the period from January 1, 2013 through the Closing Date. Buyer will reimburse Sellers and their Affiliates, within ten (10) Business Days after demand in writing therefor, for any reasonable costs and expenses incurred by Sellers and their Affiliates in complying with the provision of this </w:t>
      </w:r>
      <w:r>
        <w:rPr>
          <w:rFonts w:ascii="Arial" w:cs="Arial" w:eastAsia="Arial" w:hAnsi="Arial"/>
          <w:sz w:val="19"/>
          <w:szCs w:val="19"/>
          <w:u w:val="single" w:color="auto"/>
          <w:color w:val="auto"/>
        </w:rPr>
        <w:t>Section 6.9</w:t>
      </w:r>
      <w:r>
        <w:rPr>
          <w:rFonts w:ascii="Arial" w:cs="Arial" w:eastAsia="Arial" w:hAnsi="Arial"/>
          <w:sz w:val="19"/>
          <w:szCs w:val="19"/>
          <w:color w:val="auto"/>
        </w:rPr>
        <w:t>.</w:t>
      </w:r>
    </w:p>
    <w:p>
      <w:pPr>
        <w:spacing w:after="0" w:line="157"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BUYER’S CONDITIONS TO CLOSING</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obligations of Buyer to consummate the transactions provided for herein are subject, at the option of Buyer, to the fulfillment by Sellers or waiver by Buyer, on or prior to Closing of each of the following conditions: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7.1 Representations. </w:t>
      </w:r>
      <w:r>
        <w:rPr>
          <w:rFonts w:ascii="Arial" w:cs="Arial" w:eastAsia="Arial" w:hAnsi="Arial"/>
          <w:sz w:val="22"/>
          <w:szCs w:val="22"/>
          <w:color w:val="auto"/>
        </w:rPr>
        <w:t>The representations and warranties of Sellers set forth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Article IV</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shall be true and correct in 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respects (without regard to materiality or Material Adverse Effect qualifiers in such representations) on and as of the Closing Date, with the same force and effect as though such representations and warranties had been made or given on and as of the Closing Date (other than representations and warranties that refer to a specified date, which need only be true and correct on and as of such specified date), except for those breaches, if any, of such representations and warranties that would not have a Material Adverse Effect.</w:t>
      </w:r>
    </w:p>
    <w:p>
      <w:pPr>
        <w:spacing w:after="0" w:line="229"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b w:val="1"/>
          <w:bCs w:val="1"/>
          <w:i w:val="1"/>
          <w:iCs w:val="1"/>
          <w:color w:val="auto"/>
        </w:rPr>
        <w:t xml:space="preserve">7.2 Performance. </w:t>
      </w:r>
      <w:r>
        <w:rPr>
          <w:rFonts w:ascii="Arial" w:cs="Arial" w:eastAsia="Arial" w:hAnsi="Arial"/>
          <w:sz w:val="19"/>
          <w:szCs w:val="19"/>
          <w:color w:val="auto"/>
        </w:rPr>
        <w:t>Sellers shall have materially performed or complied with all obligations, agreements and covenants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contained in this Agreement as to which performance or compliance by Sellers is required prior to or on the Closing Date.</w:t>
      </w:r>
    </w:p>
    <w:p>
      <w:pPr>
        <w:spacing w:after="0" w:line="1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i w:val="1"/>
          <w:iCs w:val="1"/>
          <w:color w:val="auto"/>
        </w:rPr>
        <w:t xml:space="preserve">7.3 No Legal Proceedings. </w:t>
      </w:r>
      <w:r>
        <w:rPr>
          <w:rFonts w:ascii="Arial" w:cs="Arial" w:eastAsia="Arial" w:hAnsi="Arial"/>
          <w:sz w:val="22"/>
          <w:szCs w:val="22"/>
          <w:color w:val="auto"/>
        </w:rPr>
        <w:t>No material suit, action, litigation or other proceeding by any Third Party shall be pending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before any Governmental Authority seeking to restrain, prohibit, enjoin or declare illegal, or seeking substantial damages in connection with, the transactions contemplated by this Agreement.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78" w:name="page79"/>
    <w:bookmarkEnd w:id="78"/>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i w:val="1"/>
          <w:iCs w:val="1"/>
          <w:color w:val="auto"/>
        </w:rPr>
        <w:t xml:space="preserve">7.4 Title Defects and Environmental Defects. </w:t>
      </w:r>
      <w:r>
        <w:rPr>
          <w:rFonts w:ascii="Arial" w:cs="Arial" w:eastAsia="Arial" w:hAnsi="Arial"/>
          <w:sz w:val="19"/>
          <w:szCs w:val="19"/>
          <w:color w:val="auto"/>
        </w:rPr>
        <w:t>In each case subject to the Individual Title Defect Threshold, the Individual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Environmental Threshold and the Aggregate Deductible, as applicable, the sum of (a) all Title Defect Amounts determined under </w:t>
      </w:r>
      <w:r>
        <w:rPr>
          <w:rFonts w:ascii="Arial" w:cs="Arial" w:eastAsia="Arial" w:hAnsi="Arial"/>
          <w:sz w:val="19"/>
          <w:szCs w:val="19"/>
          <w:u w:val="single" w:color="auto"/>
          <w:color w:val="auto"/>
        </w:rPr>
        <w:t>Section 11.2(g)</w:t>
      </w:r>
      <w:r>
        <w:rPr>
          <w:rFonts w:ascii="Arial" w:cs="Arial" w:eastAsia="Arial" w:hAnsi="Arial"/>
          <w:sz w:val="19"/>
          <w:szCs w:val="19"/>
          <w:color w:val="auto"/>
        </w:rPr>
        <w:t xml:space="preserve"> prior to Closing, less the sum of all Title Benefit Amounts determined under </w:t>
      </w:r>
      <w:r>
        <w:rPr>
          <w:rFonts w:ascii="Arial" w:cs="Arial" w:eastAsia="Arial" w:hAnsi="Arial"/>
          <w:sz w:val="19"/>
          <w:szCs w:val="19"/>
          <w:u w:val="single" w:color="auto"/>
          <w:color w:val="auto"/>
        </w:rPr>
        <w:t>Section 11.2(h)</w:t>
      </w:r>
      <w:r>
        <w:rPr>
          <w:rFonts w:ascii="Arial" w:cs="Arial" w:eastAsia="Arial" w:hAnsi="Arial"/>
          <w:sz w:val="19"/>
          <w:szCs w:val="19"/>
          <w:color w:val="auto"/>
        </w:rPr>
        <w:t xml:space="preserve"> prior to Closing, plus</w:t>
      </w:r>
    </w:p>
    <w:p>
      <w:pPr>
        <w:spacing w:after="0" w:line="1" w:lineRule="exact"/>
        <w:rPr>
          <w:sz w:val="20"/>
          <w:szCs w:val="20"/>
          <w:color w:val="auto"/>
        </w:rPr>
      </w:pPr>
    </w:p>
    <w:p>
      <w:pPr>
        <w:ind w:firstLine="8"/>
        <w:spacing w:after="0" w:line="246" w:lineRule="auto"/>
        <w:tabs>
          <w:tab w:leader="none" w:pos="323"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all Remediation Amounts for Environmental Defects determined under </w:t>
      </w:r>
      <w:r>
        <w:rPr>
          <w:rFonts w:ascii="Arial" w:cs="Arial" w:eastAsia="Arial" w:hAnsi="Arial"/>
          <w:sz w:val="22"/>
          <w:szCs w:val="22"/>
          <w:u w:val="single" w:color="auto"/>
          <w:color w:val="auto"/>
        </w:rPr>
        <w:t>Article XII</w:t>
      </w:r>
      <w:r>
        <w:rPr>
          <w:rFonts w:ascii="Arial" w:cs="Arial" w:eastAsia="Arial" w:hAnsi="Arial"/>
          <w:sz w:val="22"/>
          <w:szCs w:val="22"/>
          <w:color w:val="auto"/>
        </w:rPr>
        <w:t xml:space="preserve"> prior to Closing, plus (c) all Net Casualty Losses prior to Closing shall be less than 20% of the Purchase Price.</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b w:val="1"/>
          <w:bCs w:val="1"/>
          <w:i w:val="1"/>
          <w:iCs w:val="1"/>
          <w:color w:val="auto"/>
        </w:rPr>
        <w:t xml:space="preserve">7.5 Closing Deliverables. </w:t>
      </w:r>
      <w:r>
        <w:rPr>
          <w:rFonts w:ascii="Arial" w:cs="Arial" w:eastAsia="Arial" w:hAnsi="Arial"/>
          <w:sz w:val="22"/>
          <w:szCs w:val="22"/>
          <w:color w:val="auto"/>
        </w:rPr>
        <w:t>Sellers shall have delivered (or be ready, willing and able to deliver at Closing) to Buyer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documents and other items required to be delivered by Sellers under </w:t>
      </w:r>
      <w:r>
        <w:rPr>
          <w:rFonts w:ascii="Arial" w:cs="Arial" w:eastAsia="Arial" w:hAnsi="Arial"/>
          <w:sz w:val="22"/>
          <w:szCs w:val="22"/>
          <w:u w:val="single" w:color="auto"/>
          <w:color w:val="auto"/>
        </w:rPr>
        <w:t>Section 9.3</w:t>
      </w:r>
      <w:r>
        <w:rPr>
          <w:rFonts w:ascii="Arial" w:cs="Arial" w:eastAsia="Arial" w:hAnsi="Arial"/>
          <w:sz w:val="22"/>
          <w:szCs w:val="22"/>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SELLERS’ CONDITIONS TO CLOSING</w:t>
      </w:r>
    </w:p>
    <w:p>
      <w:pPr>
        <w:spacing w:after="0" w:line="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obligations of Sellers to consummate the transactions provided for herein are subject, at the option of Sellers, to the fulfillment by Buyer or waiver by Sellers on or prior to Closing of each of the following conditions:</w:t>
      </w:r>
    </w:p>
    <w:p>
      <w:pPr>
        <w:spacing w:after="0" w:line="19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b w:val="1"/>
          <w:bCs w:val="1"/>
          <w:i w:val="1"/>
          <w:iCs w:val="1"/>
          <w:color w:val="auto"/>
        </w:rPr>
        <w:t xml:space="preserve">8.1 Representations. </w:t>
      </w:r>
      <w:r>
        <w:rPr>
          <w:rFonts w:ascii="Arial" w:cs="Arial" w:eastAsia="Arial" w:hAnsi="Arial"/>
          <w:sz w:val="19"/>
          <w:szCs w:val="19"/>
          <w:color w:val="auto"/>
        </w:rPr>
        <w:t>The representations and warranties of Buyer set forth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Article V</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be true and correct in 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material respects (without regard to materiality qualifiers in such representations) on and as of the Closing Date, with the same force and effect as though such representations and warranties had been made or given on and as of the Closing Date (other than representations and warranties that refer to a specified date, which need only be true and correct on and as of such specified date).</w:t>
      </w:r>
    </w:p>
    <w:p>
      <w:pPr>
        <w:spacing w:after="0" w:line="179"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b w:val="1"/>
          <w:bCs w:val="1"/>
          <w:i w:val="1"/>
          <w:iCs w:val="1"/>
          <w:color w:val="auto"/>
        </w:rPr>
        <w:t xml:space="preserve">8.2 Performance. </w:t>
      </w:r>
      <w:r>
        <w:rPr>
          <w:rFonts w:ascii="Arial" w:cs="Arial" w:eastAsia="Arial" w:hAnsi="Arial"/>
          <w:sz w:val="19"/>
          <w:szCs w:val="19"/>
          <w:color w:val="auto"/>
        </w:rPr>
        <w:t>Buyer shall have materially performed or complied with all obligations, agreements and covenants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contained in this Agreement as to which performance or compliance by Buyer is required prior to or at the Closing Date.</w:t>
      </w:r>
    </w:p>
    <w:p>
      <w:pPr>
        <w:spacing w:after="0" w:line="1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i w:val="1"/>
          <w:iCs w:val="1"/>
          <w:color w:val="auto"/>
        </w:rPr>
        <w:t xml:space="preserve">8.3 No Legal Proceedings. </w:t>
      </w:r>
      <w:r>
        <w:rPr>
          <w:rFonts w:ascii="Arial" w:cs="Arial" w:eastAsia="Arial" w:hAnsi="Arial"/>
          <w:sz w:val="22"/>
          <w:szCs w:val="22"/>
          <w:color w:val="auto"/>
        </w:rPr>
        <w:t>No material suit, action, litigation or other proceeding by any Third Party shall be pending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before any Governmental Authority seeking to restrain, prohibit or declare illegal, or seeking substantial damages in connection with, the transactions contemplated by this Agreement.</w:t>
      </w:r>
    </w:p>
    <w:p>
      <w:pPr>
        <w:spacing w:after="0" w:line="21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i w:val="1"/>
          <w:iCs w:val="1"/>
          <w:color w:val="auto"/>
        </w:rPr>
        <w:t xml:space="preserve">8.4 Title Defects and Environmental Defects. </w:t>
      </w:r>
      <w:r>
        <w:rPr>
          <w:rFonts w:ascii="Arial" w:cs="Arial" w:eastAsia="Arial" w:hAnsi="Arial"/>
          <w:sz w:val="19"/>
          <w:szCs w:val="19"/>
          <w:color w:val="auto"/>
        </w:rPr>
        <w:t>In each case subject to the Individual Title Defect Threshold, the Individual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Environmental Threshold and the Aggregate Deductible, as applicable, the sum of (a) all Title Defect Amounts determined under </w:t>
      </w:r>
      <w:r>
        <w:rPr>
          <w:rFonts w:ascii="Arial" w:cs="Arial" w:eastAsia="Arial" w:hAnsi="Arial"/>
          <w:sz w:val="19"/>
          <w:szCs w:val="19"/>
          <w:u w:val="single" w:color="auto"/>
          <w:color w:val="auto"/>
        </w:rPr>
        <w:t>Section 11.2(g)</w:t>
      </w:r>
      <w:r>
        <w:rPr>
          <w:rFonts w:ascii="Arial" w:cs="Arial" w:eastAsia="Arial" w:hAnsi="Arial"/>
          <w:sz w:val="19"/>
          <w:szCs w:val="19"/>
          <w:color w:val="auto"/>
        </w:rPr>
        <w:t xml:space="preserve"> prior to Closing, less the sum of all Title Benefit Amounts determined under </w:t>
      </w:r>
      <w:r>
        <w:rPr>
          <w:rFonts w:ascii="Arial" w:cs="Arial" w:eastAsia="Arial" w:hAnsi="Arial"/>
          <w:sz w:val="19"/>
          <w:szCs w:val="19"/>
          <w:u w:val="single" w:color="auto"/>
          <w:color w:val="auto"/>
        </w:rPr>
        <w:t>Section 11.2(h)</w:t>
      </w:r>
      <w:r>
        <w:rPr>
          <w:rFonts w:ascii="Arial" w:cs="Arial" w:eastAsia="Arial" w:hAnsi="Arial"/>
          <w:sz w:val="19"/>
          <w:szCs w:val="19"/>
          <w:color w:val="auto"/>
        </w:rPr>
        <w:t xml:space="preserve"> prior to Closing, plus</w:t>
      </w:r>
    </w:p>
    <w:p>
      <w:pPr>
        <w:spacing w:after="0" w:line="1" w:lineRule="exact"/>
        <w:rPr>
          <w:sz w:val="20"/>
          <w:szCs w:val="20"/>
          <w:color w:val="auto"/>
        </w:rPr>
      </w:pPr>
    </w:p>
    <w:p>
      <w:pPr>
        <w:ind w:firstLine="8"/>
        <w:spacing w:after="0" w:line="246" w:lineRule="auto"/>
        <w:tabs>
          <w:tab w:leader="none" w:pos="323"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all Remediation Amounts for Environmental Defects determined under </w:t>
      </w:r>
      <w:r>
        <w:rPr>
          <w:rFonts w:ascii="Arial" w:cs="Arial" w:eastAsia="Arial" w:hAnsi="Arial"/>
          <w:sz w:val="22"/>
          <w:szCs w:val="22"/>
          <w:u w:val="single" w:color="auto"/>
          <w:color w:val="auto"/>
        </w:rPr>
        <w:t>Article XII</w:t>
      </w:r>
      <w:r>
        <w:rPr>
          <w:rFonts w:ascii="Arial" w:cs="Arial" w:eastAsia="Arial" w:hAnsi="Arial"/>
          <w:sz w:val="22"/>
          <w:szCs w:val="22"/>
          <w:color w:val="auto"/>
        </w:rPr>
        <w:t xml:space="preserve"> prior to Closing, plus (c) all Net Casualty Losses prior to Closing shall be less than 20% of the Purchase Price.</w:t>
      </w:r>
    </w:p>
    <w:p>
      <w:pPr>
        <w:spacing w:after="0" w:line="23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b w:val="1"/>
          <w:bCs w:val="1"/>
          <w:i w:val="1"/>
          <w:iCs w:val="1"/>
          <w:color w:val="auto"/>
        </w:rPr>
        <w:t xml:space="preserve">8.5 Replacement Bonds and Guarantees. </w:t>
      </w:r>
      <w:r>
        <w:rPr>
          <w:rFonts w:ascii="Arial" w:cs="Arial" w:eastAsia="Arial" w:hAnsi="Arial"/>
          <w:sz w:val="22"/>
          <w:szCs w:val="22"/>
          <w:color w:val="auto"/>
        </w:rPr>
        <w:t>Buyer shall have obtained, in the name of Buyer, replacements for Sellers’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their Affiliates’ bonds, letters of credit and guarantees, to the extent required by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201"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b w:val="1"/>
          <w:bCs w:val="1"/>
          <w:i w:val="1"/>
          <w:iCs w:val="1"/>
          <w:color w:val="auto"/>
        </w:rPr>
        <w:t xml:space="preserve">8.6 Closing Deliverables. </w:t>
      </w:r>
      <w:r>
        <w:rPr>
          <w:rFonts w:ascii="Arial" w:cs="Arial" w:eastAsia="Arial" w:hAnsi="Arial"/>
          <w:sz w:val="22"/>
          <w:szCs w:val="22"/>
          <w:color w:val="auto"/>
        </w:rPr>
        <w:t>Buyer shall have delivered (or be ready, willing and able to deliver at Closing) to Sellers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documents and other items required to be delivered by Buyer under </w:t>
      </w:r>
      <w:r>
        <w:rPr>
          <w:rFonts w:ascii="Arial" w:cs="Arial" w:eastAsia="Arial" w:hAnsi="Arial"/>
          <w:sz w:val="22"/>
          <w:szCs w:val="22"/>
          <w:u w:val="single" w:color="auto"/>
          <w:color w:val="auto"/>
        </w:rPr>
        <w:t>Section 9.3</w:t>
      </w:r>
      <w:r>
        <w:rPr>
          <w:rFonts w:ascii="Arial" w:cs="Arial" w:eastAsia="Arial" w:hAnsi="Arial"/>
          <w:sz w:val="22"/>
          <w:szCs w:val="22"/>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w:t>
      </w:r>
    </w:p>
    <w:p>
      <w:pPr>
        <w:spacing w:after="0" w:line="4" w:lineRule="exact"/>
        <w:rPr>
          <w:sz w:val="20"/>
          <w:szCs w:val="20"/>
          <w:color w:val="auto"/>
        </w:rPr>
      </w:pPr>
    </w:p>
    <w:p>
      <w:pPr>
        <w:ind w:firstLine="648"/>
        <w:spacing w:after="0" w:line="259" w:lineRule="auto"/>
        <w:rPr>
          <w:sz w:val="20"/>
          <w:szCs w:val="20"/>
          <w:color w:val="auto"/>
        </w:rPr>
      </w:pPr>
      <w:r>
        <w:rPr>
          <w:rFonts w:ascii="Arial" w:cs="Arial" w:eastAsia="Arial" w:hAnsi="Arial"/>
          <w:sz w:val="22"/>
          <w:szCs w:val="22"/>
          <w:b w:val="1"/>
          <w:bCs w:val="1"/>
          <w:i w:val="1"/>
          <w:iCs w:val="1"/>
          <w:color w:val="auto"/>
        </w:rPr>
        <w:t xml:space="preserve">9.1 Date of Closing. </w:t>
      </w:r>
      <w:r>
        <w:rPr>
          <w:rFonts w:ascii="Arial" w:cs="Arial" w:eastAsia="Arial" w:hAnsi="Arial"/>
          <w:sz w:val="22"/>
          <w:szCs w:val="22"/>
          <w:color w:val="auto"/>
        </w:rPr>
        <w:t>Subject to the conditions stated in this Agreement, the sale by Sellers and the purchase by Buyer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Assets pursuant to this Agreement (the “</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shall occur on January 31,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79" w:name="page80"/>
    <w:bookmarkEnd w:id="79"/>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2014, or such other date as Buyer and Sellers may agree upon in writing. The date on which the Closing actually occurs shall be the “</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b w:val="1"/>
          <w:bCs w:val="1"/>
          <w:i w:val="1"/>
          <w:iCs w:val="1"/>
          <w:color w:val="auto"/>
        </w:rPr>
        <w:t xml:space="preserve">9.2 Place of Closing. </w:t>
      </w:r>
      <w:r>
        <w:rPr>
          <w:rFonts w:ascii="Arial" w:cs="Arial" w:eastAsia="Arial" w:hAnsi="Arial"/>
          <w:sz w:val="22"/>
          <w:szCs w:val="22"/>
          <w:color w:val="auto"/>
        </w:rPr>
        <w:t>The Closing shall be held at the offices of Vinson &amp; Elkins L.L.P., 1001 Fannin, Suite 2500,</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Houston, Texas 77002, or such other place as mutually agreed upon by the Parties.</w:t>
      </w:r>
    </w:p>
    <w:p>
      <w:pPr>
        <w:spacing w:after="0" w:line="2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9.3 Closing Obligations. </w:t>
      </w:r>
      <w:r>
        <w:rPr>
          <w:rFonts w:ascii="Arial" w:cs="Arial" w:eastAsia="Arial" w:hAnsi="Arial"/>
          <w:sz w:val="22"/>
          <w:szCs w:val="22"/>
          <w:color w:val="auto"/>
        </w:rPr>
        <w:t>At Closing, the following documents shall be delivered and the following events shall occur,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execution of each document and the occurrence of each event being a condition precedent to the others and each being deemed to have occurred simultaneously with the others:</w:t>
      </w:r>
    </w:p>
    <w:p>
      <w:pPr>
        <w:spacing w:after="0" w:line="1" w:lineRule="exact"/>
        <w:rPr>
          <w:sz w:val="20"/>
          <w:szCs w:val="20"/>
          <w:color w:val="auto"/>
        </w:rPr>
      </w:pPr>
    </w:p>
    <w:p>
      <w:pPr>
        <w:ind w:firstLine="1305"/>
        <w:spacing w:after="0" w:line="246" w:lineRule="auto"/>
        <w:tabs>
          <w:tab w:leader="none" w:pos="2095"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Each of Sellers and Buyer shall execute, acknowledge and deliver the Assignment in sufficient counterparts to facilitate recording in the applicable counties covering the Assets.</w:t>
      </w:r>
    </w:p>
    <w:p>
      <w:pPr>
        <w:spacing w:after="0" w:line="233" w:lineRule="exact"/>
        <w:rPr>
          <w:rFonts w:ascii="Arial" w:cs="Arial" w:eastAsia="Arial" w:hAnsi="Arial"/>
          <w:sz w:val="22"/>
          <w:szCs w:val="22"/>
          <w:color w:val="auto"/>
        </w:rPr>
      </w:pPr>
    </w:p>
    <w:p>
      <w:pPr>
        <w:ind w:firstLine="1305"/>
        <w:spacing w:after="0" w:line="263" w:lineRule="auto"/>
        <w:tabs>
          <w:tab w:leader="none" w:pos="2107" w:val="left"/>
        </w:tabs>
        <w:numPr>
          <w:ilvl w:val="0"/>
          <w:numId w:val="43"/>
        </w:numPr>
        <w:rPr>
          <w:rFonts w:ascii="Arial" w:cs="Arial" w:eastAsia="Arial" w:hAnsi="Arial"/>
          <w:sz w:val="21"/>
          <w:szCs w:val="21"/>
          <w:color w:val="auto"/>
        </w:rPr>
      </w:pPr>
      <w:r>
        <w:rPr>
          <w:rFonts w:ascii="Arial" w:cs="Arial" w:eastAsia="Arial" w:hAnsi="Arial"/>
          <w:sz w:val="21"/>
          <w:szCs w:val="21"/>
          <w:color w:val="auto"/>
        </w:rPr>
        <w:t>Each of Sellers and Buyer shall execute and deliver assignments on appropriate forms of any state Leases included in the Assets in sufficient counterparts to facilitate filing with the applicable Governmental Authority.</w:t>
      </w:r>
    </w:p>
    <w:p>
      <w:pPr>
        <w:spacing w:after="0" w:line="1" w:lineRule="exact"/>
        <w:rPr>
          <w:rFonts w:ascii="Arial" w:cs="Arial" w:eastAsia="Arial" w:hAnsi="Arial"/>
          <w:sz w:val="21"/>
          <w:szCs w:val="21"/>
          <w:color w:val="auto"/>
        </w:rPr>
      </w:pPr>
    </w:p>
    <w:p>
      <w:pPr>
        <w:ind w:left="2100" w:hanging="795"/>
        <w:spacing w:after="0"/>
        <w:tabs>
          <w:tab w:leader="none" w:pos="21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Each of Sellers and Buyer shall execute and deliver the Preliminary Settlement Statement.</w:t>
      </w:r>
    </w:p>
    <w:p>
      <w:pPr>
        <w:spacing w:after="0" w:line="3" w:lineRule="exact"/>
        <w:rPr>
          <w:rFonts w:ascii="Arial" w:cs="Arial" w:eastAsia="Arial" w:hAnsi="Arial"/>
          <w:sz w:val="22"/>
          <w:szCs w:val="22"/>
          <w:color w:val="auto"/>
        </w:rPr>
      </w:pPr>
    </w:p>
    <w:p>
      <w:pPr>
        <w:jc w:val="both"/>
        <w:ind w:firstLine="1305"/>
        <w:spacing w:after="0" w:line="243" w:lineRule="auto"/>
        <w:tabs>
          <w:tab w:leader="none" w:pos="2107"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11.2(c)</w:t>
      </w:r>
      <w:r>
        <w:rPr>
          <w:rFonts w:ascii="Arial" w:cs="Arial" w:eastAsia="Arial" w:hAnsi="Arial"/>
          <w:sz w:val="22"/>
          <w:szCs w:val="22"/>
          <w:color w:val="auto"/>
        </w:rPr>
        <w:t xml:space="preserve">, Buyer shall deliver to Sellers, to the account designated in the Preliminary Settlement Statement, by direct bank or wire transfer in immediately available funds, the Adjusted Purchase Price after giving effect to the Deposit and interest earned on the Deposit and for the avoidance of doubt, less such amount to be held in escrow pursuant to </w:t>
      </w:r>
      <w:r>
        <w:rPr>
          <w:rFonts w:ascii="Arial" w:cs="Arial" w:eastAsia="Arial" w:hAnsi="Arial"/>
          <w:sz w:val="22"/>
          <w:szCs w:val="22"/>
          <w:u w:val="single" w:color="auto"/>
          <w:color w:val="auto"/>
        </w:rPr>
        <w:t>Section 11.2(c)</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jc w:val="both"/>
        <w:ind w:firstLine="1305"/>
        <w:spacing w:after="0" w:line="255" w:lineRule="auto"/>
        <w:tabs>
          <w:tab w:leader="none" w:pos="2095"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Buyer and Sellers shall execute joint written instructions to the Escrow Agent to (i) deliver interest earned on the Deposit prior to Closing to Sellers, to the account designated in the Preliminary Settlement Statement, by direct bank or wire transfer in immediately available funds and (ii) retain the Deposit in accordance with </w:t>
      </w:r>
      <w:r>
        <w:rPr>
          <w:rFonts w:ascii="Arial" w:cs="Arial" w:eastAsia="Arial" w:hAnsi="Arial"/>
          <w:sz w:val="21"/>
          <w:szCs w:val="21"/>
          <w:u w:val="single" w:color="auto"/>
          <w:color w:val="auto"/>
        </w:rPr>
        <w:t>Section 3.10</w:t>
      </w:r>
      <w:r>
        <w:rPr>
          <w:rFonts w:ascii="Arial" w:cs="Arial" w:eastAsia="Arial" w:hAnsi="Arial"/>
          <w:sz w:val="21"/>
          <w:szCs w:val="21"/>
          <w:color w:val="auto"/>
        </w:rPr>
        <w:t>.</w:t>
      </w:r>
    </w:p>
    <w:p>
      <w:pPr>
        <w:jc w:val="both"/>
        <w:ind w:firstLine="1305"/>
        <w:spacing w:after="0" w:line="255" w:lineRule="auto"/>
        <w:tabs>
          <w:tab w:leader="none" w:pos="2071" w:val="left"/>
        </w:tabs>
        <w:numPr>
          <w:ilvl w:val="0"/>
          <w:numId w:val="43"/>
        </w:numPr>
        <w:rPr>
          <w:rFonts w:ascii="Arial" w:cs="Arial" w:eastAsia="Arial" w:hAnsi="Arial"/>
          <w:sz w:val="21"/>
          <w:szCs w:val="21"/>
          <w:color w:val="auto"/>
        </w:rPr>
      </w:pPr>
      <w:r>
        <w:rPr>
          <w:rFonts w:ascii="Arial" w:cs="Arial" w:eastAsia="Arial" w:hAnsi="Arial"/>
          <w:sz w:val="21"/>
          <w:szCs w:val="21"/>
          <w:color w:val="auto"/>
        </w:rPr>
        <w:t>Each Seller shall deliver, on forms supplied by Buyer and reasonably acceptable to Sellers, transfer orders or letters in lieu thereof directing all purchasers of production to make payment to Buyer of proceeds attributable to production from the Assets from and after the Effective Time, for delivery by Buyer to the purchasers of production.</w:t>
      </w:r>
    </w:p>
    <w:p>
      <w:pPr>
        <w:ind w:firstLine="1305"/>
        <w:spacing w:after="0" w:line="243" w:lineRule="auto"/>
        <w:tabs>
          <w:tab w:leader="none" w:pos="2107"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Each Seller shall deliver an executed certificate of non-foreign status that meets the requirements set forth in Treasury Regulation § 1.1445-2(b)(2).</w:t>
      </w:r>
    </w:p>
    <w:p>
      <w:pPr>
        <w:jc w:val="both"/>
        <w:ind w:firstLine="1305"/>
        <w:spacing w:after="0" w:line="243" w:lineRule="auto"/>
        <w:tabs>
          <w:tab w:leader="none" w:pos="2107"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the extent required under any Law or by any Governmental Authority for any Lease or Well, Sellers and Buyer shall deliver state change of operator forms designating Buyer as the operator of the Wells and the Leases currently operated by any Seller.</w:t>
      </w:r>
    </w:p>
    <w:p>
      <w:pPr>
        <w:spacing w:after="0" w:line="1" w:lineRule="exact"/>
        <w:rPr>
          <w:rFonts w:ascii="Arial" w:cs="Arial" w:eastAsia="Arial" w:hAnsi="Arial"/>
          <w:sz w:val="22"/>
          <w:szCs w:val="22"/>
          <w:color w:val="auto"/>
        </w:rPr>
      </w:pPr>
    </w:p>
    <w:p>
      <w:pPr>
        <w:jc w:val="both"/>
        <w:ind w:firstLine="1305"/>
        <w:spacing w:after="0" w:line="243" w:lineRule="auto"/>
        <w:tabs>
          <w:tab w:leader="none" w:pos="2059"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An authorized officer of each Seller shall execute and deliver a certificate, dated as of Closing Date, certifying that the conditions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have been fulfilled and, if applicable, any exceptions to such conditions that have been waived by Buyer.</w:t>
      </w:r>
    </w:p>
    <w:p>
      <w:pPr>
        <w:spacing w:after="0" w:line="1" w:lineRule="exact"/>
        <w:rPr>
          <w:rFonts w:ascii="Arial" w:cs="Arial" w:eastAsia="Arial" w:hAnsi="Arial"/>
          <w:sz w:val="22"/>
          <w:szCs w:val="22"/>
          <w:color w:val="auto"/>
        </w:rPr>
      </w:pPr>
    </w:p>
    <w:p>
      <w:pPr>
        <w:jc w:val="both"/>
        <w:ind w:firstLine="1305"/>
        <w:spacing w:after="0" w:line="243" w:lineRule="auto"/>
        <w:tabs>
          <w:tab w:leader="none" w:pos="2059"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An authorized officer of Buyer shall execute and deliver a certificate, dated as of Closing, certifying that the conditions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have been fulfilled and, if applicable, any exceptions to such conditions that have been waived by Sellers.</w:t>
      </w:r>
    </w:p>
    <w:p>
      <w:pPr>
        <w:spacing w:after="0" w:line="1" w:lineRule="exact"/>
        <w:rPr>
          <w:rFonts w:ascii="Arial" w:cs="Arial" w:eastAsia="Arial" w:hAnsi="Arial"/>
          <w:sz w:val="22"/>
          <w:szCs w:val="22"/>
          <w:color w:val="auto"/>
        </w:rPr>
      </w:pPr>
    </w:p>
    <w:p>
      <w:pPr>
        <w:ind w:left="2120" w:hanging="815"/>
        <w:spacing w:after="0"/>
        <w:tabs>
          <w:tab w:leader="none" w:pos="21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Sellers and Buyer shall execute and deliver the Transition Services Agreement.</w:t>
      </w:r>
    </w:p>
    <w:p>
      <w:pPr>
        <w:spacing w:after="0" w:line="3" w:lineRule="exact"/>
        <w:rPr>
          <w:rFonts w:ascii="Arial" w:cs="Arial" w:eastAsia="Arial" w:hAnsi="Arial"/>
          <w:sz w:val="22"/>
          <w:szCs w:val="22"/>
          <w:color w:val="auto"/>
        </w:rPr>
      </w:pPr>
    </w:p>
    <w:p>
      <w:pPr>
        <w:ind w:left="2060" w:hanging="755"/>
        <w:spacing w:after="0"/>
        <w:tabs>
          <w:tab w:leader="none" w:pos="20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Sellers and Buyer shall deliver any instruments and documents required by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ind w:left="2180" w:hanging="875"/>
        <w:spacing w:after="0"/>
        <w:tabs>
          <w:tab w:leader="none" w:pos="21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Each of Sellers and Buyer shall execute and deliver any other agreements, instruments</w:t>
      </w: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i w:val="1"/>
          <w:iCs w:val="1"/>
          <w:color w:val="auto"/>
        </w:rPr>
        <w:t xml:space="preserve">9.4 Records. </w:t>
      </w:r>
      <w:r>
        <w:rPr>
          <w:rFonts w:ascii="Arial" w:cs="Arial" w:eastAsia="Arial" w:hAnsi="Arial"/>
          <w:sz w:val="22"/>
          <w:szCs w:val="22"/>
          <w:color w:val="auto"/>
        </w:rPr>
        <w:t>In addition to the obligations set forth under</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9.3</w:t>
      </w:r>
      <w:r>
        <w:rPr>
          <w:rFonts w:ascii="Arial" w:cs="Arial" w:eastAsia="Arial" w:hAnsi="Arial"/>
          <w:sz w:val="22"/>
          <w:szCs w:val="22"/>
          <w:color w:val="auto"/>
        </w:rPr>
        <w:t>, but notwithstanding anything herein to the contrary,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 later than 30 Business Days after the Closing Date, Sellers shall make available to Buyer the Records for pickup from Sellers’ offices during normal business hours.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 DISCLAIMERS</w:t>
      </w:r>
    </w:p>
    <w:p>
      <w:pPr>
        <w:spacing w:after="0" w:line="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7"/>
          <w:szCs w:val="17"/>
          <w:b w:val="1"/>
          <w:bCs w:val="1"/>
          <w:color w:val="auto"/>
        </w:rPr>
        <w:t>Access.</w:t>
      </w:r>
    </w:p>
    <w:p>
      <w:pPr>
        <w:spacing w:after="0" w:line="4" w:lineRule="exact"/>
        <w:rPr>
          <w:sz w:val="20"/>
          <w:szCs w:val="20"/>
          <w:color w:val="auto"/>
        </w:rPr>
      </w:pPr>
    </w:p>
    <w:p>
      <w:pPr>
        <w:jc w:val="both"/>
        <w:ind w:firstLine="1305"/>
        <w:spacing w:after="0" w:line="283" w:lineRule="auto"/>
        <w:tabs>
          <w:tab w:leader="none" w:pos="191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From and after the date hereof and up to and including the Closing Date (or earlier termination of this Agreement) but subject to the other provisions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obtaining any required consents of Third Parties, including Third Party operators of the Assets, Sellers shall afford to Buyer and its officers, employees, agents, accountants, consultants, attorneys and other authorized representatives (“</w:t>
      </w:r>
      <w:r>
        <w:rPr>
          <w:rFonts w:ascii="Arial" w:cs="Arial" w:eastAsia="Arial" w:hAnsi="Arial"/>
          <w:sz w:val="19"/>
          <w:szCs w:val="19"/>
          <w:b w:val="1"/>
          <w:bCs w:val="1"/>
          <w:i w:val="1"/>
          <w:iCs w:val="1"/>
          <w:color w:val="auto"/>
        </w:rPr>
        <w:t>Buyer’s Representatives</w:t>
      </w:r>
      <w:r>
        <w:rPr>
          <w:rFonts w:ascii="Arial" w:cs="Arial" w:eastAsia="Arial" w:hAnsi="Arial"/>
          <w:sz w:val="19"/>
          <w:szCs w:val="19"/>
          <w:color w:val="auto"/>
        </w:rPr>
        <w:t>”) reasonable access between the hours of 7:00 a.m. and 6:00 p.m., local time, Mondays through Fridays (excluding holidays), as mutually agreed by the Parties on Saturdays and Sundays (excluding holidays) and upon Buyer’s request, between the hours that the Parties may mutually agree, on December 7, 2013 and December 8, 2013, to the Assets and all Records in Sellers’ or any of their Affiliates’ possession. Buyer shall be permitted to make photocopies of the Records, which photocopies may be removed from the Records facilities by Buyer solely for use in connection with Buyer’s investigation and conduct of due diligence related to the Assets. All investigations and due diligence conducted by Buyer or any Buyer’s Representative shall be conducted at Buyer’s sole cost, risk and expense and any conclusions made from any examination done by Buyer or any Buyer’s Representative shall result from Buyer’s own independent review and judgment.</w:t>
      </w:r>
    </w:p>
    <w:p>
      <w:pPr>
        <w:spacing w:after="0" w:line="2" w:lineRule="exact"/>
        <w:rPr>
          <w:rFonts w:ascii="Arial" w:cs="Arial" w:eastAsia="Arial" w:hAnsi="Arial"/>
          <w:sz w:val="19"/>
          <w:szCs w:val="19"/>
          <w:color w:val="auto"/>
        </w:rPr>
      </w:pPr>
    </w:p>
    <w:p>
      <w:pPr>
        <w:jc w:val="both"/>
        <w:ind w:firstLine="1305"/>
        <w:spacing w:after="0" w:line="281" w:lineRule="auto"/>
        <w:tabs>
          <w:tab w:leader="none" w:pos="1774" w:val="left"/>
        </w:tabs>
        <w:numPr>
          <w:ilvl w:val="0"/>
          <w:numId w:val="44"/>
        </w:numPr>
        <w:rPr>
          <w:rFonts w:ascii="Arial" w:cs="Arial" w:eastAsia="Arial" w:hAnsi="Arial"/>
          <w:sz w:val="19"/>
          <w:szCs w:val="19"/>
          <w:color w:val="auto"/>
        </w:rPr>
      </w:pPr>
      <w:r>
        <w:rPr>
          <w:rFonts w:ascii="Arial" w:cs="Arial" w:eastAsia="Arial" w:hAnsi="Arial"/>
          <w:sz w:val="19"/>
          <w:szCs w:val="19"/>
          <w:color w:val="auto"/>
        </w:rPr>
        <w:t>Buyer shall be entitled to conduct a Phase I environmental property assessment with respect to the Assets to be conducted by a reputable environmental consulting or engineering firm approved in advance in writing by Sellers; provided further that any sampling or invasive activity by Buyer or Buyer’s Representatives shall require the prior written consent of Sellers, which consent shall not be unreasonably withheld, and Sellers shall have the right to be present during any stage of the assessment. Buyer shall give Sellers reasonable prior written notice before entering onto any of the Assets, and Sellers or their designee shall have the right to accompany Buyer and Buyer’s Representatives whenever they are on site on the Assets. Notwithstanding anything herein to the contrary, Buyer shall not have access to, and shall not be permitted to conduct any environmental due diligence (including any Phase I environmental property assessment) with respect to, any Assets with respect to which Sellers do not have the authority to grant access for such due diligence. Sellers shall use commercially reasonable efforts to obtain access rights from Third Parties for Buyer to conduct its investigation and due diligence of the Assets; provided that Sellers shall not be required to incur any Liability or pay any money in order to obtain such access rights.</w:t>
      </w:r>
    </w:p>
    <w:p>
      <w:pPr>
        <w:spacing w:after="0" w:line="8" w:lineRule="exact"/>
        <w:rPr>
          <w:rFonts w:ascii="Arial" w:cs="Arial" w:eastAsia="Arial" w:hAnsi="Arial"/>
          <w:sz w:val="19"/>
          <w:szCs w:val="19"/>
          <w:color w:val="auto"/>
        </w:rPr>
      </w:pPr>
    </w:p>
    <w:p>
      <w:pPr>
        <w:jc w:val="both"/>
        <w:ind w:firstLine="1305"/>
        <w:spacing w:after="0" w:line="281" w:lineRule="auto"/>
        <w:tabs>
          <w:tab w:leader="none" w:pos="186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Buyer shall coordinate its environmental property assessments and physical inspections of the Assets with Sellers and all Third Party operators to minimize any inconvenience to or interruption of the conduct of business by Sellers or such Third Party operators. Buyer shall abide by Sellers’, and any Third Party operator’s, safety rules, regulations and operating policies while conducting its due diligence evaluation of the Assets, including any environmental or other inspection or assessment of the Assets and, to the extent required by Sellers or any Third Party operator, execute and deliver any required boarding agreement of Sellers or any such Third Party operator. Buyer hereby defends, indemnifies and holds harmless each of the operators of the Assets and the Seller Indemnified Parties from and against any and all Liabilities arising out of, resulting from or relating to any field visit, environmental property assessment or other due diligence activity conducted by Buyer or any Buyer’s Representative with respect to the Assets, </w:t>
      </w:r>
      <w:r>
        <w:rPr>
          <w:rFonts w:ascii="Arial" w:cs="Arial" w:eastAsia="Arial" w:hAnsi="Arial"/>
          <w:sz w:val="19"/>
          <w:szCs w:val="19"/>
          <w:b w:val="1"/>
          <w:bCs w:val="1"/>
          <w:color w:val="auto"/>
        </w:rPr>
        <w:t>EVEN IF SUCH LIABILITIES ARISE OUT OF OR RESULT FROM, SOLELY OR IN PART, THE SOLE,</w:t>
      </w:r>
    </w:p>
    <w:p>
      <w:pPr>
        <w:spacing w:after="0" w:line="7"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b w:val="1"/>
          <w:bCs w:val="1"/>
          <w:color w:val="auto"/>
        </w:rPr>
        <w:t>ACTIVE, PASSIVE, CONCURRENT OR COMPARATIVE NEGLIGENCE, STRICT LIABILITY OR OTHER FAULT OR VIOLATION OF LAW OF OR BY A MEMBER OF THE SELLER INDEMNIFIED PARTIES, EXCEPTING ONLY LIABILITIES TO THE EXTENT ACTUALLY RESULTING FROM THE GROSS NEGLIGENCE OR WILLFUL MISCONDUCT OF A MEMBER OF THE SELLER INDEMNIFIED PARTIES</w:t>
      </w:r>
      <w:r>
        <w:rPr>
          <w:rFonts w:ascii="Arial" w:cs="Arial" w:eastAsia="Arial" w:hAnsi="Arial"/>
          <w:sz w:val="22"/>
          <w:szCs w:val="22"/>
          <w:color w:val="auto"/>
        </w:rPr>
        <w: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jc w:val="both"/>
        <w:ind w:firstLine="1305"/>
        <w:spacing w:after="0" w:line="297" w:lineRule="auto"/>
        <w:tabs>
          <w:tab w:leader="none" w:pos="1779" w:val="left"/>
        </w:tabs>
        <w:numPr>
          <w:ilvl w:val="0"/>
          <w:numId w:val="45"/>
        </w:numPr>
        <w:rPr>
          <w:rFonts w:ascii="Arial" w:cs="Arial" w:eastAsia="Arial" w:hAnsi="Arial"/>
          <w:sz w:val="19"/>
          <w:szCs w:val="19"/>
          <w:color w:val="auto"/>
        </w:rPr>
      </w:pPr>
      <w:r>
        <w:rPr>
          <w:rFonts w:ascii="Arial" w:cs="Arial" w:eastAsia="Arial" w:hAnsi="Arial"/>
          <w:sz w:val="19"/>
          <w:szCs w:val="19"/>
          <w:color w:val="auto"/>
        </w:rPr>
        <w:t>Buyer agrees to provide Sellers, on or before the Environmental Claim Date, copies of all final reports and test results prepared by Buyer or any of Buyer’s Representatives which contain data collected or generated from Buyer’s due diligence with respect to Environmental Defects as to which Buyer provides Sellers an Environmental Defect Notice. Sellers shall not be deemed by their receipt of said documents or otherwise to have made any representation or warranty, expressed, implied or statutory, as to the condition of the Assets or to the accuracy of said documents or the information contained therein.</w:t>
      </w:r>
    </w:p>
    <w:p>
      <w:pPr>
        <w:spacing w:after="0" w:line="187" w:lineRule="exact"/>
        <w:rPr>
          <w:rFonts w:ascii="Arial" w:cs="Arial" w:eastAsia="Arial" w:hAnsi="Arial"/>
          <w:sz w:val="19"/>
          <w:szCs w:val="19"/>
          <w:color w:val="auto"/>
        </w:rPr>
      </w:pPr>
    </w:p>
    <w:p>
      <w:pPr>
        <w:jc w:val="both"/>
        <w:ind w:firstLine="1305"/>
        <w:spacing w:after="0" w:line="247" w:lineRule="auto"/>
        <w:tabs>
          <w:tab w:leader="none" w:pos="1824" w:val="left"/>
        </w:tabs>
        <w:numPr>
          <w:ilvl w:val="0"/>
          <w:numId w:val="45"/>
        </w:numPr>
        <w:rPr>
          <w:rFonts w:ascii="Arial" w:cs="Arial" w:eastAsia="Arial" w:hAnsi="Arial"/>
          <w:sz w:val="22"/>
          <w:szCs w:val="22"/>
          <w:color w:val="auto"/>
        </w:rPr>
      </w:pPr>
      <w:r>
        <w:rPr>
          <w:rFonts w:ascii="Arial" w:cs="Arial" w:eastAsia="Arial" w:hAnsi="Arial"/>
          <w:sz w:val="22"/>
          <w:szCs w:val="22"/>
          <w:color w:val="auto"/>
        </w:rPr>
        <w:t>Upon completion of Buyer’s due diligence, Buyer shall at its sole cost and expense and without any cost or expense to Sellers or their Affiliates (i) repair all damage done to the Assets in connection with Buyer’s due diligence, (ii) restore the Assets to the approximate same condition as, or better condition than, they were prior to commencement of Buyer’s due diligence and (iii) remove all equipment, tools or other property brought onto the Assets in connection with Buyer’s due diligence. Any disturbance to the Assets (including the leasehold associated therewith) resulting from Buyer’s due diligence will be promptly corrected by Buyer.</w:t>
      </w:r>
    </w:p>
    <w:p>
      <w:pPr>
        <w:spacing w:after="0" w:line="234" w:lineRule="exact"/>
        <w:rPr>
          <w:rFonts w:ascii="Arial" w:cs="Arial" w:eastAsia="Arial" w:hAnsi="Arial"/>
          <w:sz w:val="22"/>
          <w:szCs w:val="22"/>
          <w:color w:val="auto"/>
        </w:rPr>
      </w:pPr>
    </w:p>
    <w:p>
      <w:pPr>
        <w:jc w:val="both"/>
        <w:ind w:firstLine="1305"/>
        <w:spacing w:after="0" w:line="294" w:lineRule="auto"/>
        <w:tabs>
          <w:tab w:leader="none" w:pos="1765" w:val="left"/>
        </w:tabs>
        <w:numPr>
          <w:ilvl w:val="0"/>
          <w:numId w:val="45"/>
        </w:numPr>
        <w:rPr>
          <w:rFonts w:ascii="Arial" w:cs="Arial" w:eastAsia="Arial" w:hAnsi="Arial"/>
          <w:sz w:val="19"/>
          <w:szCs w:val="19"/>
          <w:color w:val="auto"/>
        </w:rPr>
      </w:pPr>
      <w:r>
        <w:rPr>
          <w:rFonts w:ascii="Arial" w:cs="Arial" w:eastAsia="Arial" w:hAnsi="Arial"/>
          <w:sz w:val="19"/>
          <w:szCs w:val="19"/>
          <w:color w:val="auto"/>
        </w:rPr>
        <w:t>During all periods that Buyer or any of Buyer’s Representatives are on the Assets, Buyer shall maintain, at its sole expense and with insurers reasonably satisfactory to Sellers, policies of insurance of the types and in the amounts reasonably requested by Sellers. Coverage under all insurance required to be carried by Buyer hereunder will (i) be primary insurance, (ii) list Seller Indemnified Parties as additional insureds, (iii) waive subrogation against Seller Indemnified Parties and (iv) provide for ten days’ prior notice to Sellers in the event of cancellation or modification of the policy or reduction in coverage. Upon request by Sellers, Buyer shall provide evidence of such insurance to Sellers prior to entering the Assets.</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 xml:space="preserve">10.2 Confidentiality. </w:t>
      </w:r>
      <w:r>
        <w:rPr>
          <w:rFonts w:ascii="Arial" w:cs="Arial" w:eastAsia="Arial" w:hAnsi="Arial"/>
          <w:sz w:val="19"/>
          <w:szCs w:val="19"/>
          <w:color w:val="auto"/>
        </w:rPr>
        <w:t>Buyer acknowledges that, pursuant to its right of access to the Records or the Assets, Buyer will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become privy to confidential and other information of Sellers or their Affiliates and Buyer shall ensure that such confidential information shall be held confidential by Buyer and Buyer’s Representatives in accordance with the terms of the Confidentiality Agreement. If Closing should occur, the foregoing confidentiality restriction on Buyer, including the Confidentiality Agreement, shall terminate (except as to (a) such portion of the Assets that are not conveyed to Buyer pursuant to the provisions of this Agreement, (b) the Excluded Assets and (c) information related to assets other than the Assets).</w:t>
      </w:r>
    </w:p>
    <w:p>
      <w:pPr>
        <w:spacing w:after="0" w:line="18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i w:val="1"/>
          <w:iCs w:val="1"/>
          <w:color w:val="auto"/>
        </w:rPr>
        <w:t>10.3</w:t>
      </w:r>
      <w:r>
        <w:rPr>
          <w:sz w:val="20"/>
          <w:szCs w:val="20"/>
          <w:color w:val="auto"/>
        </w:rPr>
        <w:tab/>
      </w:r>
      <w:r>
        <w:rPr>
          <w:rFonts w:ascii="Arial" w:cs="Arial" w:eastAsia="Arial" w:hAnsi="Arial"/>
          <w:sz w:val="18"/>
          <w:szCs w:val="18"/>
          <w:b w:val="1"/>
          <w:bCs w:val="1"/>
          <w:i w:val="1"/>
          <w:iCs w:val="1"/>
          <w:color w:val="auto"/>
        </w:rPr>
        <w:t>Disclaimers.</w:t>
      </w:r>
    </w:p>
    <w:p>
      <w:pPr>
        <w:spacing w:after="0" w:line="268" w:lineRule="exact"/>
        <w:rPr>
          <w:sz w:val="20"/>
          <w:szCs w:val="20"/>
          <w:color w:val="auto"/>
        </w:rPr>
      </w:pPr>
    </w:p>
    <w:p>
      <w:pPr>
        <w:jc w:val="both"/>
        <w:ind w:firstLine="1305"/>
        <w:spacing w:after="0" w:line="247" w:lineRule="auto"/>
        <w:tabs>
          <w:tab w:leader="none" w:pos="2095"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EXCEPT AS AND TO THE LIMITED EXTENT EXPRESSLY SET FORTH IN </w:t>
      </w:r>
      <w:r>
        <w:rPr>
          <w:rFonts w:ascii="Arial" w:cs="Arial" w:eastAsia="Arial" w:hAnsi="Arial"/>
          <w:sz w:val="22"/>
          <w:szCs w:val="22"/>
          <w:b w:val="1"/>
          <w:bCs w:val="1"/>
          <w:u w:val="single" w:color="auto"/>
          <w:color w:val="auto"/>
        </w:rPr>
        <w:t>ARTICLE IV</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11.1(b)</w:t>
      </w:r>
      <w:r>
        <w:rPr>
          <w:rFonts w:ascii="Arial" w:cs="Arial" w:eastAsia="Arial" w:hAnsi="Arial"/>
          <w:sz w:val="22"/>
          <w:szCs w:val="22"/>
          <w:b w:val="1"/>
          <w:bCs w:val="1"/>
          <w:color w:val="auto"/>
        </w:rPr>
        <w:t xml:space="preserve"> OR THE ASSIGNMENT, (I) SELLERS MAKE NO REPRESENTATIONS OR WARRANTIES, EXPRESS, STATUTORY OR IMPLIED, AND (II) SELLERS EXPRESSLY DISCLAIM ALL LIABILITY AND RESPONSIBILITY FOR ANY REPRESENTATION, WARRANTY, STATEMENT OR INFORMATION MADE OR COMMUNICATED (ORALLY OR IN WRITING) TO BUYER OR ANY OF ITS AFFILIATES, EMPLOYEES, AGENTS, CONSULTANTS OR REPRESENTATIVES (INCLUDING ANY OPINION, INFORMATION, PROJECTION OR ADVICE THAT MAY HAVE BEEN PROVIDED TO BUYER BY ANY OFFICER, DIRECTOR, EMPLOYEE, AGENT, CONSULTANT, REPRESENTATIVE OR ADVISOR OF SELLERS OR ANY OF THEIR AFFILIATES)</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firstLine="1305"/>
        <w:spacing w:after="0" w:line="252" w:lineRule="auto"/>
        <w:tabs>
          <w:tab w:leader="none" w:pos="2107"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EXCEPT AS AND TO THE LIMITED EXTENT EXPRESSLY REPRESENTED OTHERWISE IN </w:t>
      </w:r>
      <w:r>
        <w:rPr>
          <w:rFonts w:ascii="Arial" w:cs="Arial" w:eastAsia="Arial" w:hAnsi="Arial"/>
          <w:sz w:val="22"/>
          <w:szCs w:val="22"/>
          <w:b w:val="1"/>
          <w:bCs w:val="1"/>
          <w:u w:val="single" w:color="auto"/>
          <w:color w:val="auto"/>
        </w:rPr>
        <w:t>ARTICLE IV</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11.1(b)</w:t>
      </w:r>
      <w:r>
        <w:rPr>
          <w:rFonts w:ascii="Arial" w:cs="Arial" w:eastAsia="Arial" w:hAnsi="Arial"/>
          <w:sz w:val="22"/>
          <w:szCs w:val="22"/>
          <w:b w:val="1"/>
          <w:bCs w:val="1"/>
          <w:color w:val="auto"/>
        </w:rPr>
        <w:t xml:space="preserve"> OR THE ASSIGNMENT, AND WITHOUT LIMITING THE GENERALITY OF THE FOREGOING, SELLERS EXPRESSLY DISCLAIM ANY REPRESENTATION OR WARRANTY, EXPRESS, STATUTORY OR IMPLIED, AS TO (I) TITLE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82" w:name="page83"/>
    <w:bookmarkEnd w:id="82"/>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0" w:lineRule="exact"/>
        <w:rPr>
          <w:sz w:val="20"/>
          <w:szCs w:val="20"/>
          <w:color w:val="auto"/>
        </w:rPr>
      </w:pPr>
    </w:p>
    <w:p>
      <w:pPr>
        <w:jc w:val="both"/>
        <w:spacing w:after="0" w:line="244" w:lineRule="auto"/>
        <w:rPr>
          <w:sz w:val="20"/>
          <w:szCs w:val="20"/>
          <w:color w:val="auto"/>
        </w:rPr>
      </w:pPr>
      <w:r>
        <w:rPr>
          <w:rFonts w:ascii="Arial" w:cs="Arial" w:eastAsia="Arial" w:hAnsi="Arial"/>
          <w:sz w:val="22"/>
          <w:szCs w:val="22"/>
          <w:b w:val="1"/>
          <w:bCs w:val="1"/>
          <w:color w:val="auto"/>
        </w:rPr>
        <w:t xml:space="preserve">TO ANY OF THE ASSETS, (II) THE CONTENTS, CHARACTER OR NATURE OF ANY REPORT OF ANY PETROLEUM ENGINEERING CONSULTANT, OR ANY ENGINEERING, GEOLOGICAL OR SEISMIC DATA OR INTERPRETATION RELATING TO THE ASSETS, (III) THE QUANTITY, QUALITY OR RECOVERABILITY OF HYDROCARBONS IN OR FROM THE ASSETS, (IV) ANY ESTIMATES OF THE VALUE OF THE ASSETS OR FUTURE REVENUES TO BE GENERATED BY THE ASSETS, (V) THE PRODUCTION OF OR ABILITY TO PRODUCE HYDROCARBONS FROM THE ASSETS, (VI) THE MAINTENANCE, REPAIR, CONDITION, QUALITY, SUITABILITY, DESIGN OR MARKETABILITY OF THE ASSETS, (VII) THE CONTENT, CHARACTER OR NATURE OF ANY INFORMATION MEMORANDUM, REPORTS, BROCHURES, CHARTS OR STATEMENTS PREPARED BY SELLERS OR THIRD PARTIES WITH RESPECT TO THE ASSETS, (VIII) ANY OTHER MATERIALS OR INFORMATION THAT MAY HAVE BEEN MADE AVAILABLE TO BUYER OR ITS AFFILIATES, OR ITS OR THEIR RESPECTIVE EMPLOYEES, AGENTS, CONSULTANTS, REPRESENTATIVES OR ADVISORS IN CONNECTION WITH THE TRANSACTIONS CONTEMPLATED BY THIS AGREEMENT OR ANY DISCUSSION OR PRESENTATION RELATING THERETO AND (IX) ANY IMPLIED OR EXPRESS WARRANTY OF FREEDOM FROM PATENT OR TRADEMARK INFRINGEMENT. EXCEPT AS AND TO THE LIMITED EXTENT EXPRESSLY REPRESENTED OTHERWISE IN </w:t>
      </w:r>
      <w:r>
        <w:rPr>
          <w:rFonts w:ascii="Arial" w:cs="Arial" w:eastAsia="Arial" w:hAnsi="Arial"/>
          <w:sz w:val="22"/>
          <w:szCs w:val="22"/>
          <w:b w:val="1"/>
          <w:bCs w:val="1"/>
          <w:u w:val="single" w:color="auto"/>
          <w:color w:val="auto"/>
        </w:rPr>
        <w:t>ARTICLE IV</w:t>
      </w:r>
      <w:r>
        <w:rPr>
          <w:rFonts w:ascii="Arial" w:cs="Arial" w:eastAsia="Arial" w:hAnsi="Arial"/>
          <w:sz w:val="22"/>
          <w:szCs w:val="22"/>
          <w:b w:val="1"/>
          <w:bCs w:val="1"/>
          <w:color w:val="auto"/>
        </w:rPr>
        <w:t xml:space="preserve"> OR </w:t>
      </w:r>
      <w:r>
        <w:rPr>
          <w:rFonts w:ascii="Arial" w:cs="Arial" w:eastAsia="Arial" w:hAnsi="Arial"/>
          <w:sz w:val="22"/>
          <w:szCs w:val="22"/>
          <w:b w:val="1"/>
          <w:bCs w:val="1"/>
          <w:u w:val="single" w:color="auto"/>
          <w:color w:val="auto"/>
        </w:rPr>
        <w:t>SECTION 11.1(b)</w:t>
      </w:r>
      <w:r>
        <w:rPr>
          <w:rFonts w:ascii="Arial" w:cs="Arial" w:eastAsia="Arial" w:hAnsi="Arial"/>
          <w:sz w:val="22"/>
          <w:szCs w:val="22"/>
          <w:b w:val="1"/>
          <w:bCs w:val="1"/>
          <w:color w:val="auto"/>
        </w:rPr>
        <w:t>, SELLERS FURTHER DISCLAIM ANY REPRESENTATION OR WARRANTY, EXPRESS, STATUTORY OR IMPLIED, OF MERCHANTABILITY, FREEDOM FROM LATENT VICES OR DEFECTS, FITNESS FOR A PARTICULAR PURPOSE OR CONFORMITY TO MODELS OR SAMPLES OF MATERIALS OF ANY OF THE ASSETS, RIGHTS OF A PURCHASER UNDER APPROPRIATE STATUTES TO CLAIM DIMINUTION OF CONSIDERATION OR RETURN OF THE PURCHASE PRICE, IT BEING EXPRESSLY UNDERSTOOD AND AGREED BY THE PARTIES THAT BUYER SHALL BE DEEMED TO BE OBTAINING THE ASSETS IN THEIR PRESENT STATUS, CONDITION AND STATE OF REPAIR, “AS IS” AND “WHERE IS” WITH ALL FAULTS OR DEFECTS (KNOWN OR UNKNOWN, LATENT, DISCOVERABLE OR UNDISCOVERABLE), AND THAT BUYER HAS MADE OR CAUSED TO BE MADE SUCH INSPECTIONS AS BUYER DEEMS APPROPRIATE</w:t>
      </w:r>
      <w:r>
        <w:rPr>
          <w:rFonts w:ascii="Arial" w:cs="Arial" w:eastAsia="Arial" w:hAnsi="Arial"/>
          <w:sz w:val="22"/>
          <w:szCs w:val="22"/>
          <w:color w:val="auto"/>
        </w:rPr>
        <w:t>.</w:t>
      </w:r>
    </w:p>
    <w:p>
      <w:pPr>
        <w:spacing w:after="0" w:line="243" w:lineRule="exact"/>
        <w:rPr>
          <w:sz w:val="20"/>
          <w:szCs w:val="20"/>
          <w:color w:val="auto"/>
        </w:rPr>
      </w:pPr>
    </w:p>
    <w:p>
      <w:pPr>
        <w:jc w:val="both"/>
        <w:ind w:firstLine="1305"/>
        <w:spacing w:after="0" w:line="246" w:lineRule="auto"/>
        <w:tabs>
          <w:tab w:leader="none" w:pos="2095"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EXCEPT AS TO THE LIMITED EXTENT REPRESENTED OTHERWISE IN </w:t>
      </w:r>
      <w:r>
        <w:rPr>
          <w:rFonts w:ascii="Arial" w:cs="Arial" w:eastAsia="Arial" w:hAnsi="Arial"/>
          <w:sz w:val="22"/>
          <w:szCs w:val="22"/>
          <w:b w:val="1"/>
          <w:bCs w:val="1"/>
          <w:u w:val="single" w:color="auto"/>
          <w:color w:val="auto"/>
        </w:rPr>
        <w:t>SECTION 4.15</w:t>
      </w:r>
      <w:r>
        <w:rPr>
          <w:rFonts w:ascii="Arial" w:cs="Arial" w:eastAsia="Arial" w:hAnsi="Arial"/>
          <w:sz w:val="22"/>
          <w:szCs w:val="22"/>
          <w:b w:val="1"/>
          <w:bCs w:val="1"/>
          <w:color w:val="auto"/>
        </w:rPr>
        <w:t>, SELLERS HAVE NOT AND WILL NOT MAKE ANY REPRESENTATION OR WARRANTY REGARDING ANY MATTER OR CIRCUMSTANCE RELATING TO ENVIRONMENTAL LAWS, THE RELEASE OF MATERIALS INTO THE ENVIRONMENT OR THE PROTECTION OF HUMAN HEALTH, SAFETY, NATURAL RESOURCES OR THE ENVIRONMENT, OR ANY OTHER ENVIRONMENTAL CONDITION OF THE ASSETS, AND NOTHING IN THIS AGREEMENT OR OTHERWISE SHALL BE CONSTRUED AS SUCH A REPRESENTATION OR WARRANTY, AND BUYER SHALL BE DEEMED TO BE TAKING THE ASSETS “AS IS” AND “WHERE IS” WITH ALL FAULTS FOR PURPOSES OF THEIR ENVIRONMENTAL CONDITION AND THAT BUYER HAS MADE OR CAUSED TO BE MADE SUCH ENVIRONMENTAL INSPECTIONS AS BUYER DEEMS APPROPRIATE</w:t>
      </w:r>
      <w:r>
        <w:rPr>
          <w:rFonts w:ascii="Arial" w:cs="Arial" w:eastAsia="Arial" w:hAnsi="Arial"/>
          <w:sz w:val="22"/>
          <w:szCs w:val="22"/>
          <w:color w:val="auto"/>
        </w:rPr>
        <w:t>.</w:t>
      </w:r>
    </w:p>
    <w:p>
      <w:pPr>
        <w:spacing w:after="0" w:line="232" w:lineRule="exact"/>
        <w:rPr>
          <w:rFonts w:ascii="Arial" w:cs="Arial" w:eastAsia="Arial" w:hAnsi="Arial"/>
          <w:sz w:val="22"/>
          <w:szCs w:val="22"/>
          <w:color w:val="auto"/>
        </w:rPr>
      </w:pPr>
    </w:p>
    <w:p>
      <w:pPr>
        <w:ind w:left="2120" w:hanging="815"/>
        <w:spacing w:after="0"/>
        <w:tabs>
          <w:tab w:leader="none" w:pos="212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SELLERS AND BUYER AGREE THAT, TO THE EXTENT REQUIRED BY LAW TO BE</w:t>
      </w:r>
    </w:p>
    <w:p>
      <w:pPr>
        <w:spacing w:after="0" w:line="28" w:lineRule="exact"/>
        <w:rPr>
          <w:sz w:val="20"/>
          <w:szCs w:val="20"/>
          <w:color w:val="auto"/>
        </w:rPr>
      </w:pPr>
    </w:p>
    <w:p>
      <w:pPr>
        <w:spacing w:after="0" w:line="243" w:lineRule="auto"/>
        <w:rPr>
          <w:sz w:val="20"/>
          <w:szCs w:val="20"/>
          <w:color w:val="auto"/>
        </w:rPr>
      </w:pPr>
      <w:r>
        <w:rPr>
          <w:rFonts w:ascii="Arial" w:cs="Arial" w:eastAsia="Arial" w:hAnsi="Arial"/>
          <w:sz w:val="22"/>
          <w:szCs w:val="22"/>
          <w:b w:val="1"/>
          <w:bCs w:val="1"/>
          <w:color w:val="auto"/>
        </w:rPr>
        <w:t xml:space="preserve">EFFECTIVE, THE DISCLAIMERS OF CERTAIN REPRESENTATIONS AND WARRANTIES CONTAINED IN THIS </w:t>
      </w:r>
      <w:r>
        <w:rPr>
          <w:rFonts w:ascii="Arial" w:cs="Arial" w:eastAsia="Arial" w:hAnsi="Arial"/>
          <w:sz w:val="22"/>
          <w:szCs w:val="22"/>
          <w:b w:val="1"/>
          <w:bCs w:val="1"/>
          <w:u w:val="single" w:color="auto"/>
          <w:color w:val="auto"/>
        </w:rPr>
        <w:t>SECTION 10.3</w:t>
      </w:r>
      <w:r>
        <w:rPr>
          <w:rFonts w:ascii="Arial" w:cs="Arial" w:eastAsia="Arial" w:hAnsi="Arial"/>
          <w:sz w:val="22"/>
          <w:szCs w:val="22"/>
          <w:b w:val="1"/>
          <w:bCs w:val="1"/>
          <w:color w:val="auto"/>
        </w:rPr>
        <w:t xml:space="preserve"> ARE “</w:t>
      </w:r>
      <w:r>
        <w:rPr>
          <w:rFonts w:ascii="Arial" w:cs="Arial" w:eastAsia="Arial" w:hAnsi="Arial"/>
          <w:sz w:val="22"/>
          <w:szCs w:val="22"/>
          <w:b w:val="1"/>
          <w:bCs w:val="1"/>
          <w:i w:val="1"/>
          <w:iCs w:val="1"/>
          <w:color w:val="auto"/>
        </w:rPr>
        <w:t>CONSPICUOUS</w:t>
      </w:r>
      <w:r>
        <w:rPr>
          <w:rFonts w:ascii="Arial" w:cs="Arial" w:eastAsia="Arial" w:hAnsi="Arial"/>
          <w:sz w:val="22"/>
          <w:szCs w:val="22"/>
          <w:b w:val="1"/>
          <w:bCs w:val="1"/>
          <w:color w:val="auto"/>
        </w:rPr>
        <w:t>” DISCLAIMERS FOR THE PURPOSE OF ANY LAW</w:t>
      </w:r>
      <w:r>
        <w:rPr>
          <w:rFonts w:ascii="Arial" w:cs="Arial" w:eastAsia="Arial" w:hAnsi="Arial"/>
          <w:sz w:val="22"/>
          <w:szCs w:val="22"/>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TITLE MATTERS; CASUALTY; TRANSFER RESTRICTIONS</w:t>
      </w:r>
    </w:p>
    <w:p>
      <w:pPr>
        <w:spacing w:after="0" w:line="24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i w:val="1"/>
          <w:iCs w:val="1"/>
          <w:color w:val="auto"/>
        </w:rPr>
        <w:t>11.1</w:t>
      </w:r>
      <w:r>
        <w:rPr>
          <w:sz w:val="20"/>
          <w:szCs w:val="20"/>
          <w:color w:val="auto"/>
        </w:rPr>
        <w:tab/>
      </w:r>
      <w:r>
        <w:rPr>
          <w:rFonts w:ascii="Arial" w:cs="Arial" w:eastAsia="Arial" w:hAnsi="Arial"/>
          <w:sz w:val="19"/>
          <w:szCs w:val="19"/>
          <w:b w:val="1"/>
          <w:bCs w:val="1"/>
          <w:i w:val="1"/>
          <w:iCs w:val="1"/>
          <w:color w:val="auto"/>
        </w:rPr>
        <w:t>Sellers’ Title.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jc w:val="both"/>
        <w:ind w:firstLine="656"/>
        <w:spacing w:after="0" w:line="294" w:lineRule="auto"/>
        <w:tabs>
          <w:tab w:leader="none" w:pos="1185"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General Disclaimer of Title Warranties and Representations</w:t>
      </w:r>
      <w:r>
        <w:rPr>
          <w:rFonts w:ascii="Arial" w:cs="Arial" w:eastAsia="Arial" w:hAnsi="Arial"/>
          <w:sz w:val="19"/>
          <w:szCs w:val="19"/>
          <w:color w:val="auto"/>
        </w:rPr>
        <w:t xml:space="preserve">. Except for the special warranty of title as set forth in </w:t>
      </w:r>
      <w:r>
        <w:rPr>
          <w:rFonts w:ascii="Arial" w:cs="Arial" w:eastAsia="Arial" w:hAnsi="Arial"/>
          <w:sz w:val="19"/>
          <w:szCs w:val="19"/>
          <w:u w:val="single" w:color="auto"/>
          <w:color w:val="auto"/>
        </w:rPr>
        <w:t>Section 11.1(b)</w:t>
      </w:r>
      <w:r>
        <w:rPr>
          <w:rFonts w:ascii="Arial" w:cs="Arial" w:eastAsia="Arial" w:hAnsi="Arial"/>
          <w:sz w:val="19"/>
          <w:szCs w:val="19"/>
          <w:color w:val="auto"/>
        </w:rPr>
        <w:t xml:space="preserve"> and the Assignment and without limiting Buyer’s remedies for Title Defects set forth in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Sellers make no warranty or representation, express, implied, statutory or otherwise, with respect to Sellers’ title to any of the Assets, and Buyer hereby acknowledges and agrees that Buyer’s sole remedy for any defect of title, including any Title Defect, with respect to any of the Assets (i) before Closing, shall be as set forth in </w:t>
      </w:r>
      <w:r>
        <w:rPr>
          <w:rFonts w:ascii="Arial" w:cs="Arial" w:eastAsia="Arial" w:hAnsi="Arial"/>
          <w:sz w:val="19"/>
          <w:szCs w:val="19"/>
          <w:u w:val="single" w:color="auto"/>
          <w:color w:val="auto"/>
        </w:rPr>
        <w:t>Section 11.2(d)</w:t>
      </w:r>
      <w:r>
        <w:rPr>
          <w:rFonts w:ascii="Arial" w:cs="Arial" w:eastAsia="Arial" w:hAnsi="Arial"/>
          <w:sz w:val="19"/>
          <w:szCs w:val="19"/>
          <w:color w:val="auto"/>
        </w:rPr>
        <w:t xml:space="preserve"> or if applicable, </w:t>
      </w:r>
      <w:r>
        <w:rPr>
          <w:rFonts w:ascii="Arial" w:cs="Arial" w:eastAsia="Arial" w:hAnsi="Arial"/>
          <w:sz w:val="19"/>
          <w:szCs w:val="19"/>
          <w:u w:val="single" w:color="auto"/>
          <w:color w:val="auto"/>
        </w:rPr>
        <w:t>Section 14.1(c)</w:t>
      </w:r>
      <w:r>
        <w:rPr>
          <w:rFonts w:ascii="Arial" w:cs="Arial" w:eastAsia="Arial" w:hAnsi="Arial"/>
          <w:sz w:val="19"/>
          <w:szCs w:val="19"/>
          <w:color w:val="auto"/>
        </w:rPr>
        <w:t xml:space="preserve"> and (ii) after Closing, shall be pursuant to the special warranty of title set forth in </w:t>
      </w:r>
      <w:r>
        <w:rPr>
          <w:rFonts w:ascii="Arial" w:cs="Arial" w:eastAsia="Arial" w:hAnsi="Arial"/>
          <w:sz w:val="19"/>
          <w:szCs w:val="19"/>
          <w:u w:val="single" w:color="auto"/>
          <w:color w:val="auto"/>
        </w:rPr>
        <w:t>Section 11.1(b)</w:t>
      </w:r>
      <w:r>
        <w:rPr>
          <w:rFonts w:ascii="Arial" w:cs="Arial" w:eastAsia="Arial" w:hAnsi="Arial"/>
          <w:sz w:val="19"/>
          <w:szCs w:val="19"/>
          <w:color w:val="auto"/>
        </w:rPr>
        <w:t xml:space="preserve"> and the Assignment.</w:t>
      </w:r>
    </w:p>
    <w:p>
      <w:pPr>
        <w:spacing w:after="0" w:line="190" w:lineRule="exact"/>
        <w:rPr>
          <w:rFonts w:ascii="Arial" w:cs="Arial" w:eastAsia="Arial" w:hAnsi="Arial"/>
          <w:sz w:val="19"/>
          <w:szCs w:val="19"/>
          <w:color w:val="auto"/>
        </w:rPr>
      </w:pPr>
    </w:p>
    <w:p>
      <w:pPr>
        <w:jc w:val="both"/>
        <w:ind w:firstLine="656"/>
        <w:spacing w:after="0" w:line="284" w:lineRule="auto"/>
        <w:tabs>
          <w:tab w:leader="none" w:pos="1238"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Special Warranty of Title</w:t>
      </w:r>
      <w:r>
        <w:rPr>
          <w:rFonts w:ascii="Arial" w:cs="Arial" w:eastAsia="Arial" w:hAnsi="Arial"/>
          <w:sz w:val="19"/>
          <w:szCs w:val="19"/>
          <w:color w:val="auto"/>
        </w:rPr>
        <w:t xml:space="preserve">. Effective as of the Closing Date and until the end of the Survival Period, each Seller warrants Defensible Title to the Leases, Wells and Well Locations (subject to any reservations, limitations or depth restrictions in the Leases or otherwise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3.8</w:t>
      </w:r>
      <w:r>
        <w:rPr>
          <w:rFonts w:ascii="Arial" w:cs="Arial" w:eastAsia="Arial" w:hAnsi="Arial"/>
          <w:sz w:val="19"/>
          <w:szCs w:val="19"/>
          <w:color w:val="auto"/>
        </w:rPr>
        <w:t xml:space="preserve">) unto Buyer against every Person whomsoever lawfully claims the same or any part thereof by, through or under such Seller, but not otherwise, subject, however, to the Permitted Encumbrances; provided, however, that, except with respect to any liability of Sellers for any claim asserted in writing by Buyer to Sellers in accordance with </w:t>
      </w:r>
      <w:r>
        <w:rPr>
          <w:rFonts w:ascii="Arial" w:cs="Arial" w:eastAsia="Arial" w:hAnsi="Arial"/>
          <w:sz w:val="19"/>
          <w:szCs w:val="19"/>
          <w:u w:val="single" w:color="auto"/>
          <w:color w:val="auto"/>
        </w:rPr>
        <w:t>Section 11.1(c)</w:t>
      </w:r>
      <w:r>
        <w:rPr>
          <w:rFonts w:ascii="Arial" w:cs="Arial" w:eastAsia="Arial" w:hAnsi="Arial"/>
          <w:sz w:val="19"/>
          <w:szCs w:val="19"/>
          <w:color w:val="auto"/>
        </w:rPr>
        <w:t xml:space="preserve"> on or before the expiration of the Survival Period for breach of such special warranty, such special warranty shall cease and terminate at the end of such Survival Period.</w:t>
      </w:r>
    </w:p>
    <w:p>
      <w:pPr>
        <w:spacing w:after="0" w:line="4" w:lineRule="exact"/>
        <w:rPr>
          <w:rFonts w:ascii="Arial" w:cs="Arial" w:eastAsia="Arial" w:hAnsi="Arial"/>
          <w:sz w:val="19"/>
          <w:szCs w:val="19"/>
          <w:color w:val="auto"/>
        </w:rPr>
      </w:pPr>
    </w:p>
    <w:p>
      <w:pPr>
        <w:ind w:left="1120" w:hanging="464"/>
        <w:spacing w:after="0"/>
        <w:tabs>
          <w:tab w:leader="none" w:pos="112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Recovery on Special Warranty</w:t>
      </w:r>
      <w:r>
        <w:rPr>
          <w:rFonts w:ascii="Arial" w:cs="Arial" w:eastAsia="Arial" w:hAnsi="Arial"/>
          <w:sz w:val="22"/>
          <w:szCs w:val="22"/>
          <w:color w:val="auto"/>
        </w:rPr>
        <w:t>.</w:t>
      </w:r>
    </w:p>
    <w:p>
      <w:pPr>
        <w:spacing w:after="0" w:line="242" w:lineRule="exact"/>
        <w:rPr>
          <w:rFonts w:ascii="Arial" w:cs="Arial" w:eastAsia="Arial" w:hAnsi="Arial"/>
          <w:sz w:val="22"/>
          <w:szCs w:val="22"/>
          <w:color w:val="auto"/>
        </w:rPr>
      </w:pPr>
    </w:p>
    <w:p>
      <w:pPr>
        <w:jc w:val="both"/>
        <w:ind w:firstLine="1305"/>
        <w:spacing w:after="0" w:line="259" w:lineRule="auto"/>
        <w:tabs>
          <w:tab w:leader="none" w:pos="1757"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Buyer’s Assertion of Title Warranty Breaches</w:t>
      </w:r>
      <w:r>
        <w:rPr>
          <w:rFonts w:ascii="Arial" w:cs="Arial" w:eastAsia="Arial" w:hAnsi="Arial"/>
          <w:sz w:val="21"/>
          <w:szCs w:val="21"/>
          <w:color w:val="auto"/>
        </w:rPr>
        <w:t>. Prior to the expiration of the period of time commencing as of the Closing Date and ending at 5:00 p.m. (Central Time) on the first Business Day that is 273 days after the Closing Date (the “</w:t>
      </w:r>
      <w:r>
        <w:rPr>
          <w:rFonts w:ascii="Arial" w:cs="Arial" w:eastAsia="Arial" w:hAnsi="Arial"/>
          <w:sz w:val="21"/>
          <w:szCs w:val="21"/>
          <w:b w:val="1"/>
          <w:bCs w:val="1"/>
          <w:i w:val="1"/>
          <w:iCs w:val="1"/>
          <w:color w:val="auto"/>
        </w:rPr>
        <w:t>Survival Period</w:t>
      </w:r>
      <w:r>
        <w:rPr>
          <w:rFonts w:ascii="Arial" w:cs="Arial" w:eastAsia="Arial" w:hAnsi="Arial"/>
          <w:sz w:val="21"/>
          <w:szCs w:val="21"/>
          <w:color w:val="auto"/>
        </w:rPr>
        <w:t>”), Buyer shall furnish Sellers a written notice (the “</w:t>
      </w:r>
      <w:r>
        <w:rPr>
          <w:rFonts w:ascii="Arial" w:cs="Arial" w:eastAsia="Arial" w:hAnsi="Arial"/>
          <w:sz w:val="21"/>
          <w:szCs w:val="21"/>
          <w:b w:val="1"/>
          <w:bCs w:val="1"/>
          <w:i w:val="1"/>
          <w:iCs w:val="1"/>
          <w:color w:val="auto"/>
        </w:rPr>
        <w:t>Special Warranty Claim Notice</w:t>
      </w:r>
      <w:r>
        <w:rPr>
          <w:rFonts w:ascii="Arial" w:cs="Arial" w:eastAsia="Arial" w:hAnsi="Arial"/>
          <w:sz w:val="21"/>
          <w:szCs w:val="21"/>
          <w:color w:val="auto"/>
        </w:rPr>
        <w:t xml:space="preserve">”) meeting the requirements of </w:t>
      </w:r>
      <w:r>
        <w:rPr>
          <w:rFonts w:ascii="Arial" w:cs="Arial" w:eastAsia="Arial" w:hAnsi="Arial"/>
          <w:sz w:val="21"/>
          <w:szCs w:val="21"/>
          <w:u w:val="single" w:color="auto"/>
          <w:color w:val="auto"/>
        </w:rPr>
        <w:t>Section 11.2(a)</w:t>
      </w:r>
      <w:r>
        <w:rPr>
          <w:rFonts w:ascii="Arial" w:cs="Arial" w:eastAsia="Arial" w:hAnsi="Arial"/>
          <w:sz w:val="21"/>
          <w:szCs w:val="21"/>
          <w:color w:val="auto"/>
        </w:rPr>
        <w:t xml:space="preserve"> setting forth any matters which Buyer intends to assert as a breach of Sellers’ special warranty in </w:t>
      </w:r>
      <w:r>
        <w:rPr>
          <w:rFonts w:ascii="Arial" w:cs="Arial" w:eastAsia="Arial" w:hAnsi="Arial"/>
          <w:sz w:val="21"/>
          <w:szCs w:val="21"/>
          <w:u w:val="single" w:color="auto"/>
          <w:color w:val="auto"/>
        </w:rPr>
        <w:t>Section 11.1(b)</w:t>
      </w:r>
      <w:r>
        <w:rPr>
          <w:rFonts w:ascii="Arial" w:cs="Arial" w:eastAsia="Arial" w:hAnsi="Arial"/>
          <w:sz w:val="21"/>
          <w:szCs w:val="21"/>
          <w:color w:val="auto"/>
        </w:rPr>
        <w:t xml:space="preserve">. For all purposes of this Agreement, Buyer shall be deemed to have waived, and Sellers shall have no further liability for, any breach of Sellers’ special warranty that Buyer fails to assert by a Special Warranty Claim Notice given to Sellers on or before the expiration of the Survival Period. Sellers shall have a reasonable opportunity, but not the obligation, to cure any Title Defect asserted by Buyer pursuant to this </w:t>
      </w:r>
      <w:r>
        <w:rPr>
          <w:rFonts w:ascii="Arial" w:cs="Arial" w:eastAsia="Arial" w:hAnsi="Arial"/>
          <w:sz w:val="21"/>
          <w:szCs w:val="21"/>
          <w:u w:val="single" w:color="auto"/>
          <w:color w:val="auto"/>
        </w:rPr>
        <w:t>Section 11.1(c)(i)</w:t>
      </w:r>
      <w:r>
        <w:rPr>
          <w:rFonts w:ascii="Arial" w:cs="Arial" w:eastAsia="Arial" w:hAnsi="Arial"/>
          <w:sz w:val="21"/>
          <w:szCs w:val="21"/>
          <w:color w:val="auto"/>
        </w:rPr>
        <w:t>. Buyer agrees to reasonably cooperate with any attempt by Sellers to cure any such Title Defect.</w:t>
      </w:r>
    </w:p>
    <w:p>
      <w:pPr>
        <w:spacing w:after="0" w:line="180" w:lineRule="exact"/>
        <w:rPr>
          <w:rFonts w:ascii="Arial" w:cs="Arial" w:eastAsia="Arial" w:hAnsi="Arial"/>
          <w:sz w:val="21"/>
          <w:szCs w:val="21"/>
          <w:color w:val="auto"/>
        </w:rPr>
      </w:pPr>
    </w:p>
    <w:p>
      <w:pPr>
        <w:jc w:val="both"/>
        <w:ind w:firstLine="1305"/>
        <w:spacing w:after="0" w:line="246" w:lineRule="auto"/>
        <w:tabs>
          <w:tab w:leader="none" w:pos="1804"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Limitations on Special Warranty</w:t>
      </w:r>
      <w:r>
        <w:rPr>
          <w:rFonts w:ascii="Arial" w:cs="Arial" w:eastAsia="Arial" w:hAnsi="Arial"/>
          <w:sz w:val="22"/>
          <w:szCs w:val="22"/>
          <w:color w:val="auto"/>
        </w:rPr>
        <w:t xml:space="preserve">. For purposes of Sellers’ special warranty of title, the value of the Wells and Well Locations set forth on </w:t>
      </w:r>
      <w:r>
        <w:rPr>
          <w:rFonts w:ascii="Arial" w:cs="Arial" w:eastAsia="Arial" w:hAnsi="Arial"/>
          <w:sz w:val="22"/>
          <w:szCs w:val="22"/>
          <w:u w:val="single" w:color="auto"/>
          <w:color w:val="auto"/>
        </w:rPr>
        <w:t>Schedule 3.8</w:t>
      </w:r>
      <w:r>
        <w:rPr>
          <w:rFonts w:ascii="Arial" w:cs="Arial" w:eastAsia="Arial" w:hAnsi="Arial"/>
          <w:sz w:val="22"/>
          <w:szCs w:val="22"/>
          <w:color w:val="auto"/>
        </w:rPr>
        <w:t xml:space="preserve">, as appropriate (subject to any reservations, limitations or depth restrictions in the Leases or otherwise described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3.8</w:t>
      </w:r>
      <w:r>
        <w:rPr>
          <w:rFonts w:ascii="Arial" w:cs="Arial" w:eastAsia="Arial" w:hAnsi="Arial"/>
          <w:sz w:val="22"/>
          <w:szCs w:val="22"/>
          <w:color w:val="auto"/>
        </w:rPr>
        <w:t xml:space="preserve">), shall be deemed to be the Allocated Value thereof, as adjusted herein. Recovery on Sellers’ special warranty of title shall be limited to an amount (without any interest accruing thereon) equal to the reduction in the Purchase Price to which Buyer would have been entitled had Buyer asserted the defect giving rise to such breach of Sellers’ special warranty of title as a Title Defect prior to Closing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(including subject to the limitations described in </w:t>
      </w:r>
      <w:r>
        <w:rPr>
          <w:rFonts w:ascii="Arial" w:cs="Arial" w:eastAsia="Arial" w:hAnsi="Arial"/>
          <w:sz w:val="22"/>
          <w:szCs w:val="22"/>
          <w:u w:val="single" w:color="auto"/>
          <w:color w:val="auto"/>
        </w:rPr>
        <w:t>Section 11.2(i)</w:t>
      </w:r>
      <w:r>
        <w:rPr>
          <w:rFonts w:ascii="Arial" w:cs="Arial" w:eastAsia="Arial" w:hAnsi="Arial"/>
          <w:sz w:val="22"/>
          <w:szCs w:val="22"/>
          <w:color w:val="auto"/>
        </w:rPr>
        <w:t>).</w:t>
      </w:r>
    </w:p>
    <w:p>
      <w:pPr>
        <w:spacing w:after="0" w:line="23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i w:val="1"/>
          <w:iCs w:val="1"/>
          <w:color w:val="auto"/>
        </w:rPr>
        <w:t>11.2</w:t>
      </w:r>
      <w:r>
        <w:rPr>
          <w:sz w:val="20"/>
          <w:szCs w:val="20"/>
          <w:color w:val="auto"/>
        </w:rPr>
        <w:tab/>
      </w:r>
      <w:r>
        <w:rPr>
          <w:rFonts w:ascii="Arial" w:cs="Arial" w:eastAsia="Arial" w:hAnsi="Arial"/>
          <w:sz w:val="18"/>
          <w:szCs w:val="18"/>
          <w:b w:val="1"/>
          <w:bCs w:val="1"/>
          <w:i w:val="1"/>
          <w:iCs w:val="1"/>
          <w:color w:val="auto"/>
        </w:rPr>
        <w:t>Notice of Title Defects; Defect Adjustments.</w:t>
      </w:r>
    </w:p>
    <w:p>
      <w:pPr>
        <w:spacing w:after="0" w:line="274" w:lineRule="exact"/>
        <w:rPr>
          <w:sz w:val="20"/>
          <w:szCs w:val="20"/>
          <w:color w:val="auto"/>
        </w:rPr>
      </w:pPr>
    </w:p>
    <w:p>
      <w:pPr>
        <w:jc w:val="both"/>
        <w:ind w:firstLine="1305"/>
        <w:spacing w:after="0" w:line="260" w:lineRule="auto"/>
        <w:tabs>
          <w:tab w:leader="none" w:pos="1752"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Title Defect Notices.</w:t>
      </w:r>
      <w:r>
        <w:rPr>
          <w:rFonts w:ascii="Arial" w:cs="Arial" w:eastAsia="Arial" w:hAnsi="Arial"/>
          <w:sz w:val="21"/>
          <w:szCs w:val="21"/>
          <w:color w:val="auto"/>
        </w:rPr>
        <w:t xml:space="preserve"> Buyer must deliver no later than 5:00 p.m. (Central Time) on January 24, 2014 (the “</w:t>
      </w:r>
      <w:r>
        <w:rPr>
          <w:rFonts w:ascii="Arial" w:cs="Arial" w:eastAsia="Arial" w:hAnsi="Arial"/>
          <w:sz w:val="21"/>
          <w:szCs w:val="21"/>
          <w:b w:val="1"/>
          <w:bCs w:val="1"/>
          <w:i w:val="1"/>
          <w:iCs w:val="1"/>
          <w:color w:val="auto"/>
        </w:rPr>
        <w:t>Title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Claim Date</w:t>
      </w:r>
      <w:r>
        <w:rPr>
          <w:rFonts w:ascii="Arial" w:cs="Arial" w:eastAsia="Arial" w:hAnsi="Arial"/>
          <w:sz w:val="21"/>
          <w:szCs w:val="21"/>
          <w:color w:val="auto"/>
        </w:rPr>
        <w:t>”) claim notices to Sellers meeting the requirements of this</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Section 11.2(a)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(collectively the “</w:t>
      </w:r>
      <w:r>
        <w:rPr>
          <w:rFonts w:ascii="Arial" w:cs="Arial" w:eastAsia="Arial" w:hAnsi="Arial"/>
          <w:sz w:val="21"/>
          <w:szCs w:val="21"/>
          <w:b w:val="1"/>
          <w:bCs w:val="1"/>
          <w:i w:val="1"/>
          <w:iCs w:val="1"/>
          <w:color w:val="auto"/>
        </w:rPr>
        <w:t>Title Defect Notices</w:t>
      </w:r>
      <w:r>
        <w:rPr>
          <w:rFonts w:ascii="Arial" w:cs="Arial" w:eastAsia="Arial" w:hAnsi="Arial"/>
          <w:sz w:val="21"/>
          <w:szCs w:val="21"/>
          <w:color w:val="auto"/>
        </w:rPr>
        <w:t>”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individually a “</w:t>
      </w:r>
      <w:r>
        <w:rPr>
          <w:rFonts w:ascii="Arial" w:cs="Arial" w:eastAsia="Arial" w:hAnsi="Arial"/>
          <w:sz w:val="21"/>
          <w:szCs w:val="21"/>
          <w:b w:val="1"/>
          <w:bCs w:val="1"/>
          <w:i w:val="1"/>
          <w:iCs w:val="1"/>
          <w:color w:val="auto"/>
        </w:rPr>
        <w:t>Title Defect Notice</w:t>
      </w:r>
      <w:r>
        <w:rPr>
          <w:rFonts w:ascii="Arial" w:cs="Arial" w:eastAsia="Arial" w:hAnsi="Arial"/>
          <w:sz w:val="21"/>
          <w:szCs w:val="21"/>
          <w:color w:val="auto"/>
        </w:rPr>
        <w:t xml:space="preserve">”) setting forth any matters which, in Buyer’s reasonable opinion, constitute Title Defects and which Buyer intends to assert as a Title Defect pursuant to this </w:t>
      </w:r>
      <w:r>
        <w:rPr>
          <w:rFonts w:ascii="Arial" w:cs="Arial" w:eastAsia="Arial" w:hAnsi="Arial"/>
          <w:sz w:val="21"/>
          <w:szCs w:val="21"/>
          <w:u w:val="single" w:color="auto"/>
          <w:color w:val="auto"/>
        </w:rPr>
        <w:t>Section 11.2(a)</w:t>
      </w:r>
      <w:r>
        <w:rPr>
          <w:rFonts w:ascii="Arial" w:cs="Arial" w:eastAsia="Arial" w:hAnsi="Arial"/>
          <w:sz w:val="21"/>
          <w:szCs w:val="21"/>
          <w:color w:val="auto"/>
        </w:rPr>
        <w:t xml:space="preserve">. For all purposes of this Agreement and notwithstanding anything herein to the contrary (except as provided in </w:t>
      </w:r>
      <w:r>
        <w:rPr>
          <w:rFonts w:ascii="Arial" w:cs="Arial" w:eastAsia="Arial" w:hAnsi="Arial"/>
          <w:sz w:val="21"/>
          <w:szCs w:val="21"/>
          <w:u w:val="single" w:color="auto"/>
          <w:color w:val="auto"/>
        </w:rPr>
        <w:t>Section 11.1</w:t>
      </w:r>
      <w:r>
        <w:rPr>
          <w:rFonts w:ascii="Arial" w:cs="Arial" w:eastAsia="Arial" w:hAnsi="Arial"/>
          <w:sz w:val="21"/>
          <w:szCs w:val="21"/>
          <w:color w:val="auto"/>
        </w:rPr>
        <w:t>), Buyer shall be deemed to have waived, and Sellers shall have no liability for, any Title Defect which Buyer fails to assert as a Title Defect by a properly delivered Title Defect Notice received by Sellers on or before the Title Claim Date; provided,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84" w:name="page85"/>
    <w:bookmarkEnd w:id="8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however, that, for purposes of Sellers’ special warranty to title under </w:t>
      </w:r>
      <w:r>
        <w:rPr>
          <w:rFonts w:ascii="Arial" w:cs="Arial" w:eastAsia="Arial" w:hAnsi="Arial"/>
          <w:sz w:val="19"/>
          <w:szCs w:val="19"/>
          <w:u w:val="single" w:color="auto"/>
          <w:color w:val="auto"/>
        </w:rPr>
        <w:t>Section 11.1(b)</w:t>
      </w:r>
      <w:r>
        <w:rPr>
          <w:rFonts w:ascii="Arial" w:cs="Arial" w:eastAsia="Arial" w:hAnsi="Arial"/>
          <w:sz w:val="19"/>
          <w:szCs w:val="19"/>
          <w:color w:val="auto"/>
        </w:rPr>
        <w:t xml:space="preserve">, such waiver shall not apply to any matter that prior to the Title Claim Date is not discovered by any of Buyer’s or any of its Affiliate’s employees, title attorneys, landmen or other title examiners while conducting Buyer’s due diligence with respect to the Assets and may be claimed by Buyer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To be effective, each Title Defect Notice shall be in writing and shall include (i) a description of the alleged Title Defect and the Asset (including the legal description of such Asset and the Leases applicable to such Asset), or portion thereof, affected by such Title Defect (each a “</w:t>
      </w:r>
      <w:r>
        <w:rPr>
          <w:rFonts w:ascii="Arial" w:cs="Arial" w:eastAsia="Arial" w:hAnsi="Arial"/>
          <w:sz w:val="19"/>
          <w:szCs w:val="19"/>
          <w:b w:val="1"/>
          <w:bCs w:val="1"/>
          <w:i w:val="1"/>
          <w:iCs w:val="1"/>
          <w:color w:val="auto"/>
        </w:rPr>
        <w:t>Title Defect Property</w:t>
      </w:r>
      <w:r>
        <w:rPr>
          <w:rFonts w:ascii="Arial" w:cs="Arial" w:eastAsia="Arial" w:hAnsi="Arial"/>
          <w:sz w:val="19"/>
          <w:szCs w:val="19"/>
          <w:color w:val="auto"/>
        </w:rPr>
        <w:t xml:space="preserve">”), (ii) the Allocated Value of each Title Defect Property, (iii) supporting documents reasonably necessary for Sellers to verify the existence of such alleged Title Defect, (iv) Buyer’s preferred manner of curing each Title Defect and (v) the amount by which Buyer reasonably believes the Allocated Value of each Title Defect Property is reduced by such alleged Title Defect and the computations upon which Buyer’s belief is based. To give Sellers an opportunity to commence reviewing and curing Title Defects, Buyer agrees to use reasonable efforts to give Sellers, on or before the end of each calendar week prior to the Title Claim Date, written notice of all alleged Title Defects (as well as any claims that would be claims under the special warranty set forth in </w:t>
      </w:r>
      <w:r>
        <w:rPr>
          <w:rFonts w:ascii="Arial" w:cs="Arial" w:eastAsia="Arial" w:hAnsi="Arial"/>
          <w:sz w:val="19"/>
          <w:szCs w:val="19"/>
          <w:u w:val="single" w:color="auto"/>
          <w:color w:val="auto"/>
        </w:rPr>
        <w:t>Section 11.1</w:t>
      </w:r>
      <w:r>
        <w:rPr>
          <w:rFonts w:ascii="Arial" w:cs="Arial" w:eastAsia="Arial" w:hAnsi="Arial"/>
          <w:sz w:val="19"/>
          <w:szCs w:val="19"/>
          <w:color w:val="auto"/>
        </w:rPr>
        <w:t>) discovered by Buyer during the preceding calendar week, which notice may be preliminary in nature and supplemented prior to the Title Claim Date. Buyer shall also, promptly upon discovery, furnish Sellers with written notice of any Title Benefit which is discovered by any of Buyer’s or any of its Affiliate’s employees, title attorneys, landmen or other title examiners while conducting Buyer’s due diligence with respect to the Assets prior to the Title Claim Date.</w:t>
      </w:r>
    </w:p>
    <w:p>
      <w:pPr>
        <w:spacing w:after="0" w:line="200" w:lineRule="exact"/>
        <w:rPr>
          <w:sz w:val="20"/>
          <w:szCs w:val="20"/>
          <w:color w:val="auto"/>
        </w:rPr>
      </w:pPr>
    </w:p>
    <w:p>
      <w:pPr>
        <w:spacing w:after="0" w:line="257" w:lineRule="exact"/>
        <w:rPr>
          <w:sz w:val="20"/>
          <w:szCs w:val="20"/>
          <w:color w:val="auto"/>
        </w:rPr>
      </w:pPr>
    </w:p>
    <w:p>
      <w:pPr>
        <w:jc w:val="both"/>
        <w:ind w:firstLine="1305"/>
        <w:spacing w:after="0" w:line="246" w:lineRule="auto"/>
        <w:tabs>
          <w:tab w:leader="none" w:pos="1819"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Title Benefit Notices</w:t>
      </w:r>
      <w:r>
        <w:rPr>
          <w:rFonts w:ascii="Arial" w:cs="Arial" w:eastAsia="Arial" w:hAnsi="Arial"/>
          <w:sz w:val="22"/>
          <w:szCs w:val="22"/>
          <w:color w:val="auto"/>
        </w:rPr>
        <w:t>. Sellers shall have the right, but not the obligation, to deliver to Buyer on or before the Title Claim Date with respect to each Title Benefit a notice (a “</w:t>
      </w:r>
      <w:r>
        <w:rPr>
          <w:rFonts w:ascii="Arial" w:cs="Arial" w:eastAsia="Arial" w:hAnsi="Arial"/>
          <w:sz w:val="22"/>
          <w:szCs w:val="22"/>
          <w:b w:val="1"/>
          <w:bCs w:val="1"/>
          <w:i w:val="1"/>
          <w:iCs w:val="1"/>
          <w:color w:val="auto"/>
        </w:rPr>
        <w:t>Title Benefit Notice</w:t>
      </w:r>
      <w:r>
        <w:rPr>
          <w:rFonts w:ascii="Arial" w:cs="Arial" w:eastAsia="Arial" w:hAnsi="Arial"/>
          <w:sz w:val="22"/>
          <w:szCs w:val="22"/>
          <w:color w:val="auto"/>
        </w:rPr>
        <w:t>”) including (i) a description of the alleged Title Benefit and the Asset, or portion thereof, affected by such alleged Title Benefit (each a “</w:t>
      </w:r>
      <w:r>
        <w:rPr>
          <w:rFonts w:ascii="Arial" w:cs="Arial" w:eastAsia="Arial" w:hAnsi="Arial"/>
          <w:sz w:val="22"/>
          <w:szCs w:val="22"/>
          <w:b w:val="1"/>
          <w:bCs w:val="1"/>
          <w:i w:val="1"/>
          <w:iCs w:val="1"/>
          <w:color w:val="auto"/>
        </w:rPr>
        <w:t>Title Benefit Property</w:t>
      </w:r>
      <w:r>
        <w:rPr>
          <w:rFonts w:ascii="Arial" w:cs="Arial" w:eastAsia="Arial" w:hAnsi="Arial"/>
          <w:sz w:val="22"/>
          <w:szCs w:val="22"/>
          <w:color w:val="auto"/>
        </w:rPr>
        <w:t xml:space="preserve">”), and (ii) the amount by which Sellers reasonably believe the Allocated Value of such Title Benefit Property is increased by such alleged Title Benefit and the computations upon which Sellers’ belief is based. Except as set forth in </w:t>
      </w:r>
      <w:r>
        <w:rPr>
          <w:rFonts w:ascii="Arial" w:cs="Arial" w:eastAsia="Arial" w:hAnsi="Arial"/>
          <w:sz w:val="22"/>
          <w:szCs w:val="22"/>
          <w:u w:val="single" w:color="auto"/>
          <w:color w:val="auto"/>
        </w:rPr>
        <w:t>Section 11.1(c)(ii)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11.2(a)</w:t>
      </w:r>
      <w:r>
        <w:rPr>
          <w:rFonts w:ascii="Arial" w:cs="Arial" w:eastAsia="Arial" w:hAnsi="Arial"/>
          <w:sz w:val="22"/>
          <w:szCs w:val="22"/>
          <w:color w:val="auto"/>
        </w:rPr>
        <w:t>, Sellers shall be deemed to have waived all Title Benefits for which a Title Benefit Notice has not been delivered on or before the Title Claim Date.</w:t>
      </w:r>
    </w:p>
    <w:p>
      <w:pPr>
        <w:spacing w:after="0" w:line="237" w:lineRule="exact"/>
        <w:rPr>
          <w:rFonts w:ascii="Arial" w:cs="Arial" w:eastAsia="Arial" w:hAnsi="Arial"/>
          <w:sz w:val="22"/>
          <w:szCs w:val="22"/>
          <w:color w:val="auto"/>
        </w:rPr>
      </w:pPr>
    </w:p>
    <w:p>
      <w:pPr>
        <w:jc w:val="both"/>
        <w:ind w:firstLine="1305"/>
        <w:spacing w:after="0" w:line="286" w:lineRule="auto"/>
        <w:tabs>
          <w:tab w:leader="none" w:pos="182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Sellers’ Right to Cure</w:t>
      </w:r>
      <w:r>
        <w:rPr>
          <w:rFonts w:ascii="Arial" w:cs="Arial" w:eastAsia="Arial" w:hAnsi="Arial"/>
          <w:sz w:val="19"/>
          <w:szCs w:val="19"/>
          <w:color w:val="auto"/>
        </w:rPr>
        <w:t>. Each Seller shall have the right, but not the obligation, to attempt, at its sole cost, to cure at any time prior to 120 days after Closing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xml:space="preserve">”), any Title Defects of which it has been advised by Buyer. During the period of time from Closing to the expiration of the Cure Period, Buyer agrees to afford such Seller and its officers, employees and other authorized representatives reasonable access, during normal business hours, to the Assets and all Records in Buyer’s or any of its Affiliates’ possession in order to facilitate such Seller’s attempt to cure any such Title Defects. The Title Defect Amount claimed in good faith by Buyer for any Title Defect as to which such Seller has provided notice to Buyer that such Seller intends to attempt to cure the Title Defect during the Cure Period, shall be paid by Buyer at Closing to the Escrow Agent pursuant to an escrow agreement mutually acceptable to the Parties and any such amount shall be paid to Sellers or Buyer, as applicable, upon the expiration of the Cure Period and as agreed by the Sellers and Buyer or determined pursuant to </w:t>
      </w:r>
      <w:r>
        <w:rPr>
          <w:rFonts w:ascii="Arial" w:cs="Arial" w:eastAsia="Arial" w:hAnsi="Arial"/>
          <w:sz w:val="19"/>
          <w:szCs w:val="19"/>
          <w:u w:val="single" w:color="auto"/>
          <w:color w:val="auto"/>
        </w:rPr>
        <w:t>Section 11.2(j)</w:t>
      </w:r>
      <w:r>
        <w:rPr>
          <w:rFonts w:ascii="Arial" w:cs="Arial" w:eastAsia="Arial" w:hAnsi="Arial"/>
          <w:sz w:val="19"/>
          <w:szCs w:val="19"/>
          <w:color w:val="auto"/>
        </w:rPr>
        <w:t xml:space="preserve">. An election by such Seller to attempt to cure a Title Defect shall be without prejudice to its rights under </w:t>
      </w:r>
      <w:r>
        <w:rPr>
          <w:rFonts w:ascii="Arial" w:cs="Arial" w:eastAsia="Arial" w:hAnsi="Arial"/>
          <w:sz w:val="19"/>
          <w:szCs w:val="19"/>
          <w:u w:val="single" w:color="auto"/>
          <w:color w:val="auto"/>
        </w:rPr>
        <w:t>Section 11.2(j)</w:t>
      </w:r>
      <w:r>
        <w:rPr>
          <w:rFonts w:ascii="Arial" w:cs="Arial" w:eastAsia="Arial" w:hAnsi="Arial"/>
          <w:sz w:val="19"/>
          <w:szCs w:val="19"/>
          <w:color w:val="auto"/>
        </w:rPr>
        <w:t xml:space="preserve"> and shall not constitute an admission against interest or a waiver of such Seller’s right to dispute the existence, nature or value of, or cost to cure, the alleged Title Defect. Notwithstanding anything to the contrary herein, with respect to any Asset that is owned by more than one Seller, Sellers shall make their elections described in </w:t>
      </w:r>
      <w:r>
        <w:rPr>
          <w:rFonts w:ascii="Arial" w:cs="Arial" w:eastAsia="Arial" w:hAnsi="Arial"/>
          <w:sz w:val="19"/>
          <w:szCs w:val="19"/>
          <w:u w:val="single" w:color="auto"/>
          <w:color w:val="auto"/>
        </w:rPr>
        <w:t>Sections 11.2(c)</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11.2(d)</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12.1(b)</w:t>
      </w:r>
      <w:r>
        <w:rPr>
          <w:rFonts w:ascii="Arial" w:cs="Arial" w:eastAsia="Arial" w:hAnsi="Arial"/>
          <w:sz w:val="19"/>
          <w:szCs w:val="19"/>
          <w:color w:val="auto"/>
        </w:rPr>
        <w:t xml:space="preserve"> as a group through the Seller Representative.</w:t>
      </w:r>
    </w:p>
    <w:p>
      <w:pPr>
        <w:spacing w:after="0" w:line="225" w:lineRule="exact"/>
        <w:rPr>
          <w:rFonts w:ascii="Arial" w:cs="Arial" w:eastAsia="Arial" w:hAnsi="Arial"/>
          <w:sz w:val="19"/>
          <w:szCs w:val="19"/>
          <w:color w:val="auto"/>
        </w:rPr>
      </w:pPr>
    </w:p>
    <w:p>
      <w:pPr>
        <w:jc w:val="both"/>
        <w:ind w:firstLine="1305"/>
        <w:spacing w:after="0" w:line="245" w:lineRule="auto"/>
        <w:tabs>
          <w:tab w:leader="none" w:pos="179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Remedies for Title Defects</w:t>
      </w:r>
      <w:r>
        <w:rPr>
          <w:rFonts w:ascii="Arial" w:cs="Arial" w:eastAsia="Arial" w:hAnsi="Arial"/>
          <w:sz w:val="22"/>
          <w:szCs w:val="22"/>
          <w:color w:val="auto"/>
        </w:rPr>
        <w:t xml:space="preserve">. Subject to each Seller’s continuing right to dispute the existence of a Title Defect and the Title Defect Amount asserted with respect thereto, and subject to the rights of the Parties pursuant to </w:t>
      </w:r>
      <w:r>
        <w:rPr>
          <w:rFonts w:ascii="Arial" w:cs="Arial" w:eastAsia="Arial" w:hAnsi="Arial"/>
          <w:sz w:val="22"/>
          <w:szCs w:val="22"/>
          <w:u w:val="single" w:color="auto"/>
          <w:color w:val="auto"/>
        </w:rPr>
        <w:t>Section 14.1(c)</w:t>
      </w:r>
      <w:r>
        <w:rPr>
          <w:rFonts w:ascii="Arial" w:cs="Arial" w:eastAsia="Arial" w:hAnsi="Arial"/>
          <w:sz w:val="22"/>
          <w:szCs w:val="22"/>
          <w:color w:val="auto"/>
        </w:rPr>
        <w:t>, in the event that any Title Defect timely and effectively asserted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85" w:name="page86"/>
    <w:bookmarkEnd w:id="85"/>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by Buyer in accordance with </w:t>
      </w:r>
      <w:r>
        <w:rPr>
          <w:rFonts w:ascii="Arial" w:cs="Arial" w:eastAsia="Arial" w:hAnsi="Arial"/>
          <w:sz w:val="22"/>
          <w:szCs w:val="22"/>
          <w:u w:val="single" w:color="auto"/>
          <w:color w:val="auto"/>
        </w:rPr>
        <w:t>Section 11.2(a)</w:t>
      </w:r>
      <w:r>
        <w:rPr>
          <w:rFonts w:ascii="Arial" w:cs="Arial" w:eastAsia="Arial" w:hAnsi="Arial"/>
          <w:sz w:val="22"/>
          <w:szCs w:val="22"/>
          <w:color w:val="auto"/>
        </w:rPr>
        <w:t xml:space="preserve"> is not waived in writing by Buyer or cured during the Cure Period, Sellers shall, at their sole option, elect to:</w:t>
      </w:r>
    </w:p>
    <w:p>
      <w:pPr>
        <w:spacing w:after="0" w:line="2" w:lineRule="exact"/>
        <w:rPr>
          <w:sz w:val="20"/>
          <w:szCs w:val="20"/>
          <w:color w:val="auto"/>
        </w:rPr>
      </w:pPr>
    </w:p>
    <w:p>
      <w:pPr>
        <w:jc w:val="both"/>
        <w:ind w:firstLine="1953"/>
        <w:spacing w:after="0" w:line="245" w:lineRule="auto"/>
        <w:tabs>
          <w:tab w:leader="none" w:pos="2401"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subject to the Individual Title Defect Threshold and the Aggregate Deductible, convey the Title Defect Property to Buyer at Closing, and reduce the Purchase Price or Final Price, as applicable, by the Title Defect Amount determined pursuant to </w:t>
      </w:r>
      <w:r>
        <w:rPr>
          <w:rFonts w:ascii="Arial" w:cs="Arial" w:eastAsia="Arial" w:hAnsi="Arial"/>
          <w:sz w:val="22"/>
          <w:szCs w:val="22"/>
          <w:u w:val="single" w:color="auto"/>
          <w:color w:val="auto"/>
        </w:rPr>
        <w:t>Section 11.2(g)</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11.2(j)</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71" w:lineRule="auto"/>
        <w:tabs>
          <w:tab w:leader="none" w:pos="2445" w:val="left"/>
        </w:tabs>
        <w:numPr>
          <w:ilvl w:val="1"/>
          <w:numId w:val="51"/>
        </w:numPr>
        <w:rPr>
          <w:rFonts w:ascii="Arial" w:cs="Arial" w:eastAsia="Arial" w:hAnsi="Arial"/>
          <w:sz w:val="21"/>
          <w:szCs w:val="21"/>
          <w:color w:val="auto"/>
        </w:rPr>
      </w:pPr>
      <w:r>
        <w:rPr>
          <w:rFonts w:ascii="Arial" w:cs="Arial" w:eastAsia="Arial" w:hAnsi="Arial"/>
          <w:sz w:val="21"/>
          <w:szCs w:val="21"/>
          <w:color w:val="auto"/>
        </w:rPr>
        <w:t>with the written consent of Buyer, retain the entirety of the Title Defect Property that is subject to such Title Defect, together with all associated Assets, in which event the Purchase Price or Final Price, as applicable, shall be reduced by an amount equal to the Allocated Value of such Title Defect Property and such associated Assets; or</w:t>
      </w:r>
    </w:p>
    <w:p>
      <w:pPr>
        <w:spacing w:after="0" w:line="208" w:lineRule="exact"/>
        <w:rPr>
          <w:rFonts w:ascii="Arial" w:cs="Arial" w:eastAsia="Arial" w:hAnsi="Arial"/>
          <w:sz w:val="21"/>
          <w:szCs w:val="21"/>
          <w:color w:val="auto"/>
        </w:rPr>
      </w:pPr>
    </w:p>
    <w:p>
      <w:pPr>
        <w:ind w:left="2500" w:hanging="547"/>
        <w:spacing w:after="0"/>
        <w:tabs>
          <w:tab w:leader="none" w:pos="25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if applicable, terminate this Agreement pursuant to </w:t>
      </w:r>
      <w:r>
        <w:rPr>
          <w:rFonts w:ascii="Arial" w:cs="Arial" w:eastAsia="Arial" w:hAnsi="Arial"/>
          <w:sz w:val="22"/>
          <w:szCs w:val="22"/>
          <w:u w:val="single" w:color="auto"/>
          <w:color w:val="auto"/>
        </w:rPr>
        <w:t>Section 14.1(c)</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48" w:lineRule="auto"/>
        <w:tabs>
          <w:tab w:leader="none" w:pos="1793"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Remedies for Title Benefits</w:t>
      </w:r>
      <w:r>
        <w:rPr>
          <w:rFonts w:ascii="Arial" w:cs="Arial" w:eastAsia="Arial" w:hAnsi="Arial"/>
          <w:sz w:val="22"/>
          <w:szCs w:val="22"/>
          <w:color w:val="auto"/>
        </w:rPr>
        <w:t>. The amount resulting from a Title Benefit (the “</w:t>
      </w:r>
      <w:r>
        <w:rPr>
          <w:rFonts w:ascii="Arial" w:cs="Arial" w:eastAsia="Arial" w:hAnsi="Arial"/>
          <w:sz w:val="22"/>
          <w:szCs w:val="22"/>
          <w:b w:val="1"/>
          <w:bCs w:val="1"/>
          <w:i w:val="1"/>
          <w:iCs w:val="1"/>
          <w:color w:val="auto"/>
        </w:rPr>
        <w:t>Title Benefit Amount</w:t>
      </w:r>
      <w:r>
        <w:rPr>
          <w:rFonts w:ascii="Arial" w:cs="Arial" w:eastAsia="Arial" w:hAnsi="Arial"/>
          <w:sz w:val="22"/>
          <w:szCs w:val="22"/>
          <w:color w:val="auto"/>
        </w:rPr>
        <w:t xml:space="preserve">”) shall be determined pursuant to </w:t>
      </w:r>
      <w:r>
        <w:rPr>
          <w:rFonts w:ascii="Arial" w:cs="Arial" w:eastAsia="Arial" w:hAnsi="Arial"/>
          <w:sz w:val="22"/>
          <w:szCs w:val="22"/>
          <w:u w:val="single" w:color="auto"/>
          <w:color w:val="auto"/>
        </w:rPr>
        <w:t>Section 11.2(h)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11.2(j)</w:t>
      </w:r>
      <w:r>
        <w:rPr>
          <w:rFonts w:ascii="Arial" w:cs="Arial" w:eastAsia="Arial" w:hAnsi="Arial"/>
          <w:sz w:val="22"/>
          <w:szCs w:val="22"/>
          <w:color w:val="auto"/>
        </w:rPr>
        <w:t>. Any Title Benefit Amounts shall be offset against the total Title Defect Amounts for all Title Defects. Notwithstanding anything to the contrary in this section, if the total of all Title Benefit Amounts exceeds the total of all Title Defect Amounts for the Assets, there shall be no upward adjustment to the Purchase Price or other remedies provided to Sellers for such Title Benefits.</w:t>
      </w:r>
    </w:p>
    <w:p>
      <w:pPr>
        <w:spacing w:after="0" w:line="232" w:lineRule="exact"/>
        <w:rPr>
          <w:rFonts w:ascii="Arial" w:cs="Arial" w:eastAsia="Arial" w:hAnsi="Arial"/>
          <w:sz w:val="22"/>
          <w:szCs w:val="22"/>
          <w:color w:val="auto"/>
        </w:rPr>
      </w:pPr>
    </w:p>
    <w:p>
      <w:pPr>
        <w:jc w:val="both"/>
        <w:ind w:firstLine="1305"/>
        <w:spacing w:after="0" w:line="250" w:lineRule="auto"/>
        <w:tabs>
          <w:tab w:leader="none" w:pos="174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xml:space="preserve">. Except for Buyer’s rights under Sellers’ special warranty of title under </w:t>
      </w:r>
      <w:r>
        <w:rPr>
          <w:rFonts w:ascii="Arial" w:cs="Arial" w:eastAsia="Arial" w:hAnsi="Arial"/>
          <w:sz w:val="22"/>
          <w:szCs w:val="22"/>
          <w:u w:val="single" w:color="auto"/>
          <w:color w:val="auto"/>
        </w:rPr>
        <w:t>Section 11.1(b)</w:t>
      </w:r>
      <w:r>
        <w:rPr>
          <w:rFonts w:ascii="Arial" w:cs="Arial" w:eastAsia="Arial" w:hAnsi="Arial"/>
          <w:sz w:val="22"/>
          <w:szCs w:val="22"/>
          <w:color w:val="auto"/>
        </w:rPr>
        <w:t xml:space="preserve"> and Buyer’s rights to terminate this Agreement pursuant to </w:t>
      </w:r>
      <w:r>
        <w:rPr>
          <w:rFonts w:ascii="Arial" w:cs="Arial" w:eastAsia="Arial" w:hAnsi="Arial"/>
          <w:sz w:val="22"/>
          <w:szCs w:val="22"/>
          <w:u w:val="single" w:color="auto"/>
          <w:color w:val="auto"/>
        </w:rPr>
        <w:t>Section 14.1(c)</w:t>
      </w:r>
      <w:r>
        <w:rPr>
          <w:rFonts w:ascii="Arial" w:cs="Arial" w:eastAsia="Arial" w:hAnsi="Arial"/>
          <w:sz w:val="22"/>
          <w:szCs w:val="22"/>
          <w:color w:val="auto"/>
        </w:rPr>
        <w:t xml:space="preserve">, the provisions set forth in </w:t>
      </w:r>
      <w:r>
        <w:rPr>
          <w:rFonts w:ascii="Arial" w:cs="Arial" w:eastAsia="Arial" w:hAnsi="Arial"/>
          <w:sz w:val="22"/>
          <w:szCs w:val="22"/>
          <w:u w:val="single" w:color="auto"/>
          <w:color w:val="auto"/>
        </w:rPr>
        <w:t>Section 11.2(d)</w:t>
      </w:r>
      <w:r>
        <w:rPr>
          <w:rFonts w:ascii="Arial" w:cs="Arial" w:eastAsia="Arial" w:hAnsi="Arial"/>
          <w:sz w:val="22"/>
          <w:szCs w:val="22"/>
          <w:color w:val="auto"/>
        </w:rPr>
        <w:t xml:space="preserve"> shall be the exclusive right and remedy of Buyer with respect to such Seller’s failure to have Defensible Title with respect to any Asset or any other title matter.</w:t>
      </w:r>
    </w:p>
    <w:p>
      <w:pPr>
        <w:spacing w:after="0" w:line="228" w:lineRule="exact"/>
        <w:rPr>
          <w:rFonts w:ascii="Arial" w:cs="Arial" w:eastAsia="Arial" w:hAnsi="Arial"/>
          <w:sz w:val="22"/>
          <w:szCs w:val="22"/>
          <w:color w:val="auto"/>
        </w:rPr>
      </w:pPr>
    </w:p>
    <w:p>
      <w:pPr>
        <w:jc w:val="both"/>
        <w:ind w:right="20" w:firstLine="1305"/>
        <w:spacing w:after="0" w:line="291" w:lineRule="auto"/>
        <w:tabs>
          <w:tab w:leader="none" w:pos="184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Title Defect Amount</w:t>
      </w:r>
      <w:r>
        <w:rPr>
          <w:rFonts w:ascii="Arial" w:cs="Arial" w:eastAsia="Arial" w:hAnsi="Arial"/>
          <w:sz w:val="19"/>
          <w:szCs w:val="19"/>
          <w:color w:val="auto"/>
        </w:rPr>
        <w:t>. The amount by which the Allocated Value of a Title Defect Property is reduced as a result of the existence of a Title Defect shall be the “</w:t>
      </w:r>
      <w:r>
        <w:rPr>
          <w:rFonts w:ascii="Arial" w:cs="Arial" w:eastAsia="Arial" w:hAnsi="Arial"/>
          <w:sz w:val="19"/>
          <w:szCs w:val="19"/>
          <w:b w:val="1"/>
          <w:bCs w:val="1"/>
          <w:i w:val="1"/>
          <w:iCs w:val="1"/>
          <w:color w:val="auto"/>
        </w:rPr>
        <w:t>Title Defect Amount</w:t>
      </w:r>
      <w:r>
        <w:rPr>
          <w:rFonts w:ascii="Arial" w:cs="Arial" w:eastAsia="Arial" w:hAnsi="Arial"/>
          <w:sz w:val="19"/>
          <w:szCs w:val="19"/>
          <w:color w:val="auto"/>
        </w:rPr>
        <w:t>” and shall be determined in accordance with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following terms and conditions:</w:t>
      </w:r>
    </w:p>
    <w:p>
      <w:pPr>
        <w:spacing w:after="0" w:line="4" w:lineRule="exact"/>
        <w:rPr>
          <w:sz w:val="20"/>
          <w:szCs w:val="20"/>
          <w:color w:val="auto"/>
        </w:rPr>
      </w:pPr>
    </w:p>
    <w:p>
      <w:pPr>
        <w:ind w:left="2700" w:hanging="747"/>
        <w:spacing w:after="0"/>
        <w:tabs>
          <w:tab w:leader="none" w:pos="2700" w:val="left"/>
        </w:tabs>
        <w:numPr>
          <w:ilvl w:val="0"/>
          <w:numId w:val="53"/>
        </w:numPr>
        <w:rPr>
          <w:rFonts w:ascii="Arial" w:cs="Arial" w:eastAsia="Arial" w:hAnsi="Arial"/>
          <w:sz w:val="16"/>
          <w:szCs w:val="16"/>
          <w:color w:val="auto"/>
        </w:rPr>
      </w:pPr>
      <w:r>
        <w:rPr>
          <w:rFonts w:ascii="Arial" w:cs="Arial" w:eastAsia="Arial" w:hAnsi="Arial"/>
          <w:sz w:val="19"/>
          <w:szCs w:val="19"/>
          <w:color w:val="auto"/>
        </w:rPr>
        <w:t>if Buyer and the affected Sellers agree on the Title Defect Amount, then that amount shall be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 Defect Amount;</w:t>
      </w:r>
    </w:p>
    <w:p>
      <w:pPr>
        <w:spacing w:after="0" w:line="17" w:lineRule="exact"/>
        <w:rPr>
          <w:sz w:val="20"/>
          <w:szCs w:val="20"/>
          <w:color w:val="auto"/>
        </w:rPr>
      </w:pPr>
    </w:p>
    <w:p>
      <w:pPr>
        <w:ind w:right="20" w:firstLine="1953"/>
        <w:spacing w:after="0" w:line="261" w:lineRule="auto"/>
        <w:tabs>
          <w:tab w:leader="none" w:pos="2738" w:val="left"/>
        </w:tabs>
        <w:numPr>
          <w:ilvl w:val="0"/>
          <w:numId w:val="54"/>
        </w:numPr>
        <w:rPr>
          <w:rFonts w:ascii="Arial" w:cs="Arial" w:eastAsia="Arial" w:hAnsi="Arial"/>
          <w:sz w:val="17"/>
          <w:szCs w:val="17"/>
          <w:color w:val="auto"/>
        </w:rPr>
      </w:pPr>
      <w:r>
        <w:rPr>
          <w:rFonts w:ascii="Arial" w:cs="Arial" w:eastAsia="Arial" w:hAnsi="Arial"/>
          <w:sz w:val="21"/>
          <w:szCs w:val="21"/>
          <w:color w:val="auto"/>
        </w:rPr>
        <w:t>if the Title Defect is an Encumbrance that is undisputed and liquidated in amount, then the Title Defect Amount shall be the amount necessary to be paid to remove the Title Defect from the Title Defect Property;</w:t>
      </w:r>
    </w:p>
    <w:p>
      <w:pPr>
        <w:spacing w:after="0" w:line="1" w:lineRule="exact"/>
        <w:rPr>
          <w:rFonts w:ascii="Arial" w:cs="Arial" w:eastAsia="Arial" w:hAnsi="Arial"/>
          <w:sz w:val="17"/>
          <w:szCs w:val="17"/>
          <w:color w:val="auto"/>
        </w:rPr>
      </w:pPr>
    </w:p>
    <w:p>
      <w:pPr>
        <w:jc w:val="both"/>
        <w:ind w:firstLine="1953"/>
        <w:spacing w:after="0" w:line="246" w:lineRule="auto"/>
        <w:tabs>
          <w:tab w:leader="none" w:pos="2788" w:val="left"/>
        </w:tabs>
        <w:numPr>
          <w:ilvl w:val="0"/>
          <w:numId w:val="54"/>
        </w:numPr>
        <w:rPr>
          <w:rFonts w:ascii="Arial" w:cs="Arial" w:eastAsia="Arial" w:hAnsi="Arial"/>
          <w:sz w:val="18"/>
          <w:szCs w:val="18"/>
          <w:color w:val="auto"/>
        </w:rPr>
      </w:pPr>
      <w:r>
        <w:rPr>
          <w:rFonts w:ascii="Arial" w:cs="Arial" w:eastAsia="Arial" w:hAnsi="Arial"/>
          <w:sz w:val="22"/>
          <w:szCs w:val="22"/>
          <w:color w:val="auto"/>
        </w:rPr>
        <w:t xml:space="preserve">if the Title Defect represents a discrepancy between (A) Sellers’ Net Revenue Interest for any Title Defect Property and (B) the Net Revenue Interest set forth for such Title Defect Property on </w:t>
      </w:r>
      <w:r>
        <w:rPr>
          <w:rFonts w:ascii="Arial" w:cs="Arial" w:eastAsia="Arial" w:hAnsi="Arial"/>
          <w:sz w:val="22"/>
          <w:szCs w:val="22"/>
          <w:u w:val="single" w:color="auto"/>
          <w:color w:val="auto"/>
        </w:rPr>
        <w:t>Schedule 3.8</w:t>
      </w:r>
      <w:r>
        <w:rPr>
          <w:rFonts w:ascii="Arial" w:cs="Arial" w:eastAsia="Arial" w:hAnsi="Arial"/>
          <w:sz w:val="22"/>
          <w:szCs w:val="22"/>
          <w:color w:val="auto"/>
        </w:rPr>
        <w:t xml:space="preserve">, then the Title Defect Amount shall be the product of the Allocated Value of such Title Defect Property multiplied by a fraction, the numerator of which is the Net Revenue Interest decrease and the denominator of which is the Net Revenue Interest set forth for such Title Defect Property on </w:t>
      </w:r>
      <w:r>
        <w:rPr>
          <w:rFonts w:ascii="Arial" w:cs="Arial" w:eastAsia="Arial" w:hAnsi="Arial"/>
          <w:sz w:val="22"/>
          <w:szCs w:val="22"/>
          <w:u w:val="single" w:color="auto"/>
          <w:color w:val="auto"/>
        </w:rPr>
        <w:t>Schedule 3.8</w:t>
      </w:r>
      <w:r>
        <w:rPr>
          <w:rFonts w:ascii="Arial" w:cs="Arial" w:eastAsia="Arial" w:hAnsi="Arial"/>
          <w:sz w:val="22"/>
          <w:szCs w:val="22"/>
          <w:color w:val="auto"/>
        </w:rPr>
        <w:t>;</w:t>
      </w:r>
    </w:p>
    <w:p>
      <w:pPr>
        <w:jc w:val="both"/>
        <w:ind w:firstLine="1953"/>
        <w:spacing w:after="0" w:line="284" w:lineRule="auto"/>
        <w:tabs>
          <w:tab w:leader="none" w:pos="2766" w:val="left"/>
        </w:tabs>
        <w:numPr>
          <w:ilvl w:val="0"/>
          <w:numId w:val="54"/>
        </w:numPr>
        <w:rPr>
          <w:rFonts w:ascii="Arial" w:cs="Arial" w:eastAsia="Arial" w:hAnsi="Arial"/>
          <w:sz w:val="16"/>
          <w:szCs w:val="16"/>
          <w:color w:val="auto"/>
        </w:rPr>
      </w:pPr>
      <w:r>
        <w:rPr>
          <w:rFonts w:ascii="Arial" w:cs="Arial" w:eastAsia="Arial" w:hAnsi="Arial"/>
          <w:sz w:val="19"/>
          <w:szCs w:val="19"/>
          <w:color w:val="auto"/>
        </w:rPr>
        <w:t>if the Title Defect represents an obligation or Encumbrance upon or other defect in title to the Title Defect Property of a type not described above, then the Title Defect Amount shall be determined by taking into account the Allocated Value of the Title Defect Property, the portion of the Title Defect Property affected by the Title Defect, the legal effect of the Title Defect, the potential economic effect of the Title Defect over the life of the Title Defect Property, the values placed upon the Title Defect by Buyer and the affected Seller and such other reasonable factors as are necessary to make a proper evaluation;</w:t>
      </w:r>
    </w:p>
    <w:p>
      <w:pPr>
        <w:spacing w:after="0" w:line="3" w:lineRule="exact"/>
        <w:rPr>
          <w:rFonts w:ascii="Arial" w:cs="Arial" w:eastAsia="Arial" w:hAnsi="Arial"/>
          <w:sz w:val="16"/>
          <w:szCs w:val="16"/>
          <w:color w:val="auto"/>
        </w:rPr>
      </w:pPr>
    </w:p>
    <w:p>
      <w:pPr>
        <w:ind w:firstLine="1953"/>
        <w:spacing w:after="0" w:line="249" w:lineRule="auto"/>
        <w:tabs>
          <w:tab w:leader="none" w:pos="2716" w:val="left"/>
        </w:tabs>
        <w:numPr>
          <w:ilvl w:val="0"/>
          <w:numId w:val="54"/>
        </w:numPr>
        <w:rPr>
          <w:rFonts w:ascii="Arial" w:cs="Arial" w:eastAsia="Arial" w:hAnsi="Arial"/>
          <w:sz w:val="18"/>
          <w:szCs w:val="18"/>
          <w:color w:val="auto"/>
        </w:rPr>
      </w:pPr>
      <w:r>
        <w:rPr>
          <w:rFonts w:ascii="Arial" w:cs="Arial" w:eastAsia="Arial" w:hAnsi="Arial"/>
          <w:sz w:val="22"/>
          <w:szCs w:val="22"/>
          <w:color w:val="auto"/>
        </w:rPr>
        <w:t>the Title Defect Amount with respect to a Title Defect Property shall be determined without duplication of any losses included in another Title Defect Amount hereunder; and</w:t>
      </w:r>
    </w:p>
    <w:p>
      <w:pPr>
        <w:spacing w:after="0" w:line="1" w:lineRule="exact"/>
        <w:rPr>
          <w:rFonts w:ascii="Arial" w:cs="Arial" w:eastAsia="Arial" w:hAnsi="Arial"/>
          <w:sz w:val="18"/>
          <w:szCs w:val="18"/>
          <w:color w:val="auto"/>
        </w:rPr>
      </w:pPr>
    </w:p>
    <w:p>
      <w:pPr>
        <w:jc w:val="both"/>
        <w:ind w:firstLine="1953"/>
        <w:spacing w:after="0" w:line="251" w:lineRule="auto"/>
        <w:tabs>
          <w:tab w:leader="none" w:pos="2778" w:val="left"/>
        </w:tabs>
        <w:numPr>
          <w:ilvl w:val="0"/>
          <w:numId w:val="54"/>
        </w:numPr>
        <w:rPr>
          <w:rFonts w:ascii="Arial" w:cs="Arial" w:eastAsia="Arial" w:hAnsi="Arial"/>
          <w:sz w:val="18"/>
          <w:szCs w:val="18"/>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Article XI</w:t>
      </w:r>
      <w:r>
        <w:rPr>
          <w:rFonts w:ascii="Arial" w:cs="Arial" w:eastAsia="Arial" w:hAnsi="Arial"/>
          <w:sz w:val="22"/>
          <w:szCs w:val="22"/>
          <w:color w:val="auto"/>
        </w:rPr>
        <w:t>, the aggregate Title Defect Amounts attributable to the effects of all Title Defects upon any Title Defect Property shall not exceed the Allocated Value of such Title Defect Property.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ind w:firstLine="1305"/>
        <w:spacing w:after="0" w:line="251" w:lineRule="auto"/>
        <w:tabs>
          <w:tab w:leader="none" w:pos="2197"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Title Benefit Amount</w:t>
      </w:r>
      <w:r>
        <w:rPr>
          <w:rFonts w:ascii="Arial" w:cs="Arial" w:eastAsia="Arial" w:hAnsi="Arial"/>
          <w:sz w:val="22"/>
          <w:szCs w:val="22"/>
          <w:color w:val="auto"/>
        </w:rPr>
        <w:t>. The Title Benefit Amount resulting from a Title Benefit shall be determined in accordance with the following methodology, terms and conditions:</w:t>
      </w:r>
    </w:p>
    <w:p>
      <w:pPr>
        <w:spacing w:after="0" w:line="2" w:lineRule="exact"/>
        <w:rPr>
          <w:rFonts w:ascii="Arial" w:cs="Arial" w:eastAsia="Arial" w:hAnsi="Arial"/>
          <w:sz w:val="22"/>
          <w:szCs w:val="22"/>
          <w:color w:val="auto"/>
        </w:rPr>
      </w:pPr>
    </w:p>
    <w:p>
      <w:pPr>
        <w:ind w:left="2800" w:hanging="847"/>
        <w:spacing w:after="0"/>
        <w:tabs>
          <w:tab w:leader="none" w:pos="28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if Buyer and affected Sellers agree on the Title Benefit Amount, then that amount shall be the Title</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Benefit Amount;</w:t>
      </w:r>
    </w:p>
    <w:p>
      <w:pPr>
        <w:spacing w:after="0" w:line="3" w:lineRule="exact"/>
        <w:rPr>
          <w:rFonts w:ascii="Arial" w:cs="Arial" w:eastAsia="Arial" w:hAnsi="Arial"/>
          <w:sz w:val="19"/>
          <w:szCs w:val="19"/>
          <w:color w:val="auto"/>
        </w:rPr>
      </w:pPr>
    </w:p>
    <w:p>
      <w:pPr>
        <w:jc w:val="both"/>
        <w:ind w:firstLine="1953"/>
        <w:spacing w:after="0" w:line="243" w:lineRule="auto"/>
        <w:tabs>
          <w:tab w:leader="none" w:pos="2857" w:val="left"/>
        </w:tabs>
        <w:numPr>
          <w:ilvl w:val="1"/>
          <w:numId w:val="55"/>
        </w:numPr>
        <w:rPr>
          <w:rFonts w:ascii="Arial" w:cs="Arial" w:eastAsia="Arial" w:hAnsi="Arial"/>
          <w:sz w:val="22"/>
          <w:szCs w:val="22"/>
          <w:color w:val="auto"/>
        </w:rPr>
      </w:pPr>
      <w:r>
        <w:rPr>
          <w:rFonts w:ascii="Arial" w:cs="Arial" w:eastAsia="Arial" w:hAnsi="Arial"/>
          <w:sz w:val="22"/>
          <w:szCs w:val="22"/>
          <w:color w:val="auto"/>
        </w:rPr>
        <w:t xml:space="preserve">if the Title Benefit represents a discrepancy between (A) the affected Sellers’ Net Revenue Interest for any Title Benefit Property and (B) the Net Revenue Interest set forth for such Title Benefit Property on </w:t>
      </w:r>
      <w:r>
        <w:rPr>
          <w:rFonts w:ascii="Arial" w:cs="Arial" w:eastAsia="Arial" w:hAnsi="Arial"/>
          <w:sz w:val="22"/>
          <w:szCs w:val="22"/>
          <w:u w:val="single" w:color="auto"/>
          <w:color w:val="auto"/>
        </w:rPr>
        <w:t>Schedule 3.8,</w:t>
      </w:r>
      <w:r>
        <w:rPr>
          <w:rFonts w:ascii="Arial" w:cs="Arial" w:eastAsia="Arial" w:hAnsi="Arial"/>
          <w:sz w:val="22"/>
          <w:szCs w:val="22"/>
          <w:color w:val="auto"/>
        </w:rPr>
        <w:t xml:space="preserve"> then the Title Benefit Amount shall be the product of the Allocated Value of such Title Benefit Property multiplied by a fraction, the numerator of which is the Net Revenue Interest increase and the denominator of which is the Net Revenue Interest set forth for such Title Benefit Property on </w:t>
      </w:r>
      <w:r>
        <w:rPr>
          <w:rFonts w:ascii="Arial" w:cs="Arial" w:eastAsia="Arial" w:hAnsi="Arial"/>
          <w:sz w:val="22"/>
          <w:szCs w:val="22"/>
          <w:u w:val="single" w:color="auto"/>
          <w:color w:val="auto"/>
        </w:rPr>
        <w:t>Schedule 3.8</w:t>
      </w:r>
      <w:r>
        <w:rPr>
          <w:rFonts w:ascii="Arial" w:cs="Arial" w:eastAsia="Arial" w:hAnsi="Arial"/>
          <w:sz w:val="22"/>
          <w:szCs w:val="22"/>
          <w:color w:val="auto"/>
        </w:rPr>
        <w:t>; and</w:t>
      </w:r>
    </w:p>
    <w:p>
      <w:pPr>
        <w:spacing w:after="0" w:line="2" w:lineRule="exact"/>
        <w:rPr>
          <w:rFonts w:ascii="Arial" w:cs="Arial" w:eastAsia="Arial" w:hAnsi="Arial"/>
          <w:sz w:val="22"/>
          <w:szCs w:val="22"/>
          <w:color w:val="auto"/>
        </w:rPr>
      </w:pPr>
    </w:p>
    <w:p>
      <w:pPr>
        <w:jc w:val="both"/>
        <w:ind w:firstLine="1953"/>
        <w:spacing w:after="0" w:line="243" w:lineRule="auto"/>
        <w:tabs>
          <w:tab w:leader="none" w:pos="2917" w:val="left"/>
        </w:tabs>
        <w:numPr>
          <w:ilvl w:val="1"/>
          <w:numId w:val="55"/>
        </w:numPr>
        <w:rPr>
          <w:rFonts w:ascii="Arial" w:cs="Arial" w:eastAsia="Arial" w:hAnsi="Arial"/>
          <w:sz w:val="22"/>
          <w:szCs w:val="22"/>
          <w:color w:val="auto"/>
        </w:rPr>
      </w:pPr>
      <w:r>
        <w:rPr>
          <w:rFonts w:ascii="Arial" w:cs="Arial" w:eastAsia="Arial" w:hAnsi="Arial"/>
          <w:sz w:val="22"/>
          <w:szCs w:val="22"/>
          <w:color w:val="auto"/>
        </w:rPr>
        <w:t>if the Title Benefit is of a type not described above, then the Title Benefit Amounts shall be determined by taking into account the Allocated Value of Title Benefit Property, the portion of such Title Benefit Property affected by such Title Benefit, the legal effect of the Title Benefit, the potential economic effect of the Title Benefit over the life of such Title Benefit Property, the values placed upon the Title Benefit by Buyer and affected Sellers and such other reasonable factors as are necessary to make a proper evaluation.</w:t>
      </w:r>
    </w:p>
    <w:p>
      <w:pPr>
        <w:spacing w:after="0" w:line="2" w:lineRule="exact"/>
        <w:rPr>
          <w:rFonts w:ascii="Arial" w:cs="Arial" w:eastAsia="Arial" w:hAnsi="Arial"/>
          <w:sz w:val="22"/>
          <w:szCs w:val="22"/>
          <w:color w:val="auto"/>
        </w:rPr>
      </w:pPr>
    </w:p>
    <w:p>
      <w:pPr>
        <w:jc w:val="both"/>
        <w:ind w:firstLine="1305"/>
        <w:spacing w:after="0" w:line="281" w:lineRule="auto"/>
        <w:tabs>
          <w:tab w:leader="none" w:pos="214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Title Defect Threshold and Deductible</w:t>
      </w:r>
      <w:r>
        <w:rPr>
          <w:rFonts w:ascii="Arial" w:cs="Arial" w:eastAsia="Arial" w:hAnsi="Arial"/>
          <w:sz w:val="19"/>
          <w:szCs w:val="19"/>
          <w:color w:val="auto"/>
        </w:rPr>
        <w:t>. Except as provided in this Section 11.2(i), (i) there shall not be any adjustments to the Purchase Price or other remedies provided by Sellers for any individual Title Defect for which the Title Defect Amount does not exceed $25,000 (the “</w:t>
      </w:r>
      <w:r>
        <w:rPr>
          <w:rFonts w:ascii="Arial" w:cs="Arial" w:eastAsia="Arial" w:hAnsi="Arial"/>
          <w:sz w:val="19"/>
          <w:szCs w:val="19"/>
          <w:b w:val="1"/>
          <w:bCs w:val="1"/>
          <w:i w:val="1"/>
          <w:iCs w:val="1"/>
          <w:color w:val="auto"/>
        </w:rPr>
        <w:t>Individual Title Defect Threshold</w:t>
      </w:r>
      <w:r>
        <w:rPr>
          <w:rFonts w:ascii="Arial" w:cs="Arial" w:eastAsia="Arial" w:hAnsi="Arial"/>
          <w:sz w:val="19"/>
          <w:szCs w:val="19"/>
          <w:color w:val="auto"/>
        </w:rPr>
        <w:t xml:space="preserve">”); and (ii) in no event shall there be any adjustments to the Purchase Price or other remedies provided by Sellers for any Title Defect that exceeds the Individual Title Defect Threshold unless (A) the amount of the sum of (1) the aggregate Title Defect Amounts of all such Title Defects that exceed the Individual Title Defect Threshold (but excluding any such Title Defects cured by Sellers), </w:t>
      </w:r>
      <w:r>
        <w:rPr>
          <w:rFonts w:ascii="Arial" w:cs="Arial" w:eastAsia="Arial" w:hAnsi="Arial"/>
          <w:sz w:val="19"/>
          <w:szCs w:val="19"/>
          <w:i w:val="1"/>
          <w:iCs w:val="1"/>
          <w:color w:val="auto"/>
        </w:rPr>
        <w:t>plus</w:t>
      </w:r>
      <w:r>
        <w:rPr>
          <w:rFonts w:ascii="Arial" w:cs="Arial" w:eastAsia="Arial" w:hAnsi="Arial"/>
          <w:sz w:val="19"/>
          <w:szCs w:val="19"/>
          <w:color w:val="auto"/>
        </w:rPr>
        <w:t xml:space="preserve"> (2) the aggregate Remediation Amounts of all Environmental Defects that exceed the Individual Environmental Threshold (but excluding any Environmental Defects cured by Sellers), exceeds (B) the Aggregate Deductible, after which point Buyer shall be entitled to adjustments to the Purchase Price or other applicable remedies available hereunder, but only with respect to the amount by which the aggregate amount of such Title Defect Amounts and Remediation Amounts exceeds the Aggregate Deductible. Notwithstanding anything to the contrary in this Agreement, the Individual Title Threshold and the Aggregate Deductible shall not apply to any Title Defect which arises from typographical, clerical or scrivener’s error (such as misplaced decimal points, transposed digits and similar erroneous entries of data in the ARIES database as compared to the documents in Sellers’ possession from which such information was extracted) in the Exhibits or Schedules to this Agreement. For the avoidance of doubt, if Sellers retain any Title Defect Property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11.2(d)(ii)</w:t>
      </w:r>
      <w:r>
        <w:rPr>
          <w:rFonts w:ascii="Arial" w:cs="Arial" w:eastAsia="Arial" w:hAnsi="Arial"/>
          <w:sz w:val="19"/>
          <w:szCs w:val="19"/>
          <w:color w:val="auto"/>
        </w:rPr>
        <w:t>, the Title Defect Amount related to such Title Defect Property will not be counted towards the Aggregate Deductible.</w:t>
      </w:r>
    </w:p>
    <w:p>
      <w:pPr>
        <w:spacing w:after="0" w:line="11" w:lineRule="exact"/>
        <w:rPr>
          <w:rFonts w:ascii="Arial" w:cs="Arial" w:eastAsia="Arial" w:hAnsi="Arial"/>
          <w:sz w:val="19"/>
          <w:szCs w:val="19"/>
          <w:color w:val="auto"/>
        </w:rPr>
      </w:pPr>
    </w:p>
    <w:p>
      <w:pPr>
        <w:jc w:val="both"/>
        <w:ind w:firstLine="1305"/>
        <w:spacing w:after="0" w:line="285" w:lineRule="auto"/>
        <w:tabs>
          <w:tab w:leader="none" w:pos="214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Title Dispute Resolution</w:t>
      </w:r>
      <w:r>
        <w:rPr>
          <w:rFonts w:ascii="Arial" w:cs="Arial" w:eastAsia="Arial" w:hAnsi="Arial"/>
          <w:sz w:val="19"/>
          <w:szCs w:val="19"/>
          <w:color w:val="auto"/>
        </w:rPr>
        <w:t>. Sellers and Buyer shall attempt to agree on matters regarding (i) all Title Defects, Title Benefits, Title Defect Amounts and Title Benefit Amounts, and (ii) the adequacy of any curative materials provided by Sellers to cure an alleged Title Defect (the “</w:t>
      </w:r>
      <w:r>
        <w:rPr>
          <w:rFonts w:ascii="Arial" w:cs="Arial" w:eastAsia="Arial" w:hAnsi="Arial"/>
          <w:sz w:val="19"/>
          <w:szCs w:val="19"/>
          <w:b w:val="1"/>
          <w:bCs w:val="1"/>
          <w:i w:val="1"/>
          <w:iCs w:val="1"/>
          <w:color w:val="auto"/>
        </w:rPr>
        <w:t>Disputed Title Matters</w:t>
      </w:r>
      <w:r>
        <w:rPr>
          <w:rFonts w:ascii="Arial" w:cs="Arial" w:eastAsia="Arial" w:hAnsi="Arial"/>
          <w:sz w:val="19"/>
          <w:szCs w:val="19"/>
          <w:color w:val="auto"/>
        </w:rPr>
        <w:t xml:space="preserve">”) prior to Closing. If Sellers and Buyer are unable to agree by Closing (or by the end of the Cure Period if Sellers elect to attempt to cure a Title Defect after Closing), the Disputed Title Matters shall be exclusively and finally resolved pursuant to this </w:t>
      </w:r>
      <w:r>
        <w:rPr>
          <w:rFonts w:ascii="Arial" w:cs="Arial" w:eastAsia="Arial" w:hAnsi="Arial"/>
          <w:sz w:val="19"/>
          <w:szCs w:val="19"/>
          <w:u w:val="single" w:color="auto"/>
          <w:color w:val="auto"/>
        </w:rPr>
        <w:t>Section 11.2(j)</w:t>
      </w:r>
      <w:r>
        <w:rPr>
          <w:rFonts w:ascii="Arial" w:cs="Arial" w:eastAsia="Arial" w:hAnsi="Arial"/>
          <w:sz w:val="19"/>
          <w:szCs w:val="19"/>
          <w:color w:val="auto"/>
        </w:rPr>
        <w:t>. There shall be a single arbitrator, who shall be a title attorney with at least ten years’ experience in oil and gas titles involving properties in the regional area in which the Title Defect Properties are located, as selected by mutual agreement of Buyer and Sellers within 15 days after the Closing or the end of the Cure Period, as applicable, and absent such agreement, by the Houston, Texas office of the American Arbitration Association (the “</w:t>
      </w:r>
      <w:r>
        <w:rPr>
          <w:rFonts w:ascii="Arial" w:cs="Arial" w:eastAsia="Arial" w:hAnsi="Arial"/>
          <w:sz w:val="19"/>
          <w:szCs w:val="19"/>
          <w:b w:val="1"/>
          <w:bCs w:val="1"/>
          <w:i w:val="1"/>
          <w:iCs w:val="1"/>
          <w:color w:val="auto"/>
        </w:rPr>
        <w:t>Title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Arbitrator</w:t>
      </w:r>
      <w:r>
        <w:rPr>
          <w:rFonts w:ascii="Arial" w:cs="Arial" w:eastAsia="Arial" w:hAnsi="Arial"/>
          <w:sz w:val="19"/>
          <w:szCs w:val="19"/>
          <w:color w:val="auto"/>
        </w:rPr>
        <w:t>”). Each of Buyer and Sellers shall submit to the Title Arbitrator its proposed resolution of the Disputed Title Matter.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proposed resolution of the Disputed Title Matter shall include the best offer of the submitting Party in a single monetary amount that such Party is willing to pay or accept (as applicable) to settle the Disputed Title Matter. The Title Arbitrator shall be limited to awarding only one or the other of the two proposed settlement amounts.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87" w:name="page88"/>
    <w:bookmarkEnd w:id="87"/>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arbitration proceeding shall be held in Houston, Texas and shall be conducted in accordance with the Commercial Arbitration Rules of the American Arbitration Association, to the extent such rules do not conflict with the terms of this </w:t>
      </w:r>
      <w:r>
        <w:rPr>
          <w:rFonts w:ascii="Arial" w:cs="Arial" w:eastAsia="Arial" w:hAnsi="Arial"/>
          <w:sz w:val="19"/>
          <w:szCs w:val="19"/>
          <w:u w:val="single" w:color="auto"/>
          <w:color w:val="auto"/>
        </w:rPr>
        <w:t>Section 11.2(j)</w:t>
      </w:r>
      <w:r>
        <w:rPr>
          <w:rFonts w:ascii="Arial" w:cs="Arial" w:eastAsia="Arial" w:hAnsi="Arial"/>
          <w:sz w:val="19"/>
          <w:szCs w:val="19"/>
          <w:color w:val="auto"/>
        </w:rPr>
        <w:t xml:space="preserve">. The Title Arbitrator’s determination shall be made within 20 days after submission of the matters in dispute and shall be final and binding upon the Parties, without right of appeal. In making its determination, the Title Arbitrator shall be bound by the rules set forth in </w:t>
      </w:r>
      <w:r>
        <w:rPr>
          <w:rFonts w:ascii="Arial" w:cs="Arial" w:eastAsia="Arial" w:hAnsi="Arial"/>
          <w:sz w:val="19"/>
          <w:szCs w:val="19"/>
          <w:u w:val="single" w:color="auto"/>
          <w:color w:val="auto"/>
        </w:rPr>
        <w:t>Section 11.2(g)</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11.2(h)</w:t>
      </w:r>
      <w:r>
        <w:rPr>
          <w:rFonts w:ascii="Arial" w:cs="Arial" w:eastAsia="Arial" w:hAnsi="Arial"/>
          <w:sz w:val="19"/>
          <w:szCs w:val="19"/>
          <w:color w:val="auto"/>
        </w:rPr>
        <w:t xml:space="preserve"> and, subject to the foregoing, may consider such other matters as in the opinion of the Title Arbitrator are necessary to make a proper determination. The Title Arbitrator, however, may not award Buyer a greater Title Defect Amount than the Title Defect Amount claimed by Buyer in its applicable Title Defect Notice. The Title Arbitrator shall act as an expert for the limited purpose of determining the specific Disputed Title Matter submitted by either Party and may not award damages, interest or penalties to either Party with respect to any matter. Sellers and Buyer shall each bear its own legal fees and other costs of presenting its case. Sellers and Buyer shall bear one-half of the costs and expenses of the Title Arbitrator. To the extent that the award of the Title Arbitrator with respect to any Title Defect Amount or Title Benefit Amount is not taken into account as an adjustment to the Purchase Price pursuant to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then within ten days after the Title Arbitrator delivers written notice to Buyer and Sellers of his award with respect to a Title Defect Amount or a Title Benefit Amount and, subject to </w:t>
      </w:r>
      <w:r>
        <w:rPr>
          <w:rFonts w:ascii="Arial" w:cs="Arial" w:eastAsia="Arial" w:hAnsi="Arial"/>
          <w:sz w:val="19"/>
          <w:szCs w:val="19"/>
          <w:u w:val="single" w:color="auto"/>
          <w:color w:val="auto"/>
        </w:rPr>
        <w:t>Section 11.2(i)</w:t>
      </w:r>
      <w:r>
        <w:rPr>
          <w:rFonts w:ascii="Arial" w:cs="Arial" w:eastAsia="Arial" w:hAnsi="Arial"/>
          <w:sz w:val="19"/>
          <w:szCs w:val="19"/>
          <w:color w:val="auto"/>
        </w:rPr>
        <w:t xml:space="preserve">, (i) Buyer shall pay to Sellers the amount, if any, so awarded by the Title Arbitrator to Sellers, and (ii) Sellers shall pay to Buyer the amount, if any, so awarded by the Title Arbitrator to Buyer. Nothing herein shall operate to cause Closing to be delayed on account of any arbitration conducted pursuant to this </w:t>
      </w:r>
      <w:r>
        <w:rPr>
          <w:rFonts w:ascii="Arial" w:cs="Arial" w:eastAsia="Arial" w:hAnsi="Arial"/>
          <w:sz w:val="19"/>
          <w:szCs w:val="19"/>
          <w:u w:val="single" w:color="auto"/>
          <w:color w:val="auto"/>
        </w:rPr>
        <w:t>Section 11.2(j)</w:t>
      </w:r>
      <w:r>
        <w:rPr>
          <w:rFonts w:ascii="Arial" w:cs="Arial" w:eastAsia="Arial" w:hAnsi="Arial"/>
          <w:sz w:val="19"/>
          <w:szCs w:val="19"/>
          <w:color w:val="auto"/>
        </w:rPr>
        <w:t xml:space="preserve"> and, to the extent any adjustments are not agreed upon by the Parties as of Closing, the Purchase Price shall not be adjusted therefor at Closing, such amount shall be paid by Buyer into escrow pursuant to </w:t>
      </w:r>
      <w:r>
        <w:rPr>
          <w:rFonts w:ascii="Arial" w:cs="Arial" w:eastAsia="Arial" w:hAnsi="Arial"/>
          <w:sz w:val="19"/>
          <w:szCs w:val="19"/>
          <w:u w:val="single" w:color="auto"/>
          <w:color w:val="auto"/>
        </w:rPr>
        <w:t>Section 11.2(c)</w:t>
      </w:r>
      <w:r>
        <w:rPr>
          <w:rFonts w:ascii="Arial" w:cs="Arial" w:eastAsia="Arial" w:hAnsi="Arial"/>
          <w:sz w:val="19"/>
          <w:szCs w:val="19"/>
          <w:color w:val="auto"/>
        </w:rPr>
        <w:t xml:space="preserve"> and subsequent adjustments to the Purchase Price, if any, will be made pursuant to the Final Settlement Statement described in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11.2</w:t>
      </w:r>
      <w:r>
        <w:rPr>
          <w:rFonts w:ascii="Arial" w:cs="Arial" w:eastAsia="Arial" w:hAnsi="Arial"/>
          <w:sz w:val="19"/>
          <w:szCs w:val="19"/>
          <w:color w:val="auto"/>
        </w:rPr>
        <w:t>.</w:t>
      </w: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i w:val="1"/>
          <w:iCs w:val="1"/>
          <w:color w:val="auto"/>
        </w:rPr>
        <w:t>11.3</w:t>
      </w:r>
      <w:r>
        <w:rPr>
          <w:sz w:val="20"/>
          <w:szCs w:val="20"/>
          <w:color w:val="auto"/>
        </w:rPr>
        <w:tab/>
      </w:r>
      <w:r>
        <w:rPr>
          <w:rFonts w:ascii="Arial" w:cs="Arial" w:eastAsia="Arial" w:hAnsi="Arial"/>
          <w:sz w:val="18"/>
          <w:szCs w:val="18"/>
          <w:b w:val="1"/>
          <w:bCs w:val="1"/>
          <w:i w:val="1"/>
          <w:iCs w:val="1"/>
          <w:color w:val="auto"/>
        </w:rPr>
        <w:t>Casualty Loss.</w:t>
      </w:r>
    </w:p>
    <w:p>
      <w:pPr>
        <w:spacing w:after="0" w:line="274" w:lineRule="exact"/>
        <w:rPr>
          <w:sz w:val="20"/>
          <w:szCs w:val="20"/>
          <w:color w:val="auto"/>
        </w:rPr>
      </w:pPr>
    </w:p>
    <w:p>
      <w:pPr>
        <w:jc w:val="both"/>
        <w:ind w:firstLine="1305"/>
        <w:spacing w:after="0" w:line="302" w:lineRule="auto"/>
        <w:tabs>
          <w:tab w:leader="none" w:pos="2095" w:val="left"/>
        </w:tabs>
        <w:numPr>
          <w:ilvl w:val="0"/>
          <w:numId w:val="56"/>
        </w:numPr>
        <w:rPr>
          <w:rFonts w:ascii="Arial" w:cs="Arial" w:eastAsia="Arial" w:hAnsi="Arial"/>
          <w:sz w:val="19"/>
          <w:szCs w:val="19"/>
          <w:color w:val="auto"/>
        </w:rPr>
      </w:pPr>
      <w:r>
        <w:rPr>
          <w:rFonts w:ascii="Arial" w:cs="Arial" w:eastAsia="Arial" w:hAnsi="Arial"/>
          <w:sz w:val="19"/>
          <w:szCs w:val="19"/>
          <w:color w:val="auto"/>
        </w:rPr>
        <w:t>Notwithstanding anything herein to the contrary, from and after the Effective Time, if Closing occurs, Buyer shall assume all risk of loss with respect to production of Hydrocarbons through normal depletion (including watering out of any well, collapsed casing or sand infiltration of any well) and the depreciation of Personal Property due to ordinary wear and tear, in each case, with respect to the Assets, and Buyer shall not assert such matters as Casualty Losses or Title Defects hereunder.</w:t>
      </w:r>
    </w:p>
    <w:p>
      <w:pPr>
        <w:spacing w:after="0" w:line="183" w:lineRule="exact"/>
        <w:rPr>
          <w:rFonts w:ascii="Arial" w:cs="Arial" w:eastAsia="Arial" w:hAnsi="Arial"/>
          <w:sz w:val="19"/>
          <w:szCs w:val="19"/>
          <w:color w:val="auto"/>
        </w:rPr>
      </w:pPr>
    </w:p>
    <w:p>
      <w:pPr>
        <w:jc w:val="both"/>
        <w:ind w:firstLine="1305"/>
        <w:spacing w:after="0" w:line="288" w:lineRule="auto"/>
        <w:tabs>
          <w:tab w:leader="none" w:pos="2107"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after the date of this Agreement but prior to the Closing Date, any portion of the Assets is damaged or destroyed by fire or other casualty or is taken in condemnation or under right of eminent domain (each, a “</w:t>
      </w:r>
      <w:r>
        <w:rPr>
          <w:rFonts w:ascii="Arial" w:cs="Arial" w:eastAsia="Arial" w:hAnsi="Arial"/>
          <w:sz w:val="19"/>
          <w:szCs w:val="19"/>
          <w:b w:val="1"/>
          <w:bCs w:val="1"/>
          <w:i w:val="1"/>
          <w:iCs w:val="1"/>
          <w:color w:val="auto"/>
        </w:rPr>
        <w:t>Casualty Loss</w:t>
      </w:r>
      <w:r>
        <w:rPr>
          <w:rFonts w:ascii="Arial" w:cs="Arial" w:eastAsia="Arial" w:hAnsi="Arial"/>
          <w:sz w:val="19"/>
          <w:szCs w:val="19"/>
          <w:color w:val="auto"/>
        </w:rPr>
        <w:t>”), and the Closing thereafter occurs and if the estimated cost to repair such Asset (with equipment of similar utility) is greater than $100,000, Buyer shall not be obligated to purchase such Asset. If Buyer declines to purchase such Asset, the Purchase Price shall be reduced by the Allocated Value of such Asset. If Buyer elects to purchase such Asset, the Purchase Price shall be reduced by the estimated cost to repair such Asset (with equipment of similar utility), less all insurance proceeds which Seller shall cause to be paid to Buyer, up to the Allocated Value thereof (the reduction being the “</w:t>
      </w:r>
      <w:r>
        <w:rPr>
          <w:rFonts w:ascii="Arial" w:cs="Arial" w:eastAsia="Arial" w:hAnsi="Arial"/>
          <w:sz w:val="19"/>
          <w:szCs w:val="19"/>
          <w:b w:val="1"/>
          <w:bCs w:val="1"/>
          <w:i w:val="1"/>
          <w:iCs w:val="1"/>
          <w:color w:val="auto"/>
        </w:rPr>
        <w:t>Net Casualty Loss</w:t>
      </w:r>
      <w:r>
        <w:rPr>
          <w:rFonts w:ascii="Arial" w:cs="Arial" w:eastAsia="Arial" w:hAnsi="Arial"/>
          <w:sz w:val="19"/>
          <w:szCs w:val="19"/>
          <w:color w:val="auto"/>
        </w:rPr>
        <w:t>”). Sellers, at their sole option, may elect to cure such Casualty Loss to Buyer’s reasonable satisfaction and, in such event, Sellers shall be entitled to all insurance proceeds. If Sellers elect to cure such Casualty Loss, Sellers may replace any personal property that is the subject of a Casualty Loss with equipment of similar grade and utility. If Sellers cure the Casualty Loss to Buyer’s reasonable satisfaction, Buyer shall purchase the affected Asset at Closing for the Allocated Value thereof.</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11.4 Consents to Assign. </w:t>
      </w:r>
      <w:r>
        <w:rPr>
          <w:rFonts w:ascii="Arial" w:cs="Arial" w:eastAsia="Arial" w:hAnsi="Arial"/>
          <w:sz w:val="22"/>
          <w:szCs w:val="22"/>
          <w:color w:val="auto"/>
        </w:rPr>
        <w:t>With respect to each Consent set forth on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4.4</w:t>
      </w:r>
      <w:r>
        <w:rPr>
          <w:rFonts w:ascii="Arial" w:cs="Arial" w:eastAsia="Arial" w:hAnsi="Arial"/>
          <w:sz w:val="22"/>
          <w:szCs w:val="22"/>
          <w:color w:val="auto"/>
        </w:rPr>
        <w:t>, Sellers, prior to Closing, shall send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holder of each such Consent a notice in material compliance with the contractual provisions applicable to such Consent seeking such holder’s consent to the transactions contemplated hereby.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jc w:val="both"/>
        <w:ind w:firstLine="1305"/>
        <w:spacing w:after="0" w:line="288" w:lineRule="auto"/>
        <w:tabs>
          <w:tab w:leader="none" w:pos="2095"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If (i) Sellers fail to obtain a Consent set forth on </w:t>
      </w:r>
      <w:r>
        <w:rPr>
          <w:rFonts w:ascii="Arial" w:cs="Arial" w:eastAsia="Arial" w:hAnsi="Arial"/>
          <w:sz w:val="19"/>
          <w:szCs w:val="19"/>
          <w:u w:val="single" w:color="auto"/>
          <w:color w:val="auto"/>
        </w:rPr>
        <w:t>Schedule 4.4</w:t>
      </w:r>
      <w:r>
        <w:rPr>
          <w:rFonts w:ascii="Arial" w:cs="Arial" w:eastAsia="Arial" w:hAnsi="Arial"/>
          <w:sz w:val="19"/>
          <w:szCs w:val="19"/>
          <w:color w:val="auto"/>
        </w:rPr>
        <w:t xml:space="preserve"> prior to Closing and the failure to obtain such Consent would cause (A) the assignment of the Assets (or portion thereof) affected thereby to Buyer to be void or voidable under the terms thereof or (B) the termination of a Lease or Contract under the terms thereof, or (ii) a Consent requested by Sellers is denied in writing, then, in each case, the Asset (or portion thereof) affected by such un-obtained Consent shall be excluded from the Assets to be assigned to Buyer at Closing, and the Purchase Price shall be reduced by the Allocated Value of such Asset (or portion thereof) so excluded. In the event that a Consent (with respect to an Asset excluded pursuant to this </w:t>
      </w:r>
      <w:r>
        <w:rPr>
          <w:rFonts w:ascii="Arial" w:cs="Arial" w:eastAsia="Arial" w:hAnsi="Arial"/>
          <w:sz w:val="19"/>
          <w:szCs w:val="19"/>
          <w:u w:val="single" w:color="auto"/>
          <w:color w:val="auto"/>
        </w:rPr>
        <w:t>Section 11.4(a)</w:t>
      </w:r>
      <w:r>
        <w:rPr>
          <w:rFonts w:ascii="Arial" w:cs="Arial" w:eastAsia="Arial" w:hAnsi="Arial"/>
          <w:sz w:val="19"/>
          <w:szCs w:val="19"/>
          <w:color w:val="auto"/>
        </w:rPr>
        <w:t>) that was not obtained prior to Closing is obtained within 120 days following Closing, then, within ten days after such Consent is obtained (x) Buyer shall purchase the Asset (or portion thereof) that was so excluded as a result of such previously un-obtained Consent and pay to Sellers the amount by which the Purchase Price was reduced at Closing with respect to the Asset (or portion thereof) so excluded and (y) Sellers shall assign to Buyer the Asset (or portion thereof) so excluded at Closing pursuant to an instrument in substantially the same form as the Assignment.</w:t>
      </w:r>
    </w:p>
    <w:p>
      <w:pPr>
        <w:spacing w:after="0" w:line="195" w:lineRule="exact"/>
        <w:rPr>
          <w:rFonts w:ascii="Arial" w:cs="Arial" w:eastAsia="Arial" w:hAnsi="Arial"/>
          <w:sz w:val="19"/>
          <w:szCs w:val="19"/>
          <w:color w:val="auto"/>
        </w:rPr>
      </w:pPr>
    </w:p>
    <w:p>
      <w:pPr>
        <w:jc w:val="both"/>
        <w:ind w:firstLine="1305"/>
        <w:spacing w:after="0" w:line="261" w:lineRule="auto"/>
        <w:tabs>
          <w:tab w:leader="none" w:pos="2107"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If (i) Sellers fail to obtain a Consent set forth on </w:t>
      </w:r>
      <w:r>
        <w:rPr>
          <w:rFonts w:ascii="Arial" w:cs="Arial" w:eastAsia="Arial" w:hAnsi="Arial"/>
          <w:sz w:val="21"/>
          <w:szCs w:val="21"/>
          <w:u w:val="single" w:color="auto"/>
          <w:color w:val="auto"/>
        </w:rPr>
        <w:t>Schedule 4.4</w:t>
      </w:r>
      <w:r>
        <w:rPr>
          <w:rFonts w:ascii="Arial" w:cs="Arial" w:eastAsia="Arial" w:hAnsi="Arial"/>
          <w:sz w:val="21"/>
          <w:szCs w:val="21"/>
          <w:color w:val="auto"/>
        </w:rPr>
        <w:t xml:space="preserve"> prior to Closing and the failure to obtain such Consent would not cause (A) the assignment of the Assets (or portion thereof) affected thereby to Buyer to be void or voidable under the terms thereof or (B) the termination of a Lease or Contract under the terms thereof, and (ii) such Consent requested by Sellers is not denied in writing by the holder thereof, then the Asset (or portion thereof) subject to such un-obtained Consent shall nevertheless be assigned by Sellers to Buyer at Closing as part of the Assets and Buyer shall have no claim against, and Sellers shall have no Liability for, the failure to obtain such Consent.</w:t>
      </w:r>
    </w:p>
    <w:p>
      <w:pPr>
        <w:spacing w:after="0" w:line="220" w:lineRule="exact"/>
        <w:rPr>
          <w:rFonts w:ascii="Arial" w:cs="Arial" w:eastAsia="Arial" w:hAnsi="Arial"/>
          <w:sz w:val="21"/>
          <w:szCs w:val="21"/>
          <w:color w:val="auto"/>
        </w:rPr>
      </w:pPr>
    </w:p>
    <w:p>
      <w:pPr>
        <w:jc w:val="both"/>
        <w:ind w:firstLine="1305"/>
        <w:spacing w:after="0" w:line="248" w:lineRule="auto"/>
        <w:tabs>
          <w:tab w:leader="none" w:pos="2095"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Prior to Closing, Sellers and Buyer shall use their commercially reasonable efforts to obtain all Consents listed on </w:t>
      </w:r>
      <w:r>
        <w:rPr>
          <w:rFonts w:ascii="Arial" w:cs="Arial" w:eastAsia="Arial" w:hAnsi="Arial"/>
          <w:sz w:val="22"/>
          <w:szCs w:val="22"/>
          <w:u w:val="single" w:color="auto"/>
          <w:color w:val="auto"/>
        </w:rPr>
        <w:t>Schedule 4.4</w:t>
      </w:r>
      <w:r>
        <w:rPr>
          <w:rFonts w:ascii="Arial" w:cs="Arial" w:eastAsia="Arial" w:hAnsi="Arial"/>
          <w:sz w:val="22"/>
          <w:szCs w:val="22"/>
          <w:color w:val="auto"/>
        </w:rPr>
        <w:t>; provided, however, that no Party shall be required to incur any Liability or pay any money in order to obtain any such Consent. Subject to the foregoing, Buyer agrees to provide Sellers with any information or documentation that may be reasonably requested by Sellers or the Third Party holder(s) of such Consents in order to facilitate the process of obtaining such Consents.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ENVIRONMENTAL MATTERS</w:t>
      </w:r>
    </w:p>
    <w:p>
      <w:pPr>
        <w:spacing w:after="0" w:line="24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i w:val="1"/>
          <w:iCs w:val="1"/>
          <w:color w:val="auto"/>
        </w:rPr>
        <w:t>12.1</w:t>
      </w:r>
      <w:r>
        <w:rPr>
          <w:sz w:val="20"/>
          <w:szCs w:val="20"/>
          <w:color w:val="auto"/>
        </w:rPr>
        <w:tab/>
      </w:r>
      <w:r>
        <w:rPr>
          <w:rFonts w:ascii="Arial" w:cs="Arial" w:eastAsia="Arial" w:hAnsi="Arial"/>
          <w:sz w:val="19"/>
          <w:szCs w:val="19"/>
          <w:b w:val="1"/>
          <w:bCs w:val="1"/>
          <w:i w:val="1"/>
          <w:iCs w:val="1"/>
          <w:color w:val="auto"/>
        </w:rPr>
        <w:t>Notice of Environmental Defects.</w:t>
      </w:r>
    </w:p>
    <w:p>
      <w:pPr>
        <w:spacing w:after="0" w:line="274" w:lineRule="exact"/>
        <w:rPr>
          <w:sz w:val="20"/>
          <w:szCs w:val="20"/>
          <w:color w:val="auto"/>
        </w:rPr>
      </w:pPr>
    </w:p>
    <w:p>
      <w:pPr>
        <w:jc w:val="both"/>
        <w:ind w:firstLine="1305"/>
        <w:spacing w:after="0" w:line="286" w:lineRule="auto"/>
        <w:tabs>
          <w:tab w:leader="none" w:pos="176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Environmental Defects Notice</w:t>
      </w:r>
      <w:r>
        <w:rPr>
          <w:rFonts w:ascii="Arial" w:cs="Arial" w:eastAsia="Arial" w:hAnsi="Arial"/>
          <w:sz w:val="19"/>
          <w:szCs w:val="19"/>
          <w:color w:val="auto"/>
        </w:rPr>
        <w:t>. Buyer must deliver no later than 5:00 p.m. (Central Time) on January 17, 2014 (the “</w:t>
      </w:r>
      <w:r>
        <w:rPr>
          <w:rFonts w:ascii="Arial" w:cs="Arial" w:eastAsia="Arial" w:hAnsi="Arial"/>
          <w:sz w:val="19"/>
          <w:szCs w:val="19"/>
          <w:b w:val="1"/>
          <w:bCs w:val="1"/>
          <w:i w:val="1"/>
          <w:iCs w:val="1"/>
          <w:color w:val="auto"/>
        </w:rPr>
        <w:t>Environmental Claim Date</w:t>
      </w:r>
      <w:r>
        <w:rPr>
          <w:rFonts w:ascii="Arial" w:cs="Arial" w:eastAsia="Arial" w:hAnsi="Arial"/>
          <w:sz w:val="19"/>
          <w:szCs w:val="19"/>
          <w:color w:val="auto"/>
        </w:rPr>
        <w:t xml:space="preserve">”) claim notices to Sellers meeting the requirements of this </w:t>
      </w:r>
      <w:r>
        <w:rPr>
          <w:rFonts w:ascii="Arial" w:cs="Arial" w:eastAsia="Arial" w:hAnsi="Arial"/>
          <w:sz w:val="19"/>
          <w:szCs w:val="19"/>
          <w:u w:val="single" w:color="auto"/>
          <w:color w:val="auto"/>
        </w:rPr>
        <w:t>Section 12.1(a)</w:t>
      </w:r>
      <w:r>
        <w:rPr>
          <w:rFonts w:ascii="Arial" w:cs="Arial" w:eastAsia="Arial" w:hAnsi="Arial"/>
          <w:sz w:val="19"/>
          <w:szCs w:val="19"/>
          <w:color w:val="auto"/>
        </w:rPr>
        <w:t xml:space="preserve"> (collectively the “</w:t>
      </w:r>
      <w:r>
        <w:rPr>
          <w:rFonts w:ascii="Arial" w:cs="Arial" w:eastAsia="Arial" w:hAnsi="Arial"/>
          <w:sz w:val="19"/>
          <w:szCs w:val="19"/>
          <w:b w:val="1"/>
          <w:bCs w:val="1"/>
          <w:i w:val="1"/>
          <w:iCs w:val="1"/>
          <w:color w:val="auto"/>
        </w:rPr>
        <w:t>Environmental Defect Notices</w:t>
      </w:r>
      <w:r>
        <w:rPr>
          <w:rFonts w:ascii="Arial" w:cs="Arial" w:eastAsia="Arial" w:hAnsi="Arial"/>
          <w:sz w:val="19"/>
          <w:szCs w:val="19"/>
          <w:color w:val="auto"/>
        </w:rPr>
        <w:t xml:space="preserve">” and individually an “Environmental Defect Notice”) setting forth any matters which, in Buyer’s reasonable opinion, constitute Environmental Defects and which Buyer intends to assert as Environmental Defects pursuant to this </w:t>
      </w:r>
      <w:r>
        <w:rPr>
          <w:rFonts w:ascii="Arial" w:cs="Arial" w:eastAsia="Arial" w:hAnsi="Arial"/>
          <w:sz w:val="19"/>
          <w:szCs w:val="19"/>
          <w:u w:val="single" w:color="auto"/>
          <w:color w:val="auto"/>
        </w:rPr>
        <w:t>Section 12.1</w:t>
      </w:r>
      <w:r>
        <w:rPr>
          <w:rFonts w:ascii="Arial" w:cs="Arial" w:eastAsia="Arial" w:hAnsi="Arial"/>
          <w:sz w:val="19"/>
          <w:szCs w:val="19"/>
          <w:color w:val="auto"/>
        </w:rPr>
        <w:t>. For all purposes of this Agreement, Buyer shall be deemed to have waived, and Sellers shall have no liability for, any Environmental Defect which Buyer fails to assert as an Environmental Defect by a properly delivered Environmental Defect Notice received by Sellers on or before the Environmental Claim Date, with such liabilities being “</w:t>
      </w:r>
      <w:r>
        <w:rPr>
          <w:rFonts w:ascii="Arial" w:cs="Arial" w:eastAsia="Arial" w:hAnsi="Arial"/>
          <w:sz w:val="19"/>
          <w:szCs w:val="19"/>
          <w:b w:val="1"/>
          <w:bCs w:val="1"/>
          <w:i w:val="1"/>
          <w:iCs w:val="1"/>
          <w:color w:val="auto"/>
        </w:rPr>
        <w:t>Buyer’s Environmental Liabilities</w:t>
      </w:r>
      <w:r>
        <w:rPr>
          <w:rFonts w:ascii="Arial" w:cs="Arial" w:eastAsia="Arial" w:hAnsi="Arial"/>
          <w:sz w:val="19"/>
          <w:szCs w:val="19"/>
          <w:color w:val="auto"/>
        </w:rPr>
        <w:t>.” To be effective, each Environmental Defect Notice shall be in writing and shall include (i) a description of the matter constituting the alleged Environmental Condition (including the applicable Environmental Law violated or implicated thereby) and the Assets affected by such alleged Environmental Condition, (ii) the Allocated Value of the Assets (or portions thereof) affected by such alleged Environmental Condition, (iii) supporting documents reasonably necessary for Sellers to verify the existence of such alleged Environmental Condition, and (iv) a calculation of the Remediation Amount (itemized in reasonable detail) that Buyer asserts is attributable to such alleged Environmental Defect. Buyer’s calculation of the Remediation Amount included in the Environmental Defect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89" w:name="page90"/>
    <w:bookmarkEnd w:id="89"/>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Notice must describe in reasonable detail the Remediation proposed for the alleged Environmental Condition that gives rise to the asserted Environmental Defect and identify all assumptions used by the Buyer in calculating the Remediation Amount, including the standards that Buyer asserts must be met to comply with Environmental Laws. Sellers shall have the right, but not the obligation, to cure any asserted Environmental Defect on or before the expiration of the Cure Period. To give Sellers an opportunity to commence reviewing and curing Environmental Defects, Buyer agrees to use reasonable efforts to give Sellers, on or before the end of each calendar week prior to the Environmental Claim Date, written notice of all alleged Environmental Defects discovered by Buyer during the preceding calendar week, which notice may be preliminary in nature and supplemented prior to the Environmental Claim Date.</w:t>
      </w:r>
    </w:p>
    <w:p>
      <w:pPr>
        <w:spacing w:after="0" w:line="225" w:lineRule="exact"/>
        <w:rPr>
          <w:sz w:val="20"/>
          <w:szCs w:val="20"/>
          <w:color w:val="auto"/>
        </w:rPr>
      </w:pPr>
    </w:p>
    <w:p>
      <w:pPr>
        <w:jc w:val="both"/>
        <w:ind w:firstLine="1305"/>
        <w:spacing w:after="0" w:line="302" w:lineRule="auto"/>
        <w:tabs>
          <w:tab w:leader="none" w:pos="1819"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Remedies for Environmental Defects</w:t>
      </w:r>
      <w:r>
        <w:rPr>
          <w:rFonts w:ascii="Arial" w:cs="Arial" w:eastAsia="Arial" w:hAnsi="Arial"/>
          <w:sz w:val="19"/>
          <w:szCs w:val="19"/>
          <w:color w:val="auto"/>
        </w:rPr>
        <w:t xml:space="preserve">. Subject to each Seller’s continuing right to dispute the existence of an Environmental Defect or the Remediation Amount asserted with respect thereto, and subject to the rights of the Parties pursuant to </w:t>
      </w:r>
      <w:r>
        <w:rPr>
          <w:rFonts w:ascii="Arial" w:cs="Arial" w:eastAsia="Arial" w:hAnsi="Arial"/>
          <w:sz w:val="19"/>
          <w:szCs w:val="19"/>
          <w:u w:val="single" w:color="auto"/>
          <w:color w:val="auto"/>
        </w:rPr>
        <w:t>Section 14.1(c)</w:t>
      </w:r>
      <w:r>
        <w:rPr>
          <w:rFonts w:ascii="Arial" w:cs="Arial" w:eastAsia="Arial" w:hAnsi="Arial"/>
          <w:sz w:val="19"/>
          <w:szCs w:val="19"/>
          <w:color w:val="auto"/>
        </w:rPr>
        <w:t xml:space="preserve">, in the event that any Environmental Defect timely asserted by Buyer in accordance with </w:t>
      </w:r>
      <w:r>
        <w:rPr>
          <w:rFonts w:ascii="Arial" w:cs="Arial" w:eastAsia="Arial" w:hAnsi="Arial"/>
          <w:sz w:val="19"/>
          <w:szCs w:val="19"/>
          <w:u w:val="single" w:color="auto"/>
          <w:color w:val="auto"/>
        </w:rPr>
        <w:t>Section 12.1(a)</w:t>
      </w:r>
      <w:r>
        <w:rPr>
          <w:rFonts w:ascii="Arial" w:cs="Arial" w:eastAsia="Arial" w:hAnsi="Arial"/>
          <w:sz w:val="19"/>
          <w:szCs w:val="19"/>
          <w:color w:val="auto"/>
        </w:rPr>
        <w:t xml:space="preserve"> is not waived in writing by Buyer or cured during the Cure Period, such Seller shall, at its sole option, elect to:</w:t>
      </w:r>
    </w:p>
    <w:p>
      <w:pPr>
        <w:spacing w:after="0" w:line="183" w:lineRule="exact"/>
        <w:rPr>
          <w:rFonts w:ascii="Arial" w:cs="Arial" w:eastAsia="Arial" w:hAnsi="Arial"/>
          <w:sz w:val="19"/>
          <w:szCs w:val="19"/>
          <w:color w:val="auto"/>
        </w:rPr>
      </w:pPr>
    </w:p>
    <w:p>
      <w:pPr>
        <w:ind w:firstLine="1953"/>
        <w:spacing w:after="0" w:line="263" w:lineRule="auto"/>
        <w:tabs>
          <w:tab w:leader="none" w:pos="2797" w:val="left"/>
        </w:tabs>
        <w:numPr>
          <w:ilvl w:val="1"/>
          <w:numId w:val="59"/>
        </w:numPr>
        <w:rPr>
          <w:rFonts w:ascii="Arial" w:cs="Arial" w:eastAsia="Arial" w:hAnsi="Arial"/>
          <w:sz w:val="22"/>
          <w:szCs w:val="22"/>
          <w:color w:val="auto"/>
        </w:rPr>
      </w:pPr>
      <w:r>
        <w:rPr>
          <w:rFonts w:ascii="Arial" w:cs="Arial" w:eastAsia="Arial" w:hAnsi="Arial"/>
          <w:sz w:val="22"/>
          <w:szCs w:val="22"/>
          <w:color w:val="auto"/>
        </w:rPr>
        <w:t>subject to the Individual Environmental Threshold and the Aggregate Deductible, reduce the Purchase Price by the Remediation Amount;</w:t>
      </w:r>
    </w:p>
    <w:p>
      <w:pPr>
        <w:spacing w:after="0" w:line="215" w:lineRule="exact"/>
        <w:rPr>
          <w:rFonts w:ascii="Arial" w:cs="Arial" w:eastAsia="Arial" w:hAnsi="Arial"/>
          <w:sz w:val="22"/>
          <w:szCs w:val="22"/>
          <w:color w:val="auto"/>
        </w:rPr>
      </w:pPr>
    </w:p>
    <w:p>
      <w:pPr>
        <w:jc w:val="both"/>
        <w:ind w:firstLine="1953"/>
        <w:spacing w:after="0" w:line="253" w:lineRule="auto"/>
        <w:tabs>
          <w:tab w:leader="none" w:pos="2857" w:val="left"/>
        </w:tabs>
        <w:numPr>
          <w:ilvl w:val="1"/>
          <w:numId w:val="59"/>
        </w:numPr>
        <w:rPr>
          <w:rFonts w:ascii="Arial" w:cs="Arial" w:eastAsia="Arial" w:hAnsi="Arial"/>
          <w:sz w:val="22"/>
          <w:szCs w:val="22"/>
          <w:color w:val="auto"/>
        </w:rPr>
      </w:pPr>
      <w:r>
        <w:rPr>
          <w:rFonts w:ascii="Arial" w:cs="Arial" w:eastAsia="Arial" w:hAnsi="Arial"/>
          <w:sz w:val="22"/>
          <w:szCs w:val="22"/>
          <w:color w:val="auto"/>
        </w:rPr>
        <w:t>retain the entirety of the Asset that is subject to such Environmental Defect, together with all associated Assets, in which event the Purchase Price shall be reduced by an amount equal to the Allocated Value of such Asset and such associated Assets;</w:t>
      </w:r>
    </w:p>
    <w:p>
      <w:pPr>
        <w:spacing w:after="0" w:line="226" w:lineRule="exact"/>
        <w:rPr>
          <w:rFonts w:ascii="Arial" w:cs="Arial" w:eastAsia="Arial" w:hAnsi="Arial"/>
          <w:sz w:val="22"/>
          <w:szCs w:val="22"/>
          <w:color w:val="auto"/>
        </w:rPr>
      </w:pPr>
    </w:p>
    <w:p>
      <w:pPr>
        <w:ind w:left="2920" w:hanging="967"/>
        <w:spacing w:after="0"/>
        <w:tabs>
          <w:tab w:leader="none" w:pos="2920" w:val="left"/>
        </w:tabs>
        <w:numPr>
          <w:ilvl w:val="1"/>
          <w:numId w:val="59"/>
        </w:numPr>
        <w:rPr>
          <w:rFonts w:ascii="Arial" w:cs="Arial" w:eastAsia="Arial" w:hAnsi="Arial"/>
          <w:sz w:val="22"/>
          <w:szCs w:val="22"/>
          <w:color w:val="auto"/>
        </w:rPr>
      </w:pPr>
      <w:r>
        <w:rPr>
          <w:rFonts w:ascii="Arial" w:cs="Arial" w:eastAsia="Arial" w:hAnsi="Arial"/>
          <w:sz w:val="22"/>
          <w:szCs w:val="22"/>
          <w:color w:val="auto"/>
        </w:rPr>
        <w:t xml:space="preserve">if applicable, terminate this Agreement pursuant to </w:t>
      </w:r>
      <w:r>
        <w:rPr>
          <w:rFonts w:ascii="Arial" w:cs="Arial" w:eastAsia="Arial" w:hAnsi="Arial"/>
          <w:sz w:val="22"/>
          <w:szCs w:val="22"/>
          <w:u w:val="single" w:color="auto"/>
          <w:color w:val="auto"/>
        </w:rPr>
        <w:t>Section 14.1(c)</w:t>
      </w:r>
      <w:r>
        <w:rPr>
          <w:rFonts w:ascii="Arial" w:cs="Arial" w:eastAsia="Arial" w:hAnsi="Arial"/>
          <w:sz w:val="22"/>
          <w:szCs w:val="22"/>
          <w:color w:val="auto"/>
        </w:rPr>
        <w: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If any Seller elects the option set forth in clause (i) above, Buyer shall be deemed to have assumed responsibility for all of the costs and expenses attributable to the Remediation of the Environmental Condition attributable to such Environmental Defect and all Liabilities with respect thereto and such responsibility of Buyer shall be deemed to constitute part of the Assumed Obligations hereunder.</w:t>
      </w:r>
    </w:p>
    <w:p>
      <w:pPr>
        <w:spacing w:after="0" w:line="196" w:lineRule="exact"/>
        <w:rPr>
          <w:sz w:val="20"/>
          <w:szCs w:val="20"/>
          <w:color w:val="auto"/>
        </w:rPr>
      </w:pPr>
    </w:p>
    <w:p>
      <w:pPr>
        <w:jc w:val="both"/>
        <w:ind w:left="660" w:firstLine="645"/>
        <w:spacing w:after="0" w:line="253" w:lineRule="auto"/>
        <w:tabs>
          <w:tab w:leader="none" w:pos="187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xml:space="preserve">. Except for Buyer’s rights to terminate this Agreement pursuant to </w:t>
      </w:r>
      <w:r>
        <w:rPr>
          <w:rFonts w:ascii="Arial" w:cs="Arial" w:eastAsia="Arial" w:hAnsi="Arial"/>
          <w:sz w:val="22"/>
          <w:szCs w:val="22"/>
          <w:u w:val="single" w:color="auto"/>
          <w:color w:val="auto"/>
        </w:rPr>
        <w:t>Section 14.1(c)</w:t>
      </w:r>
      <w:r>
        <w:rPr>
          <w:rFonts w:ascii="Arial" w:cs="Arial" w:eastAsia="Arial" w:hAnsi="Arial"/>
          <w:sz w:val="22"/>
          <w:szCs w:val="22"/>
          <w:color w:val="auto"/>
        </w:rPr>
        <w:t xml:space="preserve">, the provisions set forth in </w:t>
      </w:r>
      <w:r>
        <w:rPr>
          <w:rFonts w:ascii="Arial" w:cs="Arial" w:eastAsia="Arial" w:hAnsi="Arial"/>
          <w:sz w:val="22"/>
          <w:szCs w:val="22"/>
          <w:u w:val="single" w:color="auto"/>
          <w:color w:val="auto"/>
        </w:rPr>
        <w:t>Section 12.1(b)</w:t>
      </w:r>
      <w:r>
        <w:rPr>
          <w:rFonts w:ascii="Arial" w:cs="Arial" w:eastAsia="Arial" w:hAnsi="Arial"/>
          <w:sz w:val="22"/>
          <w:szCs w:val="22"/>
          <w:color w:val="auto"/>
        </w:rPr>
        <w:t xml:space="preserve"> shall be the exclusive right and remedy of Buyer with respect to any Environmental Defect with respect to any Asset or other environmental matter.</w:t>
      </w:r>
    </w:p>
    <w:p>
      <w:pPr>
        <w:spacing w:after="0" w:line="226" w:lineRule="exact"/>
        <w:rPr>
          <w:rFonts w:ascii="Arial" w:cs="Arial" w:eastAsia="Arial" w:hAnsi="Arial"/>
          <w:sz w:val="22"/>
          <w:szCs w:val="22"/>
          <w:color w:val="auto"/>
        </w:rPr>
      </w:pPr>
    </w:p>
    <w:p>
      <w:pPr>
        <w:jc w:val="both"/>
        <w:ind w:firstLine="1305"/>
        <w:spacing w:after="0" w:line="287" w:lineRule="auto"/>
        <w:tabs>
          <w:tab w:leader="none" w:pos="1913"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Environmental Deductibles</w:t>
      </w:r>
      <w:r>
        <w:rPr>
          <w:rFonts w:ascii="Arial" w:cs="Arial" w:eastAsia="Arial" w:hAnsi="Arial"/>
          <w:sz w:val="19"/>
          <w:szCs w:val="19"/>
          <w:color w:val="auto"/>
        </w:rPr>
        <w:t>. Notwithstanding anything to the contrary, (i) in no event shall there be any adjustments to the Purchase Price or other remedies provided by Sellers for any individual Environmental Defect for which the Remediation Amount does not exceed $50,000 (the “</w:t>
      </w:r>
      <w:r>
        <w:rPr>
          <w:rFonts w:ascii="Arial" w:cs="Arial" w:eastAsia="Arial" w:hAnsi="Arial"/>
          <w:sz w:val="19"/>
          <w:szCs w:val="19"/>
          <w:b w:val="1"/>
          <w:bCs w:val="1"/>
          <w:i w:val="1"/>
          <w:iCs w:val="1"/>
          <w:color w:val="auto"/>
        </w:rPr>
        <w:t>Individual Environmental Threshold</w:t>
      </w:r>
      <w:r>
        <w:rPr>
          <w:rFonts w:ascii="Arial" w:cs="Arial" w:eastAsia="Arial" w:hAnsi="Arial"/>
          <w:sz w:val="19"/>
          <w:szCs w:val="19"/>
          <w:color w:val="auto"/>
        </w:rPr>
        <w:t xml:space="preserve">”); and (ii) in no event shall there be any adjustments to the Purchase Price or other remedies provided by Sellers for any Environmental Defect for which the Remediation Amount exceeds the Individual Environmental Threshold unless (A) the amount of the sum of (1) the aggregate Remediation Amounts of all such Environmental Defects that exceed the Individual Environmental Threshold (but excluding any Environmental Defects cured by Sellers), plus (2) the aggregate Title Defect Amounts of all Title Defects that exceed the Individual Title Defect Threshold (but excluding any Title Defects cured by Sellers), exceeds (B) the Aggregate Deductible, after which point Buyer shall be entitled to adjustments to the Purchase Price or other applicable remedies available hereunder, but only with respect to the amount by which the aggregate amount of such Remediation Amounts and Title Defect Amounts exceeds the Aggregate Deductible. For the avoidance of doubt, if Sellers retain any Assets pursuant to </w:t>
      </w:r>
      <w:r>
        <w:rPr>
          <w:rFonts w:ascii="Arial" w:cs="Arial" w:eastAsia="Arial" w:hAnsi="Arial"/>
          <w:sz w:val="19"/>
          <w:szCs w:val="19"/>
          <w:u w:val="single" w:color="auto"/>
          <w:color w:val="auto"/>
        </w:rPr>
        <w:t>Section 12.1(b)(ii)</w:t>
      </w:r>
      <w:r>
        <w:rPr>
          <w:rFonts w:ascii="Arial" w:cs="Arial" w:eastAsia="Arial" w:hAnsi="Arial"/>
          <w:sz w:val="19"/>
          <w:szCs w:val="19"/>
          <w:color w:val="auto"/>
        </w:rPr>
        <w:t>, the Remediation Amounts relating to such retained Assets will not be counted towards the Aggregate Deductible.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jc w:val="both"/>
        <w:ind w:firstLine="1305"/>
        <w:spacing w:after="0" w:line="284" w:lineRule="auto"/>
        <w:tabs>
          <w:tab w:leader="none" w:pos="1779"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Environmental Dispute Resolution</w:t>
      </w:r>
      <w:r>
        <w:rPr>
          <w:rFonts w:ascii="Arial" w:cs="Arial" w:eastAsia="Arial" w:hAnsi="Arial"/>
          <w:sz w:val="19"/>
          <w:szCs w:val="19"/>
          <w:color w:val="auto"/>
        </w:rPr>
        <w:t xml:space="preserve">. Sellers and Buyer shall attempt to agree on all Environmental Defects and Remediation Amounts prior to Closing. If Sellers and Buyer are unable to agree by Closing, the Environmental Defects and Remediation Amounts in dispute shall be exclusively and finally resolved by arbitration pursuant to this </w:t>
      </w:r>
      <w:r>
        <w:rPr>
          <w:rFonts w:ascii="Arial" w:cs="Arial" w:eastAsia="Arial" w:hAnsi="Arial"/>
          <w:sz w:val="19"/>
          <w:szCs w:val="19"/>
          <w:u w:val="single" w:color="auto"/>
          <w:color w:val="auto"/>
        </w:rPr>
        <w:t>Section 12.1(e)</w:t>
      </w:r>
      <w:r>
        <w:rPr>
          <w:rFonts w:ascii="Arial" w:cs="Arial" w:eastAsia="Arial" w:hAnsi="Arial"/>
          <w:sz w:val="19"/>
          <w:szCs w:val="19"/>
          <w:color w:val="auto"/>
        </w:rPr>
        <w:t>. There shall be a single arbitrator, who shall be an environmental attorney with at least ten years’ experience in environmental matters involving oil and gas producing properties in the regional area in which the affected Assets are located, as selected by mutual agreement of Buyer and Sellers within 15 days after the Closing Date, and absent such agreement, by the Houston, Texas office of the American Arbitration Association (the “</w:t>
      </w:r>
      <w:r>
        <w:rPr>
          <w:rFonts w:ascii="Arial" w:cs="Arial" w:eastAsia="Arial" w:hAnsi="Arial"/>
          <w:sz w:val="19"/>
          <w:szCs w:val="19"/>
          <w:b w:val="1"/>
          <w:bCs w:val="1"/>
          <w:i w:val="1"/>
          <w:iCs w:val="1"/>
          <w:color w:val="auto"/>
        </w:rPr>
        <w:t>Environmental Arbitrator</w:t>
      </w:r>
      <w:r>
        <w:rPr>
          <w:rFonts w:ascii="Arial" w:cs="Arial" w:eastAsia="Arial" w:hAnsi="Arial"/>
          <w:sz w:val="19"/>
          <w:szCs w:val="19"/>
          <w:color w:val="auto"/>
        </w:rPr>
        <w:t xml:space="preserve">”). The arbitration proceeding shall be held in Houston, Texas and shall be conducted in accordance with the Commercial Arbitration Rules of the American Arbitration Association, to the extent such rules do not conflict with the terms of this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The Environmental Arbitrator’s determination shall be made within 20 days after submission of the matters in dispute and shall be final and binding upon the Parties, without right of appeal. In making its determination, the Environmental Arbitrator shall be bound by the rules set forth in this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and, subject to the foregoing, may consider such other matters as in the opinion of the Environmental Arbitrator are necessary or helpful to make a proper determination. The Environmental Arbitrator, however, may not award Buyer its share of any greater Remediation Amount than the Remediation Amount claimed by Buyer in its applicable Environmental Defect Notice. The Environmental Arbitrator shall act as an expert for the limited purpose of determining the specific disputed Environmental Defects and Remediation Amounts submitted by either Party and may not award damages, interest or penalties to either Party with respect to any matter. Sellers and Buyer shall each bear its own legal fees and other costs of presenting its case. Each of Sellers and Buyer shall bear one-half of the costs and expenses of the Environmental Arbitrator. To the extent that the award of the Environmental Arbitrator with respect to any Remediation Amount is not taken into account as an adjustment to the Purchase Price pursuant to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then, within ten days after the Environmental Arbitrator delivers written notice to Buyer and Sellers of his award with respect to any Remediation Amount, and subject to </w:t>
      </w:r>
      <w:r>
        <w:rPr>
          <w:rFonts w:ascii="Arial" w:cs="Arial" w:eastAsia="Arial" w:hAnsi="Arial"/>
          <w:sz w:val="19"/>
          <w:szCs w:val="19"/>
          <w:u w:val="single" w:color="auto"/>
          <w:color w:val="auto"/>
        </w:rPr>
        <w:t>Section 12.1(d)</w:t>
      </w:r>
      <w:r>
        <w:rPr>
          <w:rFonts w:ascii="Arial" w:cs="Arial" w:eastAsia="Arial" w:hAnsi="Arial"/>
          <w:sz w:val="19"/>
          <w:szCs w:val="19"/>
          <w:color w:val="auto"/>
        </w:rPr>
        <w:t xml:space="preserve">, (i) Buyer shall pay to Sellers the amount, if any, so awarded by the Environmental Arbitrator to Sellers, and (ii) Sellers shall pay to Buyer the amount, if any, so awarded by the Environmental Arbitrator to Buyer. Nothing herein shall operate to cause Closing to be delayed on account of any arbitration conducted pursuant to this </w:t>
      </w:r>
      <w:r>
        <w:rPr>
          <w:rFonts w:ascii="Arial" w:cs="Arial" w:eastAsia="Arial" w:hAnsi="Arial"/>
          <w:sz w:val="19"/>
          <w:szCs w:val="19"/>
          <w:u w:val="single" w:color="auto"/>
          <w:color w:val="auto"/>
        </w:rPr>
        <w:t>Section 12.1(e)</w:t>
      </w:r>
      <w:r>
        <w:rPr>
          <w:rFonts w:ascii="Arial" w:cs="Arial" w:eastAsia="Arial" w:hAnsi="Arial"/>
          <w:sz w:val="19"/>
          <w:szCs w:val="19"/>
          <w:color w:val="auto"/>
        </w:rPr>
        <w:t>. To the extent any adjustments are not agreed upon by the Parties as of Closing, the Purchase Price shall be adjusted therefor at Closing and the disputed Remediation Amounts asserted by Buyer in good faith to be deposited in an escrow account pursuant to a mutually agreeable escrow agreement.</w:t>
      </w: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i w:val="1"/>
          <w:iCs w:val="1"/>
          <w:color w:val="auto"/>
        </w:rPr>
        <w:t xml:space="preserve">12.2 NORM, Asbestos, Wastes and Other Substances. </w:t>
      </w:r>
      <w:r>
        <w:rPr>
          <w:rFonts w:ascii="Arial" w:cs="Arial" w:eastAsia="Arial" w:hAnsi="Arial"/>
          <w:sz w:val="19"/>
          <w:szCs w:val="19"/>
          <w:color w:val="auto"/>
        </w:rPr>
        <w:t>Buyer acknowledges that the Assets have been used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exploration, development and production of oil and gas and that there may be petroleum, produced water, wastes or other substances or materials located in, on or under the Assets or associated with the Assets. Equipment and sites included in the Assets may contain asbestos, NORM or other Hazardous Substances. NORM may affix or attach itself to the inside of wells, materials and equipment as scale, or in other forms. The wells, materials and equipment located on the Assets or included in the Assets may contain NORM, asbestos and other wastes or Hazardous Substances. NORM containing material and other wastes or Hazardous Substances may have come in contact with various environmental media, including, water, soils or sediment. Special procedures may be required for the assessment, remediation, removal, transportation, or disposal of environmental media, wastes, asbestos, NORM and other Hazardous Substances from the Assets. The presence of NORM, asbestos-containing materials that are non-friable, Hydrocarbons or Hazardous Substances cannot be claimed as an Environmental Defect, except to the extent constituting a violation of Environmental Laws.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91" w:name="page92"/>
    <w:bookmarkEnd w:id="91"/>
    <w:p>
      <w:pPr>
        <w:ind w:left="1048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ASSUMPTION; INDEMNIFICATION; SURVIVAL</w:t>
      </w:r>
    </w:p>
    <w:p>
      <w:pPr>
        <w:spacing w:after="0" w:line="24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i w:val="1"/>
          <w:iCs w:val="1"/>
          <w:color w:val="auto"/>
        </w:rPr>
        <w:t>13.1</w:t>
      </w:r>
      <w:r>
        <w:rPr>
          <w:sz w:val="20"/>
          <w:szCs w:val="20"/>
          <w:color w:val="auto"/>
        </w:rPr>
        <w:tab/>
      </w:r>
      <w:r>
        <w:rPr>
          <w:rFonts w:ascii="Arial" w:cs="Arial" w:eastAsia="Arial" w:hAnsi="Arial"/>
          <w:sz w:val="18"/>
          <w:szCs w:val="18"/>
          <w:b w:val="1"/>
          <w:bCs w:val="1"/>
          <w:i w:val="1"/>
          <w:iCs w:val="1"/>
          <w:color w:val="auto"/>
        </w:rPr>
        <w:t>Assumed Obligations; Specified Obligations.</w:t>
      </w:r>
    </w:p>
    <w:p>
      <w:pPr>
        <w:spacing w:after="0" w:line="274" w:lineRule="exact"/>
        <w:rPr>
          <w:sz w:val="20"/>
          <w:szCs w:val="20"/>
          <w:color w:val="auto"/>
        </w:rPr>
      </w:pPr>
    </w:p>
    <w:p>
      <w:pPr>
        <w:jc w:val="both"/>
        <w:ind w:firstLine="1305"/>
        <w:spacing w:after="0" w:line="286" w:lineRule="auto"/>
        <w:tabs>
          <w:tab w:leader="none" w:pos="1758"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Without limiting Buyer’s rights to indemnity under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from and after Closing, and except for the Specified Obligations for which a valid Claim Notice is given by Buyer as set forth in </w:t>
      </w:r>
      <w:r>
        <w:rPr>
          <w:rFonts w:ascii="Arial" w:cs="Arial" w:eastAsia="Arial" w:hAnsi="Arial"/>
          <w:sz w:val="19"/>
          <w:szCs w:val="19"/>
          <w:u w:val="single" w:color="auto"/>
          <w:color w:val="auto"/>
        </w:rPr>
        <w:t>Section 13.1(b)</w:t>
      </w:r>
      <w:r>
        <w:rPr>
          <w:rFonts w:ascii="Arial" w:cs="Arial" w:eastAsia="Arial" w:hAnsi="Arial"/>
          <w:sz w:val="19"/>
          <w:szCs w:val="19"/>
          <w:color w:val="auto"/>
        </w:rPr>
        <w:t xml:space="preserve"> within the applicable Survival Period, Buyer assumes and hereby agrees to fulfill, perform, pay and discharge (or cause to be fulfilled, performed, paid and discharged) all obligations and Liabilities, known or unknown, arising from, based upon, related to or associated with the Assets, regardless of whether such obligations or Liabilities arose prior to, on or after the Effective Time, including (i) ownership and operation of the Assets; (ii) furnishing of makeup gas and settlement of Imbalances including those set forth on </w:t>
      </w:r>
      <w:r>
        <w:rPr>
          <w:rFonts w:ascii="Arial" w:cs="Arial" w:eastAsia="Arial" w:hAnsi="Arial"/>
          <w:sz w:val="19"/>
          <w:szCs w:val="19"/>
          <w:u w:val="single" w:color="auto"/>
          <w:color w:val="auto"/>
        </w:rPr>
        <w:t>Schedule 4.12</w:t>
      </w:r>
      <w:r>
        <w:rPr>
          <w:rFonts w:ascii="Arial" w:cs="Arial" w:eastAsia="Arial" w:hAnsi="Arial"/>
          <w:sz w:val="19"/>
          <w:szCs w:val="19"/>
          <w:color w:val="auto"/>
        </w:rPr>
        <w:t xml:space="preserve"> according to the terms of applicable gas sales, processing, gathering or transportation Contracts; (iii) payment of Working Interests, royalties, overriding royalties and other interest owners’ revenues or proceeds attributable to sales of Hydrocarbons including those amounts held in suspense for which the Purchase Price was adjusted pursuant to </w:t>
      </w:r>
      <w:r>
        <w:rPr>
          <w:rFonts w:ascii="Arial" w:cs="Arial" w:eastAsia="Arial" w:hAnsi="Arial"/>
          <w:sz w:val="19"/>
          <w:szCs w:val="19"/>
          <w:u w:val="single" w:color="auto"/>
          <w:color w:val="auto"/>
        </w:rPr>
        <w:t>Section 3.3(b)(viii)</w:t>
      </w:r>
      <w:r>
        <w:rPr>
          <w:rFonts w:ascii="Arial" w:cs="Arial" w:eastAsia="Arial" w:hAnsi="Arial"/>
          <w:sz w:val="19"/>
          <w:szCs w:val="19"/>
          <w:color w:val="auto"/>
        </w:rPr>
        <w:t xml:space="preserve">); (iv) Decommissioning the Assets; (v) subject to Sellers’ obligations under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clean up and Remediation of the Assets in accordance with applicable Contracts and Laws; (vi) performance of all obligations applicable to or imposed on the lessee, owner or operator under the Leases and the Applicable Contracts, or as required by Law; (vii) subject to </w:t>
      </w:r>
      <w:r>
        <w:rPr>
          <w:rFonts w:ascii="Arial" w:cs="Arial" w:eastAsia="Arial" w:hAnsi="Arial"/>
          <w:sz w:val="19"/>
          <w:szCs w:val="19"/>
          <w:u w:val="single" w:color="auto"/>
          <w:color w:val="auto"/>
        </w:rPr>
        <w:t>Article XII</w:t>
      </w:r>
      <w:r>
        <w:rPr>
          <w:rFonts w:ascii="Arial" w:cs="Arial" w:eastAsia="Arial" w:hAnsi="Arial"/>
          <w:sz w:val="19"/>
          <w:szCs w:val="19"/>
          <w:color w:val="auto"/>
        </w:rPr>
        <w:t>, Environmental Defects; and (viii) Buyer’s Environmental Liabilities (all of said Liabilities herein being referred to as the “</w:t>
      </w:r>
      <w:r>
        <w:rPr>
          <w:rFonts w:ascii="Arial" w:cs="Arial" w:eastAsia="Arial" w:hAnsi="Arial"/>
          <w:sz w:val="19"/>
          <w:szCs w:val="19"/>
          <w:b w:val="1"/>
          <w:bCs w:val="1"/>
          <w:i w:val="1"/>
          <w:iCs w:val="1"/>
          <w:color w:val="auto"/>
        </w:rPr>
        <w:t>Assumed Obligations</w:t>
      </w:r>
      <w:r>
        <w:rPr>
          <w:rFonts w:ascii="Arial" w:cs="Arial" w:eastAsia="Arial" w:hAnsi="Arial"/>
          <w:sz w:val="19"/>
          <w:szCs w:val="19"/>
          <w:color w:val="auto"/>
        </w:rPr>
        <w:t>”); provided that Buyer does not assume any Liabilities to the extent that they are Specified Obligations or attributable to or arise out of the ownership, use or operation of the Excluded Assets.</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firstLine="1305"/>
        <w:spacing w:after="0" w:line="288" w:lineRule="auto"/>
        <w:tabs>
          <w:tab w:leader="none" w:pos="1816"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Upon Closing, and except for the Assumed Obligations, with respect to specific Claims for the following for which a valid Claim Notice is given within the applicable survival period as set forth in </w:t>
      </w:r>
      <w:r>
        <w:rPr>
          <w:rFonts w:ascii="Arial" w:cs="Arial" w:eastAsia="Arial" w:hAnsi="Arial"/>
          <w:sz w:val="19"/>
          <w:szCs w:val="19"/>
          <w:u w:val="single" w:color="auto"/>
          <w:color w:val="auto"/>
        </w:rPr>
        <w:t>Section 13.8</w:t>
      </w:r>
      <w:r>
        <w:rPr>
          <w:rFonts w:ascii="Arial" w:cs="Arial" w:eastAsia="Arial" w:hAnsi="Arial"/>
          <w:sz w:val="19"/>
          <w:szCs w:val="19"/>
          <w:color w:val="auto"/>
        </w:rPr>
        <w:t xml:space="preserve">, Sellers retain and hereby agree to fulfill, perform, pay and discharge (or cause to be fulfilled, performed, paid and discharged) all obligations and Liabilities, arising from, based upon, related to or associated with (i) any Seller’s failure to properly, timely and legally pay, in accordance with the terms of any Lease and applicable Laws, all Burdens with respect to the Assets due by such Seller and attributable to periods prior to the Effective Time; (ii) personal injury or wrongful death relating to events occurring prior to the Closing Date; (iii) (A) Income Taxes imposed by Law on any Seller, any of its direct or indirect owners, or any combined, unitary or consolidated group of which such Seller is or was a member, (B) Asset Taxes allocable to Sellers pursuant to </w:t>
      </w:r>
      <w:r>
        <w:rPr>
          <w:rFonts w:ascii="Arial" w:cs="Arial" w:eastAsia="Arial" w:hAnsi="Arial"/>
          <w:sz w:val="19"/>
          <w:szCs w:val="19"/>
          <w:u w:val="single" w:color="auto"/>
          <w:color w:val="auto"/>
        </w:rPr>
        <w:t>Section 15.2</w:t>
      </w:r>
      <w:r>
        <w:rPr>
          <w:rFonts w:ascii="Arial" w:cs="Arial" w:eastAsia="Arial" w:hAnsi="Arial"/>
          <w:sz w:val="19"/>
          <w:szCs w:val="19"/>
          <w:color w:val="auto"/>
        </w:rPr>
        <w:t xml:space="preserve"> (except to the extent any such Asset Tax is economically borne by any Seller pursuant to the application of </w:t>
      </w:r>
      <w:r>
        <w:rPr>
          <w:rFonts w:ascii="Arial" w:cs="Arial" w:eastAsia="Arial" w:hAnsi="Arial"/>
          <w:sz w:val="19"/>
          <w:szCs w:val="19"/>
          <w:u w:val="single" w:color="auto"/>
          <w:color w:val="auto"/>
        </w:rPr>
        <w:t>Section 3.3(b)(v)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15.2(d)</w:t>
      </w:r>
      <w:r>
        <w:rPr>
          <w:rFonts w:ascii="Arial" w:cs="Arial" w:eastAsia="Arial" w:hAnsi="Arial"/>
          <w:sz w:val="19"/>
          <w:szCs w:val="19"/>
          <w:color w:val="auto"/>
        </w:rPr>
        <w:t>), and (C) any Taxes imposed on or with respect to any Excluded Asset; and (iv) offsite waste transportation or disposal occurring prior to the Closing Date (all of said Liabilities herein being referred to as the “</w:t>
      </w:r>
      <w:r>
        <w:rPr>
          <w:rFonts w:ascii="Arial" w:cs="Arial" w:eastAsia="Arial" w:hAnsi="Arial"/>
          <w:sz w:val="19"/>
          <w:szCs w:val="19"/>
          <w:b w:val="1"/>
          <w:bCs w:val="1"/>
          <w:i w:val="1"/>
          <w:iCs w:val="1"/>
          <w:color w:val="auto"/>
        </w:rPr>
        <w:t>Specified Obligations</w:t>
      </w:r>
      <w:r>
        <w:rPr>
          <w:rFonts w:ascii="Arial" w:cs="Arial" w:eastAsia="Arial" w:hAnsi="Arial"/>
          <w:sz w:val="19"/>
          <w:szCs w:val="19"/>
          <w:color w:val="auto"/>
        </w:rPr>
        <w:t>”).</w:t>
      </w:r>
    </w:p>
    <w:p>
      <w:pPr>
        <w:spacing w:after="0" w:line="19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i w:val="1"/>
          <w:iCs w:val="1"/>
          <w:color w:val="auto"/>
        </w:rPr>
        <w:t xml:space="preserve">13.2 Indemnities of Sellers. </w:t>
      </w:r>
      <w:r>
        <w:rPr>
          <w:rFonts w:ascii="Arial" w:cs="Arial" w:eastAsia="Arial" w:hAnsi="Arial"/>
          <w:sz w:val="21"/>
          <w:szCs w:val="21"/>
          <w:color w:val="auto"/>
        </w:rPr>
        <w:t>Effective as of Closing, subject to the limitations set forth in</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Section 13.4</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Section 13.8</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otherwise in this Agreement, each Seller, jointly and severally with each other Seller, shall be responsible for, shall pay on a current basis and hereby defend, indemnify, hold harmless and forever release Buyer and its Affiliates, and all of its and their respective equityholders, partners, members, directors, officers, managers, employees, agents and representatives (collectively, “</w:t>
      </w:r>
      <w:r>
        <w:rPr>
          <w:rFonts w:ascii="Arial" w:cs="Arial" w:eastAsia="Arial" w:hAnsi="Arial"/>
          <w:sz w:val="21"/>
          <w:szCs w:val="21"/>
          <w:b w:val="1"/>
          <w:bCs w:val="1"/>
          <w:i w:val="1"/>
          <w:iCs w:val="1"/>
          <w:color w:val="auto"/>
        </w:rPr>
        <w:t>Buyer</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Indemnified Parties</w:t>
      </w:r>
      <w:r>
        <w:rPr>
          <w:rFonts w:ascii="Arial" w:cs="Arial" w:eastAsia="Arial" w:hAnsi="Arial"/>
          <w:sz w:val="21"/>
          <w:szCs w:val="21"/>
          <w:color w:val="auto"/>
        </w:rPr>
        <w:t>”) from and against any and all Liabilities, whether or not relating to Third Party Claims or incurred in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investigation or defense of any of the same or in asserting, preserving or enforcing any of their respective rights hereunder, arising from, based upon, related to or associated with:</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ind w:left="1760" w:hanging="455"/>
        <w:spacing w:after="0"/>
        <w:tabs>
          <w:tab w:leader="none" w:pos="1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any breach by such Seller of any of its representations or warranties contained in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1780" w:hanging="475"/>
        <w:spacing w:after="0"/>
        <w:tabs>
          <w:tab w:leader="none" w:pos="17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breach by such Seller of any of its covenants or agreements under this Agreement; and</w:t>
      </w:r>
    </w:p>
    <w:p>
      <w:pPr>
        <w:spacing w:after="0" w:line="3" w:lineRule="exact"/>
        <w:rPr>
          <w:rFonts w:ascii="Arial" w:cs="Arial" w:eastAsia="Arial" w:hAnsi="Arial"/>
          <w:sz w:val="22"/>
          <w:szCs w:val="22"/>
          <w:color w:val="auto"/>
        </w:rPr>
      </w:pPr>
    </w:p>
    <w:p>
      <w:pPr>
        <w:ind w:left="1760" w:hanging="455"/>
        <w:spacing w:after="0"/>
        <w:tabs>
          <w:tab w:leader="none" w:pos="1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Specified Obligations.</w:t>
      </w: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13.3 Indemnities of Buyer. </w:t>
      </w:r>
      <w:r>
        <w:rPr>
          <w:rFonts w:ascii="Arial" w:cs="Arial" w:eastAsia="Arial" w:hAnsi="Arial"/>
          <w:sz w:val="22"/>
          <w:szCs w:val="22"/>
          <w:color w:val="auto"/>
        </w:rPr>
        <w:t>Effective as of Closing, Buyer shall assume and be responsible for, shall pay on a current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basis, and hereby defends, indemnifies, holds harmless and forever releases Sellers and their Affiliates, and all of their respective equityholders, partners, members, directors, officers, managers, employees, agents and representatives (collectively, “</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Indemnified Parties</w:t>
      </w:r>
      <w:r>
        <w:rPr>
          <w:rFonts w:ascii="Arial" w:cs="Arial" w:eastAsia="Arial" w:hAnsi="Arial"/>
          <w:sz w:val="22"/>
          <w:szCs w:val="22"/>
          <w:color w:val="auto"/>
        </w:rPr>
        <w:t>”) from and against any and all Liabilities, whether or not relating to Third Party Claims or incurred in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investigation or defense of any of the same or in asserting, preserving or enforcing any of their respective rights hereunder, arising from, based upon, related to or associated with:</w:t>
      </w:r>
    </w:p>
    <w:p>
      <w:pPr>
        <w:spacing w:after="0" w:line="229" w:lineRule="exact"/>
        <w:rPr>
          <w:sz w:val="20"/>
          <w:szCs w:val="20"/>
          <w:color w:val="auto"/>
        </w:rPr>
      </w:pPr>
    </w:p>
    <w:p>
      <w:pPr>
        <w:ind w:left="1760" w:hanging="455"/>
        <w:spacing w:after="0"/>
        <w:tabs>
          <w:tab w:leader="none" w:pos="17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any breach by Buyer of any of its representations or warranties contained in </w:t>
      </w: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1780" w:hanging="475"/>
        <w:spacing w:after="0"/>
        <w:tabs>
          <w:tab w:leader="none" w:pos="17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breach by Buyer of any of its covenants or agreements under this Agreement; and</w:t>
      </w:r>
    </w:p>
    <w:p>
      <w:pPr>
        <w:spacing w:after="0" w:line="242" w:lineRule="exact"/>
        <w:rPr>
          <w:rFonts w:ascii="Arial" w:cs="Arial" w:eastAsia="Arial" w:hAnsi="Arial"/>
          <w:sz w:val="22"/>
          <w:szCs w:val="22"/>
          <w:color w:val="auto"/>
        </w:rPr>
      </w:pPr>
    </w:p>
    <w:p>
      <w:pPr>
        <w:ind w:left="1760" w:hanging="455"/>
        <w:spacing w:after="0"/>
        <w:tabs>
          <w:tab w:leader="none" w:pos="17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Assumed Obligations.</w:t>
      </w:r>
    </w:p>
    <w:p>
      <w:pPr>
        <w:spacing w:after="0" w:line="26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i w:val="1"/>
          <w:iCs w:val="1"/>
          <w:color w:val="auto"/>
        </w:rPr>
        <w:t>13.4</w:t>
      </w:r>
      <w:r>
        <w:rPr>
          <w:sz w:val="20"/>
          <w:szCs w:val="20"/>
          <w:color w:val="auto"/>
        </w:rPr>
        <w:tab/>
      </w:r>
      <w:r>
        <w:rPr>
          <w:rFonts w:ascii="Arial" w:cs="Arial" w:eastAsia="Arial" w:hAnsi="Arial"/>
          <w:sz w:val="19"/>
          <w:szCs w:val="19"/>
          <w:b w:val="1"/>
          <w:bCs w:val="1"/>
          <w:i w:val="1"/>
          <w:iCs w:val="1"/>
          <w:color w:val="auto"/>
        </w:rPr>
        <w:t>Limitation on Liability.</w:t>
      </w:r>
    </w:p>
    <w:p>
      <w:pPr>
        <w:spacing w:after="0" w:line="274" w:lineRule="exact"/>
        <w:rPr>
          <w:sz w:val="20"/>
          <w:szCs w:val="20"/>
          <w:color w:val="auto"/>
        </w:rPr>
      </w:pPr>
    </w:p>
    <w:p>
      <w:pPr>
        <w:jc w:val="both"/>
        <w:ind w:firstLine="1305"/>
        <w:spacing w:after="0" w:line="248" w:lineRule="auto"/>
        <w:tabs>
          <w:tab w:leader="none" w:pos="1895"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Sellers shall not have any liability for any indemnification under </w:t>
      </w:r>
      <w:r>
        <w:rPr>
          <w:rFonts w:ascii="Arial" w:cs="Arial" w:eastAsia="Arial" w:hAnsi="Arial"/>
          <w:sz w:val="22"/>
          <w:szCs w:val="22"/>
          <w:u w:val="single" w:color="auto"/>
          <w:color w:val="auto"/>
        </w:rPr>
        <w:t>Section 13.2</w:t>
      </w:r>
      <w:r>
        <w:rPr>
          <w:rFonts w:ascii="Arial" w:cs="Arial" w:eastAsia="Arial" w:hAnsi="Arial"/>
          <w:sz w:val="22"/>
          <w:szCs w:val="22"/>
          <w:color w:val="auto"/>
        </w:rPr>
        <w:t xml:space="preserve"> for any Liability (without duplication) arising from a single event unless the amount with respect to such Liability exceeds $100,000 (the “</w:t>
      </w:r>
      <w:r>
        <w:rPr>
          <w:rFonts w:ascii="Arial" w:cs="Arial" w:eastAsia="Arial" w:hAnsi="Arial"/>
          <w:sz w:val="22"/>
          <w:szCs w:val="22"/>
          <w:b w:val="1"/>
          <w:bCs w:val="1"/>
          <w:i w:val="1"/>
          <w:iCs w:val="1"/>
          <w:color w:val="auto"/>
        </w:rPr>
        <w:t>Individual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Indemnity Threshold</w:t>
      </w:r>
      <w:r>
        <w:rPr>
          <w:rFonts w:ascii="Arial" w:cs="Arial" w:eastAsia="Arial" w:hAnsi="Arial"/>
          <w:sz w:val="22"/>
          <w:szCs w:val="22"/>
          <w:color w:val="auto"/>
        </w:rPr>
        <w:t>”) and until and unless the aggregate amount of all Liabilities exceeding the Individual Indemnity Threshold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for which Claim Notices are delivered by Buyer during the Survival Period exceeds the Indemnity Deductible, and then only to the extent such Liabilities exceed the Indemnity Deductible.</w:t>
      </w:r>
    </w:p>
    <w:p>
      <w:pPr>
        <w:spacing w:after="0" w:line="232" w:lineRule="exact"/>
        <w:rPr>
          <w:rFonts w:ascii="Arial" w:cs="Arial" w:eastAsia="Arial" w:hAnsi="Arial"/>
          <w:sz w:val="22"/>
          <w:szCs w:val="22"/>
          <w:color w:val="auto"/>
        </w:rPr>
      </w:pPr>
    </w:p>
    <w:p>
      <w:pPr>
        <w:ind w:firstLine="1305"/>
        <w:spacing w:after="0" w:line="263" w:lineRule="auto"/>
        <w:tabs>
          <w:tab w:leader="none" w:pos="19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Sellers shall not be required to indemnify Buyer for aggregate Liabilities in excess of 20% of the Purchase Price (the “</w:t>
      </w:r>
      <w:r>
        <w:rPr>
          <w:rFonts w:ascii="Arial" w:cs="Arial" w:eastAsia="Arial" w:hAnsi="Arial"/>
          <w:sz w:val="22"/>
          <w:szCs w:val="22"/>
          <w:b w:val="1"/>
          <w:bCs w:val="1"/>
          <w:i w:val="1"/>
          <w:iCs w:val="1"/>
          <w:color w:val="auto"/>
        </w:rPr>
        <w:t>Indemnity Cap</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firstLine="1305"/>
        <w:spacing w:after="0" w:line="297" w:lineRule="auto"/>
        <w:tabs>
          <w:tab w:leader="none" w:pos="18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this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the adjustments to the Purchase Price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and any payments in respect thereof, and Liabilities for Specified Obligations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13.1(b)(i)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13.1(b)(ii)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13.1(b)(iii)</w:t>
      </w:r>
      <w:r>
        <w:rPr>
          <w:rFonts w:ascii="Arial" w:cs="Arial" w:eastAsia="Arial" w:hAnsi="Arial"/>
          <w:sz w:val="19"/>
          <w:szCs w:val="19"/>
          <w:color w:val="auto"/>
        </w:rPr>
        <w:t xml:space="preserve">, shall not be limited by </w:t>
      </w:r>
      <w:r>
        <w:rPr>
          <w:rFonts w:ascii="Arial" w:cs="Arial" w:eastAsia="Arial" w:hAnsi="Arial"/>
          <w:sz w:val="19"/>
          <w:szCs w:val="19"/>
          <w:u w:val="single" w:color="auto"/>
          <w:color w:val="auto"/>
        </w:rPr>
        <w:t>Sections 13.4(a)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13.4(b)</w:t>
      </w:r>
      <w:r>
        <w:rPr>
          <w:rFonts w:ascii="Arial" w:cs="Arial" w:eastAsia="Arial" w:hAnsi="Arial"/>
          <w:sz w:val="19"/>
          <w:szCs w:val="19"/>
          <w:color w:val="auto"/>
        </w:rPr>
        <w:t xml:space="preserve"> and the total amount of such adjustments and Liabilities from the first dollar and without regard to the Individual Indemnity Threshold, the Indemnity Deductible and the Indemnity Cap shall be applied or recovered in accordance with the terms hereof.</w:t>
      </w:r>
    </w:p>
    <w:p>
      <w:pPr>
        <w:spacing w:after="0" w:line="187" w:lineRule="exact"/>
        <w:rPr>
          <w:rFonts w:ascii="Arial" w:cs="Arial" w:eastAsia="Arial" w:hAnsi="Arial"/>
          <w:sz w:val="19"/>
          <w:szCs w:val="19"/>
          <w:color w:val="auto"/>
        </w:rPr>
      </w:pPr>
    </w:p>
    <w:p>
      <w:pPr>
        <w:jc w:val="both"/>
        <w:ind w:firstLine="1305"/>
        <w:spacing w:after="0" w:line="260" w:lineRule="auto"/>
        <w:tabs>
          <w:tab w:leader="none" w:pos="1876" w:val="left"/>
        </w:tabs>
        <w:numPr>
          <w:ilvl w:val="0"/>
          <w:numId w:val="65"/>
        </w:numPr>
        <w:rPr>
          <w:rFonts w:ascii="Arial" w:cs="Arial" w:eastAsia="Arial" w:hAnsi="Arial"/>
          <w:sz w:val="21"/>
          <w:szCs w:val="21"/>
          <w:color w:val="auto"/>
        </w:rPr>
      </w:pPr>
      <w:r>
        <w:rPr>
          <w:rFonts w:ascii="Arial" w:cs="Arial" w:eastAsia="Arial" w:hAnsi="Arial"/>
          <w:sz w:val="21"/>
          <w:szCs w:val="21"/>
          <w:color w:val="auto"/>
        </w:rPr>
        <w:t>Notwithstanding anything to the contrary stated in this Agreement, Buyer’s obligation to indemnify Seller Indemnified Parties with respect to the Specified Obligations attributable to a period (or partial period) prior to Sellers’’ ownership of the applicable Assets, shall not extend to any amount for which Sellers receive indemnification from a prior owner of such Assets. Sellers shall use their commercially reasonable efforts to secure indemnification from any applicable prior owner of such Assets; provided that Sellers shall not be required to initiate any legal action to enforce the indemnification from a prior owner unless Buyer agrees to indemnify Sellers for (i) costs of any legal action to enforce the indemnification from a prior owner and (ii) Liabilities resulting from or relating to any counterclaim arising thereunder.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93" w:name="page94"/>
    <w:bookmarkEnd w:id="93"/>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i w:val="1"/>
          <w:iCs w:val="1"/>
          <w:color w:val="auto"/>
        </w:rPr>
        <w:t xml:space="preserve">13.5 Express Negligence. </w:t>
      </w:r>
      <w:r>
        <w:rPr>
          <w:rFonts w:ascii="Arial" w:cs="Arial" w:eastAsia="Arial" w:hAnsi="Arial"/>
          <w:sz w:val="22"/>
          <w:szCs w:val="22"/>
          <w:color w:val="auto"/>
        </w:rPr>
        <w:t>EXCEPT AS OTHERWISE PROVIDED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10.1(C)</w:t>
      </w:r>
      <w:r>
        <w:rPr>
          <w:rFonts w:ascii="Arial" w:cs="Arial" w:eastAsia="Arial" w:hAnsi="Arial"/>
          <w:sz w:val="22"/>
          <w:szCs w:val="22"/>
          <w:color w:val="auto"/>
        </w:rPr>
        <w:t>, THE DEFENSE,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INDEMNIFICATION, HOLD HARMLESS, RELEASE AND ASSUMED OBLIGATIONS PROVISIONS PROVIDED FOR IN THIS AGREEMENT SHALL BE APPLICABLE WHETHER OR NOT THE LIABILITIES IN QUESTION AROSE OR RESULTED SOLELY OR IN PART FROM THE GROSS, SOLE, ACTIVE, PASSIVE, CONCURRENT OR COMPARATIVE NEGLIGENCE, STRICT LIABILITY OR OTHER FAULT OR VIOLATION OF LAW OF OR BY ANY INDEMNIFIED PARTY. BUYER AND SELLERS ACKNOWLEDGE THAT THIS STATEMENT COMPLIES WITH THE EXPRESS NEGLIGENCE RULE AND IS “</w:t>
      </w:r>
      <w:r>
        <w:rPr>
          <w:rFonts w:ascii="Arial" w:cs="Arial" w:eastAsia="Arial" w:hAnsi="Arial"/>
          <w:sz w:val="22"/>
          <w:szCs w:val="22"/>
          <w:i w:val="1"/>
          <w:iCs w:val="1"/>
          <w:color w:val="auto"/>
        </w:rPr>
        <w:t>CONSPICUOUS</w:t>
      </w:r>
      <w:r>
        <w:rPr>
          <w:rFonts w:ascii="Arial" w:cs="Arial" w:eastAsia="Arial" w:hAnsi="Arial"/>
          <w:sz w:val="22"/>
          <w:szCs w:val="22"/>
          <w:color w:val="auto"/>
        </w:rPr>
        <w:t>.”</w:t>
      </w:r>
    </w:p>
    <w:p>
      <w:pPr>
        <w:spacing w:after="0" w:line="2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13.6 Exclusive Remedy. </w:t>
      </w:r>
      <w:r>
        <w:rPr>
          <w:rFonts w:ascii="Arial" w:cs="Arial" w:eastAsia="Arial" w:hAnsi="Arial"/>
          <w:sz w:val="19"/>
          <w:szCs w:val="19"/>
          <w:color w:val="auto"/>
        </w:rPr>
        <w:t>Except for causes of action based on actual fraud, notwithstanding anything to the contrary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contained in this Agreement, the Parties agree that, from and after Closing, </w:t>
      </w:r>
      <w:r>
        <w:rPr>
          <w:rFonts w:ascii="Arial" w:cs="Arial" w:eastAsia="Arial" w:hAnsi="Arial"/>
          <w:sz w:val="19"/>
          <w:szCs w:val="19"/>
          <w:u w:val="single" w:color="auto"/>
          <w:color w:val="auto"/>
        </w:rPr>
        <w:t>Section 10.1(c)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contain the Parties’ exclusive remedies against each other with respect to the transactions contemplated hereby, including breaches of the representations, warranties, covenants and agreements of the Parties contained in this Agreement or in any document or certificate delivered pursuant to this Agreement. Except as specified in </w:t>
      </w:r>
      <w:r>
        <w:rPr>
          <w:rFonts w:ascii="Arial" w:cs="Arial" w:eastAsia="Arial" w:hAnsi="Arial"/>
          <w:sz w:val="19"/>
          <w:szCs w:val="19"/>
          <w:u w:val="single" w:color="auto"/>
          <w:color w:val="auto"/>
        </w:rPr>
        <w:t>Section 11.1(c)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effective as of Closing, Buyer, on its own behalf and on behalf of the Buyer Indemnified Parties, hereby releases, remises and forever discharges Sellers and their Affiliates and all of such Persons’ equityholders, partners, members, directors, officers, employees, agents and representatives from any and all suits, legal or administrative proceedings, Liabilities or interest whatsoever, in Law or in equity, known or unknown, which Buyer or the Buyer Indemnified Parties might now or subsequently have, based on, relating to or arising out of this Agreement, the transactions contemplated by this Agreement, the ownership, use or operation of any of the Assets prior to Closing or the condition, quality, status or nature of any of the Assets prior to Closing, including rights to contribution under the Comprehensive Environmental Response, Compensation, and Liability Act of 1980, as amended, breaches of statutory or implied warranties, nuisance or other tort actions, rights to punitive damages, common law rights of contribution and rights under insurance maintained by Sellers or any of their Affiliates (except as provided in </w:t>
      </w:r>
      <w:r>
        <w:rPr>
          <w:rFonts w:ascii="Arial" w:cs="Arial" w:eastAsia="Arial" w:hAnsi="Arial"/>
          <w:sz w:val="19"/>
          <w:szCs w:val="19"/>
          <w:u w:val="single" w:color="auto"/>
          <w:color w:val="auto"/>
        </w:rPr>
        <w:t>Section 11.3(b)</w:t>
      </w:r>
      <w:r>
        <w:rPr>
          <w:rFonts w:ascii="Arial" w:cs="Arial" w:eastAsia="Arial" w:hAnsi="Arial"/>
          <w:sz w:val="19"/>
          <w:szCs w:val="19"/>
          <w:color w:val="auto"/>
        </w:rPr>
        <w:t>).</w:t>
      </w:r>
    </w:p>
    <w:p>
      <w:pPr>
        <w:spacing w:after="0" w:line="20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b w:val="1"/>
          <w:bCs w:val="1"/>
          <w:i w:val="1"/>
          <w:iCs w:val="1"/>
          <w:color w:val="auto"/>
        </w:rPr>
        <w:t xml:space="preserve">13.7 Indemnification Procedures. </w:t>
      </w:r>
      <w:r>
        <w:rPr>
          <w:rFonts w:ascii="Arial" w:cs="Arial" w:eastAsia="Arial" w:hAnsi="Arial"/>
          <w:sz w:val="22"/>
          <w:szCs w:val="22"/>
          <w:color w:val="auto"/>
        </w:rPr>
        <w:t>All claims for indemnification under</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10.1(c)</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13.2</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13.3</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shall be asserted and resolved as follows:</w:t>
      </w:r>
    </w:p>
    <w:p>
      <w:pPr>
        <w:spacing w:after="0" w:line="201" w:lineRule="exact"/>
        <w:rPr>
          <w:sz w:val="20"/>
          <w:szCs w:val="20"/>
          <w:color w:val="auto"/>
        </w:rPr>
      </w:pPr>
    </w:p>
    <w:p>
      <w:pPr>
        <w:jc w:val="both"/>
        <w:ind w:firstLine="1305"/>
        <w:spacing w:after="0" w:line="248" w:lineRule="auto"/>
        <w:tabs>
          <w:tab w:leader="none" w:pos="1768"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 10.1(c)</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Article XIII</w:t>
      </w:r>
      <w:r>
        <w:rPr>
          <w:rFonts w:ascii="Arial" w:cs="Arial" w:eastAsia="Arial" w:hAnsi="Arial"/>
          <w:sz w:val="22"/>
          <w:szCs w:val="22"/>
          <w:color w:val="auto"/>
        </w:rPr>
        <w:t>, the term “</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xml:space="preserve">” when used in connection with particular Liabilities shall mean the Party or Parties having an obligation to indemnify another Party or Parties with respect to such Liabilities pursuant to </w:t>
      </w:r>
      <w:r>
        <w:rPr>
          <w:rFonts w:ascii="Arial" w:cs="Arial" w:eastAsia="Arial" w:hAnsi="Arial"/>
          <w:sz w:val="22"/>
          <w:szCs w:val="22"/>
          <w:u w:val="single" w:color="auto"/>
          <w:color w:val="auto"/>
        </w:rPr>
        <w:t>Section 10.1(c)</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Article XIII</w:t>
      </w:r>
      <w:r>
        <w:rPr>
          <w:rFonts w:ascii="Arial" w:cs="Arial" w:eastAsia="Arial" w:hAnsi="Arial"/>
          <w:sz w:val="22"/>
          <w:szCs w:val="22"/>
          <w:color w:val="auto"/>
        </w:rPr>
        <w:t>, and the term “</w:t>
      </w:r>
      <w:r>
        <w:rPr>
          <w:rFonts w:ascii="Arial" w:cs="Arial" w:eastAsia="Arial" w:hAnsi="Arial"/>
          <w:sz w:val="22"/>
          <w:szCs w:val="22"/>
          <w:b w:val="1"/>
          <w:bCs w:val="1"/>
          <w:i w:val="1"/>
          <w:iCs w:val="1"/>
          <w:color w:val="auto"/>
        </w:rPr>
        <w:t>Indemnified Party</w:t>
      </w:r>
      <w:r>
        <w:rPr>
          <w:rFonts w:ascii="Arial" w:cs="Arial" w:eastAsia="Arial" w:hAnsi="Arial"/>
          <w:sz w:val="22"/>
          <w:szCs w:val="22"/>
          <w:color w:val="auto"/>
        </w:rPr>
        <w:t xml:space="preserve">” when used in connection with particular Liabilities shall mean the Party or Parties having the right to be indemnified with respect to such Liabilities by another Party or Parties pursuant to </w:t>
      </w:r>
      <w:r>
        <w:rPr>
          <w:rFonts w:ascii="Arial" w:cs="Arial" w:eastAsia="Arial" w:hAnsi="Arial"/>
          <w:sz w:val="22"/>
          <w:szCs w:val="22"/>
          <w:u w:val="single" w:color="auto"/>
          <w:color w:val="auto"/>
        </w:rPr>
        <w:t>Section 10.1(c)</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Article XIII</w:t>
      </w:r>
      <w:r>
        <w:rPr>
          <w:rFonts w:ascii="Arial" w:cs="Arial" w:eastAsia="Arial" w:hAnsi="Arial"/>
          <w:sz w:val="22"/>
          <w:szCs w:val="22"/>
          <w:color w:val="auto"/>
        </w:rPr>
        <w:t>.</w:t>
      </w:r>
    </w:p>
    <w:p>
      <w:pPr>
        <w:spacing w:after="0" w:line="232" w:lineRule="exact"/>
        <w:rPr>
          <w:rFonts w:ascii="Arial" w:cs="Arial" w:eastAsia="Arial" w:hAnsi="Arial"/>
          <w:sz w:val="22"/>
          <w:szCs w:val="22"/>
          <w:color w:val="auto"/>
        </w:rPr>
      </w:pPr>
    </w:p>
    <w:p>
      <w:pPr>
        <w:jc w:val="both"/>
        <w:ind w:firstLine="1305"/>
        <w:spacing w:after="0" w:line="288" w:lineRule="auto"/>
        <w:tabs>
          <w:tab w:leader="none" w:pos="1777"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To make claim for indemnification under </w:t>
      </w:r>
      <w:r>
        <w:rPr>
          <w:rFonts w:ascii="Arial" w:cs="Arial" w:eastAsia="Arial" w:hAnsi="Arial"/>
          <w:sz w:val="19"/>
          <w:szCs w:val="19"/>
          <w:u w:val="single" w:color="auto"/>
          <w:color w:val="auto"/>
        </w:rPr>
        <w:t>Section 10.1(c)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an Indemnified Party shall notify the Indemnifying Party of its claim under this </w:t>
      </w:r>
      <w:r>
        <w:rPr>
          <w:rFonts w:ascii="Arial" w:cs="Arial" w:eastAsia="Arial" w:hAnsi="Arial"/>
          <w:sz w:val="19"/>
          <w:szCs w:val="19"/>
          <w:u w:val="single" w:color="auto"/>
          <w:color w:val="auto"/>
        </w:rPr>
        <w:t>Section 13.7</w:t>
      </w:r>
      <w:r>
        <w:rPr>
          <w:rFonts w:ascii="Arial" w:cs="Arial" w:eastAsia="Arial" w:hAnsi="Arial"/>
          <w:sz w:val="19"/>
          <w:szCs w:val="19"/>
          <w:color w:val="auto"/>
        </w:rPr>
        <w:t>, including the specific details of and specific basis under this Agreement for its claim (the “</w:t>
      </w:r>
      <w:r>
        <w:rPr>
          <w:rFonts w:ascii="Arial" w:cs="Arial" w:eastAsia="Arial" w:hAnsi="Arial"/>
          <w:sz w:val="19"/>
          <w:szCs w:val="19"/>
          <w:b w:val="1"/>
          <w:bCs w:val="1"/>
          <w:i w:val="1"/>
          <w:iCs w:val="1"/>
          <w:color w:val="auto"/>
        </w:rPr>
        <w:t>Claim Notice</w:t>
      </w:r>
      <w:r>
        <w:rPr>
          <w:rFonts w:ascii="Arial" w:cs="Arial" w:eastAsia="Arial" w:hAnsi="Arial"/>
          <w:sz w:val="19"/>
          <w:szCs w:val="19"/>
          <w:color w:val="auto"/>
        </w:rPr>
        <w:t>”). In the event that the claim for indemnification is based upon a claim by a Third Party against the Indemnified Party (a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xml:space="preserve">”), the Indemnified Party shall provide its Claim Notice promptly after the Indemnified Party has actual knowledge of the Third Party Claim and shall enclose a copy of all papers (if any) served with respect to the Third Party Claim; provided that the failure of any Indemnified Party to give notice of a Third Party Claim as provided in this </w:t>
      </w:r>
      <w:r>
        <w:rPr>
          <w:rFonts w:ascii="Arial" w:cs="Arial" w:eastAsia="Arial" w:hAnsi="Arial"/>
          <w:sz w:val="19"/>
          <w:szCs w:val="19"/>
          <w:u w:val="single" w:color="auto"/>
          <w:color w:val="auto"/>
        </w:rPr>
        <w:t>Section 13.7(b)</w:t>
      </w:r>
      <w:r>
        <w:rPr>
          <w:rFonts w:ascii="Arial" w:cs="Arial" w:eastAsia="Arial" w:hAnsi="Arial"/>
          <w:sz w:val="19"/>
          <w:szCs w:val="19"/>
          <w:color w:val="auto"/>
        </w:rPr>
        <w:t xml:space="preserve"> shall not relieve the Indemnifying Party of its obligations under </w:t>
      </w:r>
      <w:r>
        <w:rPr>
          <w:rFonts w:ascii="Arial" w:cs="Arial" w:eastAsia="Arial" w:hAnsi="Arial"/>
          <w:sz w:val="19"/>
          <w:szCs w:val="19"/>
          <w:u w:val="single" w:color="auto"/>
          <w:color w:val="auto"/>
        </w:rPr>
        <w:t>Section 10.1(c)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(as applicable) except to the extent such failure results in insufficient time being available to permit the Indemnifying Party to effectively defend against the Third Party Claim or otherwise materially prejudices the Indemnifying Party’s ability to defend against the Third Party Claim. In the event that the claim for indemnification is based upon an inaccuracy or breach of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94" w:name="page95"/>
    <w:bookmarkEnd w:id="9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representation, warranty, covenant or agreement, the Claim Notice shall specify the representation, warranty, covenant or agreement that was inaccurate or breached.</w:t>
      </w:r>
    </w:p>
    <w:p>
      <w:pPr>
        <w:spacing w:after="0" w:line="215" w:lineRule="exact"/>
        <w:rPr>
          <w:sz w:val="20"/>
          <w:szCs w:val="20"/>
          <w:color w:val="auto"/>
        </w:rPr>
      </w:pPr>
    </w:p>
    <w:p>
      <w:pPr>
        <w:jc w:val="both"/>
        <w:ind w:firstLine="1305"/>
        <w:spacing w:after="0" w:line="297" w:lineRule="auto"/>
        <w:tabs>
          <w:tab w:leader="none" w:pos="1797" w:val="left"/>
        </w:tabs>
        <w:numPr>
          <w:ilvl w:val="1"/>
          <w:numId w:val="67"/>
        </w:numPr>
        <w:rPr>
          <w:rFonts w:ascii="Arial" w:cs="Arial" w:eastAsia="Arial" w:hAnsi="Arial"/>
          <w:sz w:val="19"/>
          <w:szCs w:val="19"/>
          <w:color w:val="auto"/>
        </w:rPr>
      </w:pPr>
      <w:r>
        <w:rPr>
          <w:rFonts w:ascii="Arial" w:cs="Arial" w:eastAsia="Arial" w:hAnsi="Arial"/>
          <w:sz w:val="19"/>
          <w:szCs w:val="19"/>
          <w:color w:val="auto"/>
        </w:rPr>
        <w:t>In the case of a claim for indemnification based upon a Third Party Claim, the Indemnifying Party shall have 30 days from its receipt of the Claim Notice to notify the Indemnified Party whether it admits or denies its liability to defend the Indemnified Party against such Third Party Claim at the sole cost and expense of the Indemnifying Party. The Indemnified Party is authorized, prior to and during such 30 day period, to file any motion, answer or other pleading that it shall deem necessary or appropriate to protect its interests or those of the Indemnifying Party and that is not prejudicial to the Indemnifying Party.</w:t>
      </w:r>
    </w:p>
    <w:p>
      <w:pPr>
        <w:spacing w:after="0" w:line="187" w:lineRule="exact"/>
        <w:rPr>
          <w:rFonts w:ascii="Arial" w:cs="Arial" w:eastAsia="Arial" w:hAnsi="Arial"/>
          <w:sz w:val="19"/>
          <w:szCs w:val="19"/>
          <w:color w:val="auto"/>
        </w:rPr>
      </w:pPr>
    </w:p>
    <w:p>
      <w:pPr>
        <w:jc w:val="both"/>
        <w:ind w:firstLine="1305"/>
        <w:spacing w:after="0" w:line="258" w:lineRule="auto"/>
        <w:tabs>
          <w:tab w:leader="none" w:pos="1831" w:val="left"/>
        </w:tabs>
        <w:numPr>
          <w:ilvl w:val="1"/>
          <w:numId w:val="67"/>
        </w:numPr>
        <w:rPr>
          <w:rFonts w:ascii="Arial" w:cs="Arial" w:eastAsia="Arial" w:hAnsi="Arial"/>
          <w:sz w:val="21"/>
          <w:szCs w:val="21"/>
          <w:color w:val="auto"/>
        </w:rPr>
      </w:pPr>
      <w:r>
        <w:rPr>
          <w:rFonts w:ascii="Arial" w:cs="Arial" w:eastAsia="Arial" w:hAnsi="Arial"/>
          <w:sz w:val="21"/>
          <w:szCs w:val="21"/>
          <w:color w:val="auto"/>
        </w:rPr>
        <w:t xml:space="preserve">If the Indemnifying Party admits its liability to defend the Indemnified Party against a Third Party Claim, it shall have the right and obligation to diligently defend, at its sole cost and expense, the Indemnified Party against such Third Party Claim. The Indemnifying Party shall have full control of such defense and proceedings, including any compromise or settlement thereof. If requested by the Indemnifying Party, the Indemnified Party agrees to cooperate in contesting any Third Party Claim which the Indemnifying Party elects to contest. The Indemnified Party may participate in, but not control, at its own expense, any defense or settlement of any Third Party Claim controlled by the Indemnifying Party pursuant to this </w:t>
      </w:r>
      <w:r>
        <w:rPr>
          <w:rFonts w:ascii="Arial" w:cs="Arial" w:eastAsia="Arial" w:hAnsi="Arial"/>
          <w:sz w:val="21"/>
          <w:szCs w:val="21"/>
          <w:u w:val="single" w:color="auto"/>
          <w:color w:val="auto"/>
        </w:rPr>
        <w:t>Section 13.7(d)</w:t>
      </w:r>
      <w:r>
        <w:rPr>
          <w:rFonts w:ascii="Arial" w:cs="Arial" w:eastAsia="Arial" w:hAnsi="Arial"/>
          <w:sz w:val="21"/>
          <w:szCs w:val="21"/>
          <w:color w:val="auto"/>
        </w:rPr>
        <w:t>. An Indemnifying Party shall not, without the written consent of the Indemnified Party, (i) settle any Third Party Claim or consent to the entry of any judgment with respect thereto which does not include an unconditional written release of the Indemnified Party from all liability in respect of such Third Party Claim or (ii) settle any Third Party Claim or consent to the entry of any judgment with respect thereto in any manner that may materially and adversely affect the Indemnified Party (other than as a result of money damages covered by the indemnity).</w:t>
      </w:r>
    </w:p>
    <w:p>
      <w:pPr>
        <w:spacing w:after="0" w:line="223" w:lineRule="exact"/>
        <w:rPr>
          <w:rFonts w:ascii="Arial" w:cs="Arial" w:eastAsia="Arial" w:hAnsi="Arial"/>
          <w:sz w:val="21"/>
          <w:szCs w:val="21"/>
          <w:color w:val="auto"/>
        </w:rPr>
      </w:pPr>
    </w:p>
    <w:p>
      <w:pPr>
        <w:jc w:val="both"/>
        <w:ind w:firstLine="1305"/>
        <w:spacing w:after="0" w:line="283" w:lineRule="auto"/>
        <w:tabs>
          <w:tab w:leader="none" w:pos="1845" w:val="left"/>
        </w:tabs>
        <w:numPr>
          <w:ilvl w:val="1"/>
          <w:numId w:val="67"/>
        </w:numPr>
        <w:rPr>
          <w:rFonts w:ascii="Arial" w:cs="Arial" w:eastAsia="Arial" w:hAnsi="Arial"/>
          <w:sz w:val="19"/>
          <w:szCs w:val="19"/>
          <w:color w:val="auto"/>
        </w:rPr>
      </w:pPr>
      <w:r>
        <w:rPr>
          <w:rFonts w:ascii="Arial" w:cs="Arial" w:eastAsia="Arial" w:hAnsi="Arial"/>
          <w:sz w:val="19"/>
          <w:szCs w:val="19"/>
          <w:color w:val="auto"/>
        </w:rPr>
        <w:t>If the Indemnifying Party does not admit its liability or admits its liability to defend the Indemnified Party against a Third Party Claim, but fails to diligently prosecute, indemnify against or settle the Third Party Claim, then the Indemnified Party shall have the right to defend against the Third Party Claim at the sole cost and expense of the Indemnifying Party, with counsel of the Indemnified Party’s choosing, subject to the right of the Indemnifying Party to admit its liability and assume the defense of the Third Party Claim at any time prior to settlement or final determination thereof. If the Indemnifying Party has not yet admitted its liability to defend the Indemnified Party against a Third Party Claim, the Indemnified Party shall send written notice to the Indemnifying Party of any proposed settlement and the Indemnifying Party shall have the option for ten days following receipt of such notice to (i) admit in writing its liability to indemnify the Indemnified Party from and against the liability and consent to such settlement and (ii) if liability is so admitted, reject, in its reasonable judgment, the proposed settlement, or (iii) deny liability. Any failure by the Indemnifying Party to respond to such notice shall be deemed to be an election under subsection</w:t>
      </w:r>
    </w:p>
    <w:p>
      <w:pPr>
        <w:spacing w:after="0" w:line="7" w:lineRule="exact"/>
        <w:rPr>
          <w:rFonts w:ascii="Arial" w:cs="Arial" w:eastAsia="Arial" w:hAnsi="Arial"/>
          <w:sz w:val="19"/>
          <w:szCs w:val="19"/>
          <w:color w:val="auto"/>
        </w:rPr>
      </w:pPr>
    </w:p>
    <w:p>
      <w:pPr>
        <w:ind w:left="260" w:hanging="252"/>
        <w:spacing w:after="0"/>
        <w:tabs>
          <w:tab w:leader="none" w:pos="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above.</w:t>
      </w:r>
    </w:p>
    <w:p>
      <w:pPr>
        <w:spacing w:after="0" w:line="242" w:lineRule="exact"/>
        <w:rPr>
          <w:rFonts w:ascii="Arial" w:cs="Arial" w:eastAsia="Arial" w:hAnsi="Arial"/>
          <w:sz w:val="22"/>
          <w:szCs w:val="22"/>
          <w:color w:val="auto"/>
        </w:rPr>
      </w:pPr>
    </w:p>
    <w:p>
      <w:pPr>
        <w:jc w:val="both"/>
        <w:ind w:firstLine="1305"/>
        <w:spacing w:after="0" w:line="291" w:lineRule="auto"/>
        <w:tabs>
          <w:tab w:leader="none" w:pos="1800" w:val="left"/>
        </w:tabs>
        <w:numPr>
          <w:ilvl w:val="1"/>
          <w:numId w:val="68"/>
        </w:numPr>
        <w:rPr>
          <w:rFonts w:ascii="Arial" w:cs="Arial" w:eastAsia="Arial" w:hAnsi="Arial"/>
          <w:sz w:val="19"/>
          <w:szCs w:val="19"/>
          <w:color w:val="auto"/>
        </w:rPr>
      </w:pPr>
      <w:r>
        <w:rPr>
          <w:rFonts w:ascii="Arial" w:cs="Arial" w:eastAsia="Arial" w:hAnsi="Arial"/>
          <w:sz w:val="19"/>
          <w:szCs w:val="19"/>
          <w:color w:val="auto"/>
        </w:rPr>
        <w:t>In the case of a claim for indemnification not based upon a Third Party Claim, the Indemnifying Party shall have 30 days from its receipt of the Claim Notice to (i) cure the Liabilities complained of, (ii) admit its liability for such Liability or</w:t>
      </w:r>
    </w:p>
    <w:p>
      <w:pPr>
        <w:spacing w:after="0" w:line="1" w:lineRule="exact"/>
        <w:rPr>
          <w:rFonts w:ascii="Arial" w:cs="Arial" w:eastAsia="Arial" w:hAnsi="Arial"/>
          <w:sz w:val="19"/>
          <w:szCs w:val="19"/>
          <w:color w:val="auto"/>
        </w:rPr>
      </w:pPr>
    </w:p>
    <w:p>
      <w:pPr>
        <w:jc w:val="both"/>
        <w:ind w:firstLine="8"/>
        <w:spacing w:after="0" w:line="244" w:lineRule="auto"/>
        <w:tabs>
          <w:tab w:leader="none" w:pos="406" w:val="left"/>
        </w:tabs>
        <w:numPr>
          <w:ilvl w:val="0"/>
          <w:numId w:val="69"/>
        </w:numPr>
        <w:rPr>
          <w:rFonts w:ascii="Arial" w:cs="Arial" w:eastAsia="Arial" w:hAnsi="Arial"/>
          <w:sz w:val="22"/>
          <w:szCs w:val="22"/>
          <w:color w:val="auto"/>
        </w:rPr>
      </w:pPr>
      <w:r>
        <w:rPr>
          <w:rFonts w:ascii="Arial" w:cs="Arial" w:eastAsia="Arial" w:hAnsi="Arial"/>
          <w:sz w:val="22"/>
          <w:szCs w:val="22"/>
          <w:color w:val="auto"/>
        </w:rPr>
        <w:t>dispute the claim for such Liabilities. If the Indemnifying Party does not notify the Indemnified Party within such 30 day period that it has cured the Liabilities or that it disputes the claim for such Liabilities, the amount of such Liabilities shall conclusively be deemed a liability of the Indemnifying Party hereunder. If the Indemnifying Party disputes the claim for such Liabilities, the running of any survival period for the claim shall be tolled.</w:t>
      </w:r>
    </w:p>
    <w:p>
      <w:pPr>
        <w:spacing w:after="0" w:line="23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i w:val="1"/>
          <w:iCs w:val="1"/>
          <w:color w:val="auto"/>
        </w:rPr>
        <w:t>13.8</w:t>
      </w:r>
      <w:r>
        <w:rPr>
          <w:sz w:val="20"/>
          <w:szCs w:val="20"/>
          <w:color w:val="auto"/>
        </w:rPr>
        <w:tab/>
      </w:r>
      <w:r>
        <w:rPr>
          <w:rFonts w:ascii="Arial" w:cs="Arial" w:eastAsia="Arial" w:hAnsi="Arial"/>
          <w:sz w:val="19"/>
          <w:szCs w:val="19"/>
          <w:b w:val="1"/>
          <w:bCs w:val="1"/>
          <w:i w:val="1"/>
          <w:iCs w:val="1"/>
          <w:color w:val="auto"/>
        </w:rPr>
        <w:t>Survival.</w:t>
      </w:r>
    </w:p>
    <w:p>
      <w:pPr>
        <w:spacing w:after="0" w:line="274" w:lineRule="exact"/>
        <w:rPr>
          <w:sz w:val="20"/>
          <w:szCs w:val="20"/>
          <w:color w:val="auto"/>
        </w:rPr>
      </w:pPr>
    </w:p>
    <w:p>
      <w:pPr>
        <w:ind w:right="20" w:firstLine="1305"/>
        <w:spacing w:after="0" w:line="263" w:lineRule="auto"/>
        <w:tabs>
          <w:tab w:leader="none" w:pos="1784"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Except for the Specified Representations and the representations and warranties of Sellers in </w:t>
      </w:r>
      <w:r>
        <w:rPr>
          <w:rFonts w:ascii="Arial" w:cs="Arial" w:eastAsia="Arial" w:hAnsi="Arial"/>
          <w:sz w:val="22"/>
          <w:szCs w:val="22"/>
          <w:u w:val="single" w:color="auto"/>
          <w:color w:val="auto"/>
        </w:rPr>
        <w:t>Section 4.15</w:t>
      </w:r>
      <w:r>
        <w:rPr>
          <w:rFonts w:ascii="Arial" w:cs="Arial" w:eastAsia="Arial" w:hAnsi="Arial"/>
          <w:sz w:val="22"/>
          <w:szCs w:val="22"/>
          <w:color w:val="auto"/>
        </w:rPr>
        <w:t xml:space="preserve">, the last sentence of </w:t>
      </w:r>
      <w:r>
        <w:rPr>
          <w:rFonts w:ascii="Arial" w:cs="Arial" w:eastAsia="Arial" w:hAnsi="Arial"/>
          <w:sz w:val="22"/>
          <w:szCs w:val="22"/>
          <w:u w:val="single" w:color="auto"/>
          <w:color w:val="auto"/>
        </w:rPr>
        <w:t>Section 4.16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4.19</w:t>
      </w:r>
      <w:r>
        <w:rPr>
          <w:rFonts w:ascii="Arial" w:cs="Arial" w:eastAsia="Arial" w:hAnsi="Arial"/>
          <w:sz w:val="22"/>
          <w:szCs w:val="22"/>
          <w:color w:val="auto"/>
        </w:rPr>
        <w:t>, the representations and warranties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95" w:name="page96"/>
    <w:bookmarkEnd w:id="95"/>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of the Parties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and the covenants and agreements of the Parties in </w:t>
      </w:r>
      <w:r>
        <w:rPr>
          <w:rFonts w:ascii="Arial" w:cs="Arial" w:eastAsia="Arial" w:hAnsi="Arial"/>
          <w:sz w:val="21"/>
          <w:szCs w:val="21"/>
          <w:u w:val="single" w:color="auto"/>
          <w:color w:val="auto"/>
        </w:rPr>
        <w:t>Sections 6.1</w:t>
      </w:r>
      <w:r>
        <w:rPr>
          <w:rFonts w:ascii="Arial" w:cs="Arial" w:eastAsia="Arial" w:hAnsi="Arial"/>
          <w:sz w:val="21"/>
          <w:szCs w:val="21"/>
          <w:color w:val="auto"/>
        </w:rPr>
        <w:t xml:space="preserve"> shall survive Closing for the Survival Period. The representation and warranty of Sellers in </w:t>
      </w:r>
      <w:r>
        <w:rPr>
          <w:rFonts w:ascii="Arial" w:cs="Arial" w:eastAsia="Arial" w:hAnsi="Arial"/>
          <w:sz w:val="21"/>
          <w:szCs w:val="21"/>
          <w:u w:val="single" w:color="auto"/>
          <w:color w:val="auto"/>
        </w:rPr>
        <w:t>Section 4.15</w:t>
      </w:r>
      <w:r>
        <w:rPr>
          <w:rFonts w:ascii="Arial" w:cs="Arial" w:eastAsia="Arial" w:hAnsi="Arial"/>
          <w:sz w:val="21"/>
          <w:szCs w:val="21"/>
          <w:color w:val="auto"/>
        </w:rPr>
        <w:t xml:space="preserve"> shall terminate on the Closing Date. The representations and warranties of Sellers in the last sentence of </w:t>
      </w:r>
      <w:r>
        <w:rPr>
          <w:rFonts w:ascii="Arial" w:cs="Arial" w:eastAsia="Arial" w:hAnsi="Arial"/>
          <w:sz w:val="21"/>
          <w:szCs w:val="21"/>
          <w:u w:val="single" w:color="auto"/>
          <w:color w:val="auto"/>
        </w:rPr>
        <w:t>Section 4.16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4.19</w:t>
      </w:r>
      <w:r>
        <w:rPr>
          <w:rFonts w:ascii="Arial" w:cs="Arial" w:eastAsia="Arial" w:hAnsi="Arial"/>
          <w:sz w:val="21"/>
          <w:szCs w:val="21"/>
          <w:color w:val="auto"/>
        </w:rPr>
        <w:t xml:space="preserve"> shall terminate upon the expiration of the applicable statute of limitations. The Specified Representations shall survive Closing without time limit. The representation and warranty of Sellers in </w:t>
      </w:r>
      <w:r>
        <w:rPr>
          <w:rFonts w:ascii="Arial" w:cs="Arial" w:eastAsia="Arial" w:hAnsi="Arial"/>
          <w:sz w:val="21"/>
          <w:szCs w:val="21"/>
          <w:u w:val="single" w:color="auto"/>
          <w:color w:val="auto"/>
        </w:rPr>
        <w:t>Section 11.1(b)</w:t>
      </w:r>
      <w:r>
        <w:rPr>
          <w:rFonts w:ascii="Arial" w:cs="Arial" w:eastAsia="Arial" w:hAnsi="Arial"/>
          <w:sz w:val="21"/>
          <w:szCs w:val="21"/>
          <w:color w:val="auto"/>
        </w:rPr>
        <w:t xml:space="preserve"> shall terminate as of the expiration of the Survival Period, and the covenants and agreements of the Parties in this Agreement shall survive Closing for a period that is the longer of the Survival Period and the time periods specifically applicable to such covenants and agreements in accordance with their terms. Subject to the foregoing and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13.8(b)</w:t>
      </w:r>
      <w:r>
        <w:rPr>
          <w:rFonts w:ascii="Arial" w:cs="Arial" w:eastAsia="Arial" w:hAnsi="Arial"/>
          <w:sz w:val="21"/>
          <w:szCs w:val="21"/>
          <w:color w:val="auto"/>
        </w:rPr>
        <w:t>, the remainder of this Agreement shall survive Closing without time limit. Representations, warranties, covenants and agreements shall be of no further force and effect after the date of their expiration; provided that there shall be no termination of any bona fide claim asserted pursuant to this Agreement with respect to such a representation, warranty, covenant or agreement prior to its expiration date.</w:t>
      </w:r>
    </w:p>
    <w:p>
      <w:pPr>
        <w:spacing w:after="0" w:line="224" w:lineRule="exact"/>
        <w:rPr>
          <w:sz w:val="20"/>
          <w:szCs w:val="20"/>
          <w:color w:val="auto"/>
        </w:rPr>
      </w:pPr>
    </w:p>
    <w:p>
      <w:pPr>
        <w:jc w:val="both"/>
        <w:ind w:firstLine="1305"/>
        <w:spacing w:after="0" w:line="294" w:lineRule="auto"/>
        <w:tabs>
          <w:tab w:leader="none" w:pos="1807"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The indemnities in </w:t>
      </w:r>
      <w:r>
        <w:rPr>
          <w:rFonts w:ascii="Arial" w:cs="Arial" w:eastAsia="Arial" w:hAnsi="Arial"/>
          <w:sz w:val="19"/>
          <w:szCs w:val="19"/>
          <w:u w:val="single" w:color="auto"/>
          <w:color w:val="auto"/>
        </w:rPr>
        <w:t>Section 13.2(a)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13.2(b)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13.3(b)</w:t>
      </w:r>
      <w:r>
        <w:rPr>
          <w:rFonts w:ascii="Arial" w:cs="Arial" w:eastAsia="Arial" w:hAnsi="Arial"/>
          <w:sz w:val="19"/>
          <w:szCs w:val="19"/>
          <w:color w:val="auto"/>
        </w:rPr>
        <w:t xml:space="preserve"> shall terminate as of the expiration date of each respective representation, warranty, covenant or agreement that is subject to indemnification, except in each case as to matters for which a specific written claim for indemnity has been delivered to the Indemnifying Party on or before such expiration date. Sellers’ indemnity in </w:t>
      </w:r>
      <w:r>
        <w:rPr>
          <w:rFonts w:ascii="Arial" w:cs="Arial" w:eastAsia="Arial" w:hAnsi="Arial"/>
          <w:sz w:val="19"/>
          <w:szCs w:val="19"/>
          <w:u w:val="single" w:color="auto"/>
          <w:color w:val="auto"/>
        </w:rPr>
        <w:t>Section 13.2(c)</w:t>
      </w:r>
      <w:r>
        <w:rPr>
          <w:rFonts w:ascii="Arial" w:cs="Arial" w:eastAsia="Arial" w:hAnsi="Arial"/>
          <w:sz w:val="19"/>
          <w:szCs w:val="19"/>
          <w:color w:val="auto"/>
        </w:rPr>
        <w:t xml:space="preserve"> (except as such indemnities relate to Specified Obligations described in </w:t>
      </w:r>
      <w:r>
        <w:rPr>
          <w:rFonts w:ascii="Arial" w:cs="Arial" w:eastAsia="Arial" w:hAnsi="Arial"/>
          <w:sz w:val="19"/>
          <w:szCs w:val="19"/>
          <w:u w:val="single" w:color="auto"/>
          <w:color w:val="auto"/>
        </w:rPr>
        <w:t>Section 13.1(b)(iii)(A)</w:t>
      </w:r>
      <w:r>
        <w:rPr>
          <w:rFonts w:ascii="Arial" w:cs="Arial" w:eastAsia="Arial" w:hAnsi="Arial"/>
          <w:sz w:val="19"/>
          <w:szCs w:val="19"/>
          <w:color w:val="auto"/>
        </w:rPr>
        <w:t xml:space="preserve"> or Section </w:t>
      </w:r>
      <w:r>
        <w:rPr>
          <w:rFonts w:ascii="Arial" w:cs="Arial" w:eastAsia="Arial" w:hAnsi="Arial"/>
          <w:sz w:val="19"/>
          <w:szCs w:val="19"/>
          <w:u w:val="single" w:color="auto"/>
          <w:color w:val="auto"/>
        </w:rPr>
        <w:t>13.1(b)(iii)(C)</w:t>
      </w:r>
      <w:r>
        <w:rPr>
          <w:rFonts w:ascii="Arial" w:cs="Arial" w:eastAsia="Arial" w:hAnsi="Arial"/>
          <w:sz w:val="19"/>
          <w:szCs w:val="19"/>
          <w:color w:val="auto"/>
        </w:rPr>
        <w:t xml:space="preserve">, which shall survive Closing without time limit) shall survive Closing for the Survival Period. Buyer’s indemnities in </w:t>
      </w:r>
      <w:r>
        <w:rPr>
          <w:rFonts w:ascii="Arial" w:cs="Arial" w:eastAsia="Arial" w:hAnsi="Arial"/>
          <w:sz w:val="19"/>
          <w:szCs w:val="19"/>
          <w:u w:val="single" w:color="auto"/>
          <w:color w:val="auto"/>
        </w:rPr>
        <w:t>Section 10.1(c)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13.3(c)</w:t>
      </w:r>
      <w:r>
        <w:rPr>
          <w:rFonts w:ascii="Arial" w:cs="Arial" w:eastAsia="Arial" w:hAnsi="Arial"/>
          <w:sz w:val="19"/>
          <w:szCs w:val="19"/>
          <w:color w:val="auto"/>
        </w:rPr>
        <w:t xml:space="preserve"> shall survive Closing without time limit.</w:t>
      </w:r>
    </w:p>
    <w:p>
      <w:pPr>
        <w:spacing w:after="0" w:line="19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b w:val="1"/>
          <w:bCs w:val="1"/>
          <w:i w:val="1"/>
          <w:iCs w:val="1"/>
          <w:color w:val="auto"/>
        </w:rPr>
        <w:t xml:space="preserve">13.9 Waiver of Right to Rescission. </w:t>
      </w:r>
      <w:r>
        <w:rPr>
          <w:rFonts w:ascii="Arial" w:cs="Arial" w:eastAsia="Arial" w:hAnsi="Arial"/>
          <w:sz w:val="21"/>
          <w:szCs w:val="21"/>
          <w:color w:val="auto"/>
        </w:rPr>
        <w:t>Sellers and Buyer acknowledge that, following Closing, the payment of money,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limited by the terms of this Agreement, shall be adequate compensation for breach of any representation, warranty, covenant or agreement contained herein or for any other claim arising in connection with or with respect to the transactions contemplated by this Agreement. As the payment of money shall be adequate compensation, following Closing, Buyer and Sellers waive any right to rescind this Agreement or any of the transactions contemplated hereby.</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13.10 Insurance, Taxes. </w:t>
      </w:r>
      <w:r>
        <w:rPr>
          <w:rFonts w:ascii="Arial" w:cs="Arial" w:eastAsia="Arial" w:hAnsi="Arial"/>
          <w:sz w:val="22"/>
          <w:szCs w:val="22"/>
          <w:color w:val="auto"/>
        </w:rPr>
        <w:t>The amount of any Liabilities for which any of the Buyer Indemnified Parties or the Seller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Indemnified Parties, as applicable, is entitled to indemnification under this Agreement or in connection with or with respect to the transactions contemplated by this Agreement shall be reduced by any corresponding insurance proceeds from insurance policies carried by a Party realized or that could reasonably be expected to be realized by such Party if a claim were properly pursued under the relevant insurance arrangements (net of any collection costs, and excluding the proceeds of any insurance underwritten by the party claiming indemnity or its Affiliates).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i w:val="1"/>
          <w:iCs w:val="1"/>
          <w:color w:val="auto"/>
        </w:rPr>
        <w:t xml:space="preserve">13.11 Non-Compensatory Damages. </w:t>
      </w:r>
      <w:r>
        <w:rPr>
          <w:rFonts w:ascii="Arial" w:cs="Arial" w:eastAsia="Arial" w:hAnsi="Arial"/>
          <w:sz w:val="21"/>
          <w:szCs w:val="21"/>
          <w:color w:val="auto"/>
        </w:rPr>
        <w:t>None of the Buyer Indemnified Parties nor Seller Indemnified Parties shall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entitled to recover from Sellers or Buyer, as applicable, or their respective Affiliates, any loss of profits, special, indirect, consequential, punitive, exemplary, remote or speculative damages arising under or in connection with this Agreement or the transactions contemplated hereby, except to the extent any such Party suffers such damages to a Third Party, which damages (including costs of defense and reasonable attorneys’ fees incurred in connection with defending against such damages) shall not be excluded by this provision as to recovery hereunder. Subject to the preceding sentence, Buyer, on behalf of each of the Buyer Indemnified Parties, and Sellers, on behalf of each of Seller Indemnified Parties, each waive any right to recover any loss of profits, special, indirect, consequential, punitive, exemplary, remote or speculative damages arising in connection with or with respect to this Agreement or the transactions contemplated hereby.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96" w:name="page97"/>
    <w:bookmarkEnd w:id="96"/>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13.12 Disclaimer of Application of Anti-Indemnity Statutes. </w:t>
      </w:r>
      <w:r>
        <w:rPr>
          <w:rFonts w:ascii="Arial" w:cs="Arial" w:eastAsia="Arial" w:hAnsi="Arial"/>
          <w:sz w:val="22"/>
          <w:szCs w:val="22"/>
          <w:color w:val="auto"/>
        </w:rPr>
        <w:t>The Parties acknowledge and agree that the provisions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anti-indemnity statute relating to oilfield services and associated activities shall not be applicable to this Agreement or the transactions contemplated hereby.</w:t>
      </w:r>
    </w:p>
    <w:p>
      <w:pPr>
        <w:spacing w:after="0" w:line="22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i w:val="1"/>
          <w:iCs w:val="1"/>
          <w:color w:val="auto"/>
        </w:rPr>
        <w:t>13.13</w:t>
      </w:r>
      <w:r>
        <w:rPr>
          <w:sz w:val="20"/>
          <w:szCs w:val="20"/>
          <w:color w:val="auto"/>
        </w:rPr>
        <w:tab/>
      </w:r>
      <w:r>
        <w:rPr>
          <w:rFonts w:ascii="Arial" w:cs="Arial" w:eastAsia="Arial" w:hAnsi="Arial"/>
          <w:sz w:val="18"/>
          <w:szCs w:val="18"/>
          <w:b w:val="1"/>
          <w:bCs w:val="1"/>
          <w:i w:val="1"/>
          <w:iCs w:val="1"/>
          <w:color w:val="auto"/>
        </w:rPr>
        <w:t>Specified Obligation Disputes.</w:t>
      </w:r>
    </w:p>
    <w:p>
      <w:pPr>
        <w:spacing w:after="0" w:line="22" w:lineRule="exact"/>
        <w:rPr>
          <w:sz w:val="20"/>
          <w:szCs w:val="20"/>
          <w:color w:val="auto"/>
        </w:rPr>
      </w:pPr>
    </w:p>
    <w:p>
      <w:pPr>
        <w:jc w:val="both"/>
        <w:ind w:firstLine="1305"/>
        <w:spacing w:after="0" w:line="260" w:lineRule="auto"/>
        <w:tabs>
          <w:tab w:leader="none" w:pos="2185"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Any claim, counterclaim, demand, cause of action, dispute, or any other controversy arising out of or relating in any way to Sellers’ indemnity obligations under </w:t>
      </w:r>
      <w:r>
        <w:rPr>
          <w:rFonts w:ascii="Arial" w:cs="Arial" w:eastAsia="Arial" w:hAnsi="Arial"/>
          <w:sz w:val="21"/>
          <w:szCs w:val="21"/>
          <w:u w:val="single" w:color="auto"/>
          <w:color w:val="auto"/>
        </w:rPr>
        <w:t>Section 13.2(c)</w:t>
      </w:r>
      <w:r>
        <w:rPr>
          <w:rFonts w:ascii="Arial" w:cs="Arial" w:eastAsia="Arial" w:hAnsi="Arial"/>
          <w:sz w:val="21"/>
          <w:szCs w:val="21"/>
          <w:color w:val="auto"/>
        </w:rPr>
        <w:t xml:space="preserve"> or the release of the Holdback Amount related thereto (“</w:t>
      </w:r>
      <w:r>
        <w:rPr>
          <w:rFonts w:ascii="Arial" w:cs="Arial" w:eastAsia="Arial" w:hAnsi="Arial"/>
          <w:sz w:val="21"/>
          <w:szCs w:val="21"/>
          <w:b w:val="1"/>
          <w:bCs w:val="1"/>
          <w:i w:val="1"/>
          <w:iCs w:val="1"/>
          <w:color w:val="auto"/>
        </w:rPr>
        <w:t>Dispute</w:t>
      </w:r>
      <w:r>
        <w:rPr>
          <w:rFonts w:ascii="Arial" w:cs="Arial" w:eastAsia="Arial" w:hAnsi="Arial"/>
          <w:sz w:val="21"/>
          <w:szCs w:val="21"/>
          <w:color w:val="auto"/>
        </w:rPr>
        <w:t xml:space="preserve">”) shall be finally resolved through binding arbitration as described in this </w:t>
      </w:r>
      <w:r>
        <w:rPr>
          <w:rFonts w:ascii="Arial" w:cs="Arial" w:eastAsia="Arial" w:hAnsi="Arial"/>
          <w:sz w:val="21"/>
          <w:szCs w:val="21"/>
          <w:u w:val="single" w:color="auto"/>
          <w:color w:val="auto"/>
        </w:rPr>
        <w:t>Section 13.13</w:t>
      </w:r>
      <w:r>
        <w:rPr>
          <w:rFonts w:ascii="Arial" w:cs="Arial" w:eastAsia="Arial" w:hAnsi="Arial"/>
          <w:sz w:val="21"/>
          <w:szCs w:val="21"/>
          <w:color w:val="auto"/>
        </w:rPr>
        <w:t>. The agreement to arbitrate any Dispute shall be binding on and shall inure to the benefit of the Parties and their Affiliates.</w:t>
      </w:r>
    </w:p>
    <w:p>
      <w:pPr>
        <w:spacing w:after="0" w:line="218" w:lineRule="exact"/>
        <w:rPr>
          <w:rFonts w:ascii="Arial" w:cs="Arial" w:eastAsia="Arial" w:hAnsi="Arial"/>
          <w:sz w:val="21"/>
          <w:szCs w:val="21"/>
          <w:color w:val="auto"/>
        </w:rPr>
      </w:pPr>
    </w:p>
    <w:p>
      <w:pPr>
        <w:ind w:firstLine="1305"/>
        <w:spacing w:after="0" w:line="263" w:lineRule="auto"/>
        <w:tabs>
          <w:tab w:leader="none" w:pos="2197"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Buyer or Sellers, as applicable, may initiate arbitration proceedings against Sellers or Buyer pursuant to this </w:t>
      </w:r>
      <w:r>
        <w:rPr>
          <w:rFonts w:ascii="Arial" w:cs="Arial" w:eastAsia="Arial" w:hAnsi="Arial"/>
          <w:sz w:val="22"/>
          <w:szCs w:val="22"/>
          <w:u w:val="single" w:color="auto"/>
          <w:color w:val="auto"/>
        </w:rPr>
        <w:t>Section 13.13</w:t>
      </w:r>
      <w:r>
        <w:rPr>
          <w:rFonts w:ascii="Arial" w:cs="Arial" w:eastAsia="Arial" w:hAnsi="Arial"/>
          <w:sz w:val="22"/>
          <w:szCs w:val="22"/>
          <w:color w:val="auto"/>
        </w:rPr>
        <w:t xml:space="preserve"> by sending a request for arbitration to the other Party or Parties.</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place of the arbitration shall be Houston, Texas.</w:t>
      </w:r>
    </w:p>
    <w:p>
      <w:pPr>
        <w:spacing w:after="0" w:line="260" w:lineRule="exact"/>
        <w:rPr>
          <w:rFonts w:ascii="Arial" w:cs="Arial" w:eastAsia="Arial" w:hAnsi="Arial"/>
          <w:sz w:val="22"/>
          <w:szCs w:val="22"/>
          <w:color w:val="auto"/>
        </w:rPr>
      </w:pPr>
    </w:p>
    <w:p>
      <w:pPr>
        <w:jc w:val="both"/>
        <w:ind w:firstLine="1305"/>
        <w:spacing w:after="0" w:line="259" w:lineRule="auto"/>
        <w:tabs>
          <w:tab w:leader="none" w:pos="2197" w:val="left"/>
        </w:tabs>
        <w:numPr>
          <w:ilvl w:val="0"/>
          <w:numId w:val="72"/>
        </w:numPr>
        <w:rPr>
          <w:rFonts w:ascii="Arial" w:cs="Arial" w:eastAsia="Arial" w:hAnsi="Arial"/>
          <w:sz w:val="21"/>
          <w:szCs w:val="21"/>
          <w:color w:val="auto"/>
        </w:rPr>
      </w:pPr>
      <w:r>
        <w:rPr>
          <w:rFonts w:ascii="Arial" w:cs="Arial" w:eastAsia="Arial" w:hAnsi="Arial"/>
          <w:sz w:val="21"/>
          <w:szCs w:val="21"/>
          <w:color w:val="auto"/>
        </w:rPr>
        <w:t>Buyer shall nominate one arbitrator and Sellers shall nominate another arbitrator. If either side fails to nominate an arbitrator within thirty (30) days of receipt of the request for arbitration, then that arbitrator shall be nominated by the Houston office of the American Arbitration Association (“</w:t>
      </w:r>
      <w:r>
        <w:rPr>
          <w:rFonts w:ascii="Arial" w:cs="Arial" w:eastAsia="Arial" w:hAnsi="Arial"/>
          <w:sz w:val="21"/>
          <w:szCs w:val="21"/>
          <w:b w:val="1"/>
          <w:bCs w:val="1"/>
          <w:i w:val="1"/>
          <w:iCs w:val="1"/>
          <w:color w:val="auto"/>
        </w:rPr>
        <w:t>AAA</w:t>
      </w:r>
      <w:r>
        <w:rPr>
          <w:rFonts w:ascii="Arial" w:cs="Arial" w:eastAsia="Arial" w:hAnsi="Arial"/>
          <w:sz w:val="21"/>
          <w:szCs w:val="21"/>
          <w:color w:val="auto"/>
        </w:rPr>
        <w:t xml:space="preserve">”) in accordance with its Commercial Arbitration Rules. The first two arbitrators nominated in accordance with this </w:t>
      </w:r>
      <w:r>
        <w:rPr>
          <w:rFonts w:ascii="Arial" w:cs="Arial" w:eastAsia="Arial" w:hAnsi="Arial"/>
          <w:sz w:val="21"/>
          <w:szCs w:val="21"/>
          <w:u w:val="single" w:color="auto"/>
          <w:color w:val="auto"/>
        </w:rPr>
        <w:t>Section 13.13</w:t>
      </w:r>
      <w:r>
        <w:rPr>
          <w:rFonts w:ascii="Arial" w:cs="Arial" w:eastAsia="Arial" w:hAnsi="Arial"/>
          <w:sz w:val="21"/>
          <w:szCs w:val="21"/>
          <w:color w:val="auto"/>
        </w:rPr>
        <w:t xml:space="preserve"> shall nominate a third arbitrator within thirty (30) days after the appointment of the later-nominated of those two (2) arbitrators. If the first two arbitrators fail to nominate a third arbitrator within the time period prescribed above or if the nominated third arbitrator fails within ten (10) days after the time period prescribed above to accept his or her nomination, then the AAA shall appoint the third arbitrator and shall promptly notify the parties of the appointment. The third arbitrator shall act as chairman of the tribunal.</w:t>
      </w:r>
    </w:p>
    <w:p>
      <w:pPr>
        <w:spacing w:after="0" w:line="224" w:lineRule="exact"/>
        <w:rPr>
          <w:rFonts w:ascii="Arial" w:cs="Arial" w:eastAsia="Arial" w:hAnsi="Arial"/>
          <w:sz w:val="21"/>
          <w:szCs w:val="21"/>
          <w:color w:val="auto"/>
        </w:rPr>
      </w:pPr>
    </w:p>
    <w:p>
      <w:pPr>
        <w:jc w:val="both"/>
        <w:ind w:firstLine="1305"/>
        <w:spacing w:after="0" w:line="260" w:lineRule="auto"/>
        <w:tabs>
          <w:tab w:leader="none" w:pos="2185"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All arbitrators shall be and remain at all times independent and impartial, and, once appointed, no arbitrator shall have any ex parte communications with any of the Parties or any of their Affiliates concerning the arbitration or the underlying Dispute other than communications directly concerning the selection of the presiding arbitrator, when applicable. No arbitrator (or such arbitrator’s current employer or firm) shall have been an employee, counsel or consultant to any Party or any of its Affiliates within the one-year period preceding the arbitration, or have any financial interest in the Dispute. All arbitrators shall be attorneys having at least ten (10) years of experience in the oil and/or gas business in Texas. The arbitrators may prescribe the rules of the arbitration not inconsistent with this </w:t>
      </w:r>
      <w:r>
        <w:rPr>
          <w:rFonts w:ascii="Arial" w:cs="Arial" w:eastAsia="Arial" w:hAnsi="Arial"/>
          <w:sz w:val="21"/>
          <w:szCs w:val="21"/>
          <w:u w:val="single" w:color="auto"/>
          <w:color w:val="auto"/>
        </w:rPr>
        <w:t>Section 13.13</w:t>
      </w:r>
      <w:r>
        <w:rPr>
          <w:rFonts w:ascii="Arial" w:cs="Arial" w:eastAsia="Arial" w:hAnsi="Arial"/>
          <w:sz w:val="21"/>
          <w:szCs w:val="21"/>
          <w:color w:val="auto"/>
        </w:rPr>
        <w:t>.</w:t>
      </w:r>
    </w:p>
    <w:p>
      <w:pPr>
        <w:spacing w:after="0" w:line="221" w:lineRule="exact"/>
        <w:rPr>
          <w:rFonts w:ascii="Arial" w:cs="Arial" w:eastAsia="Arial" w:hAnsi="Arial"/>
          <w:sz w:val="21"/>
          <w:szCs w:val="21"/>
          <w:color w:val="auto"/>
        </w:rPr>
      </w:pPr>
    </w:p>
    <w:p>
      <w:pPr>
        <w:jc w:val="both"/>
        <w:ind w:firstLine="1305"/>
        <w:spacing w:after="0" w:line="247" w:lineRule="auto"/>
        <w:tabs>
          <w:tab w:leader="none" w:pos="2161"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herein, if a Dispute arises regarding the rights or remedies available to a Party or an Affiliate of a Party pursuant to a final award of an arbitral tribunal that is issued pursuant to this </w:t>
      </w:r>
      <w:r>
        <w:rPr>
          <w:rFonts w:ascii="Arial" w:cs="Arial" w:eastAsia="Arial" w:hAnsi="Arial"/>
          <w:sz w:val="22"/>
          <w:szCs w:val="22"/>
          <w:u w:val="single" w:color="auto"/>
          <w:color w:val="auto"/>
        </w:rPr>
        <w:t>Section 13.13</w:t>
      </w:r>
      <w:r>
        <w:rPr>
          <w:rFonts w:ascii="Arial" w:cs="Arial" w:eastAsia="Arial" w:hAnsi="Arial"/>
          <w:sz w:val="22"/>
          <w:szCs w:val="22"/>
          <w:color w:val="auto"/>
        </w:rPr>
        <w:t xml:space="preserve">, such Dispute shall be heard and resolved by the same arbitral tribunal that issued the award, unless one or more of the arbitrators serving on the arbitral tribunal that issued the award is unable or unwilling to serve as arbitrator. In such event, a new tribunal will be constituted in accordance with this </w:t>
      </w:r>
      <w:r>
        <w:rPr>
          <w:rFonts w:ascii="Arial" w:cs="Arial" w:eastAsia="Arial" w:hAnsi="Arial"/>
          <w:sz w:val="22"/>
          <w:szCs w:val="22"/>
          <w:u w:val="single" w:color="auto"/>
          <w:color w:val="auto"/>
        </w:rPr>
        <w:t>Section 13.13</w:t>
      </w:r>
      <w:r>
        <w:rPr>
          <w:rFonts w:ascii="Arial" w:cs="Arial" w:eastAsia="Arial" w:hAnsi="Arial"/>
          <w:sz w:val="22"/>
          <w:szCs w:val="22"/>
          <w:color w:val="auto"/>
        </w:rPr>
        <w:t xml:space="preserve"> and the applicable rules, and no member of the original tribunal shall be eligible to serve.</w:t>
      </w:r>
    </w:p>
    <w:p>
      <w:pPr>
        <w:spacing w:after="0" w:line="234" w:lineRule="exact"/>
        <w:rPr>
          <w:rFonts w:ascii="Arial" w:cs="Arial" w:eastAsia="Arial" w:hAnsi="Arial"/>
          <w:sz w:val="22"/>
          <w:szCs w:val="22"/>
          <w:color w:val="auto"/>
        </w:rPr>
      </w:pPr>
    </w:p>
    <w:p>
      <w:pPr>
        <w:jc w:val="both"/>
        <w:ind w:firstLine="1305"/>
        <w:spacing w:after="0" w:line="271" w:lineRule="auto"/>
        <w:tabs>
          <w:tab w:leader="none" w:pos="2197" w:val="left"/>
        </w:tabs>
        <w:numPr>
          <w:ilvl w:val="0"/>
          <w:numId w:val="72"/>
        </w:numPr>
        <w:rPr>
          <w:rFonts w:ascii="Arial" w:cs="Arial" w:eastAsia="Arial" w:hAnsi="Arial"/>
          <w:sz w:val="21"/>
          <w:szCs w:val="21"/>
          <w:color w:val="auto"/>
        </w:rPr>
      </w:pPr>
      <w:r>
        <w:rPr>
          <w:rFonts w:ascii="Arial" w:cs="Arial" w:eastAsia="Arial" w:hAnsi="Arial"/>
          <w:sz w:val="21"/>
          <w:szCs w:val="21"/>
          <w:color w:val="auto"/>
        </w:rPr>
        <w:t>A Party may amend the claims that are the subject of an arbitration under this agreement to arbitrate, the defenses to such claims, and any counterclaims or cross-claims asserted in response to such claims, by leave of the arbitrators, which shall be freely given when justice so requires in accordance with the applicable rules.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97" w:name="page98"/>
    <w:bookmarkEnd w:id="97"/>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ind w:firstLine="1305"/>
        <w:spacing w:after="0" w:line="287" w:lineRule="auto"/>
        <w:tabs>
          <w:tab w:leader="none" w:pos="2197" w:val="left"/>
        </w:tabs>
        <w:numPr>
          <w:ilvl w:val="0"/>
          <w:numId w:val="73"/>
        </w:numPr>
        <w:rPr>
          <w:rFonts w:ascii="Arial" w:cs="Arial" w:eastAsia="Arial" w:hAnsi="Arial"/>
          <w:sz w:val="21"/>
          <w:szCs w:val="21"/>
          <w:color w:val="auto"/>
        </w:rPr>
      </w:pPr>
      <w:r>
        <w:rPr>
          <w:rFonts w:ascii="Arial" w:cs="Arial" w:eastAsia="Arial" w:hAnsi="Arial"/>
          <w:sz w:val="21"/>
          <w:szCs w:val="21"/>
          <w:color w:val="auto"/>
        </w:rPr>
        <w:t>All decisions of the arbitral tribunal shall be made by majority vote. The award of the arbitral tribunal shall be final and binding, subject only to grounds and procedures for vacating or modifying the award under Law.</w:t>
      </w:r>
    </w:p>
    <w:p>
      <w:pPr>
        <w:spacing w:after="0" w:line="192" w:lineRule="exact"/>
        <w:rPr>
          <w:rFonts w:ascii="Arial" w:cs="Arial" w:eastAsia="Arial" w:hAnsi="Arial"/>
          <w:sz w:val="21"/>
          <w:szCs w:val="21"/>
          <w:color w:val="auto"/>
        </w:rPr>
      </w:pPr>
    </w:p>
    <w:p>
      <w:pPr>
        <w:jc w:val="both"/>
        <w:ind w:firstLine="1305"/>
        <w:spacing w:after="0" w:line="297" w:lineRule="auto"/>
        <w:tabs>
          <w:tab w:leader="none" w:pos="2149"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The arbitration hearing on the merits shall begin no later than sixty (60) days after the appointment of the arbitrators is completed, and the award shall be rendered no later than thirty (30) days after the hearing on the merits is concluded;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arbitrators shall have the discretion, on their own initiative or on application of a Party or Parties, to</w:t>
      </w:r>
      <w:r>
        <w:rPr>
          <w:rFonts w:ascii="Arial" w:cs="Arial" w:eastAsia="Arial" w:hAnsi="Arial"/>
          <w:sz w:val="19"/>
          <w:szCs w:val="19"/>
          <w:i w:val="1"/>
          <w:iCs w:val="1"/>
          <w:color w:val="auto"/>
        </w:rPr>
        <w:t xml:space="preserve"> </w:t>
      </w:r>
      <w:r>
        <w:rPr>
          <w:rFonts w:ascii="Arial" w:cs="Arial" w:eastAsia="Arial" w:hAnsi="Arial"/>
          <w:sz w:val="19"/>
          <w:szCs w:val="19"/>
          <w:color w:val="auto"/>
        </w:rPr>
        <w:t>extend those time periods for good cause, as necessary and appropriate to permit a fair presentation of the claims and defenses and to provide sufficient time to the arbitrators to issue an award that addresses the merits of those claims and defenses.</w:t>
      </w:r>
    </w:p>
    <w:p>
      <w:pPr>
        <w:spacing w:after="0" w:line="187" w:lineRule="exact"/>
        <w:rPr>
          <w:rFonts w:ascii="Arial" w:cs="Arial" w:eastAsia="Arial" w:hAnsi="Arial"/>
          <w:sz w:val="19"/>
          <w:szCs w:val="19"/>
          <w:color w:val="auto"/>
        </w:rPr>
      </w:pPr>
    </w:p>
    <w:p>
      <w:pPr>
        <w:ind w:firstLine="1305"/>
        <w:spacing w:after="0" w:line="263" w:lineRule="auto"/>
        <w:tabs>
          <w:tab w:leader="none" w:pos="214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arbitral tribunal may award costs, reasonable attorneys’ fees, and expert witness fees to the prevailing party or parties as it deems appropriate in its discretion.</w:t>
      </w:r>
    </w:p>
    <w:p>
      <w:pPr>
        <w:spacing w:after="0" w:line="215" w:lineRule="exact"/>
        <w:rPr>
          <w:rFonts w:ascii="Arial" w:cs="Arial" w:eastAsia="Arial" w:hAnsi="Arial"/>
          <w:sz w:val="22"/>
          <w:szCs w:val="22"/>
          <w:color w:val="auto"/>
        </w:rPr>
      </w:pPr>
    </w:p>
    <w:p>
      <w:pPr>
        <w:ind w:firstLine="1305"/>
        <w:spacing w:after="0" w:line="343" w:lineRule="auto"/>
        <w:tabs>
          <w:tab w:leader="none" w:pos="2197"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arbitrators may not award special, exemplary, punitive, consequential or indirect damages (including loss of, damage to or delay in profit, revenue or production) to the extent those damages are waived in this Agreement.</w:t>
      </w:r>
    </w:p>
    <w:p>
      <w:pPr>
        <w:spacing w:after="0" w:line="145" w:lineRule="exact"/>
        <w:rPr>
          <w:rFonts w:ascii="Arial" w:cs="Arial" w:eastAsia="Arial" w:hAnsi="Arial"/>
          <w:sz w:val="19"/>
          <w:szCs w:val="19"/>
          <w:color w:val="auto"/>
        </w:rPr>
      </w:pPr>
    </w:p>
    <w:p>
      <w:pPr>
        <w:jc w:val="both"/>
        <w:ind w:firstLine="1305"/>
        <w:spacing w:after="0" w:line="246" w:lineRule="auto"/>
        <w:tabs>
          <w:tab w:leader="none" w:pos="2149"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All negotiations, mediation, and arbitration relating to a Dispute (including a settlement resulting from negotiation or mediation, an arbitral award, documents exchanged or produced during a mediation or arbitration proceeding, and memorials, briefs or other documents prepared for the arbitration) are confidential and may not be disclosed by the Parties, their respective Affiliates or their respective employees, officers, directors, counsel, consultants, and expert witnesses, except to the extent necessary to enforce any settlement agreement or arbitration award, to cause distributions under the Escrow Agreement, to enforce other rights of a Party, as required by Law or regulation, or for a bona fide business purpose, such as disclosure to accountants, shareholders, or third-party purchasers; </w:t>
      </w:r>
      <w:r>
        <w:rPr>
          <w:rFonts w:ascii="Arial" w:cs="Arial" w:eastAsia="Arial" w:hAnsi="Arial"/>
          <w:sz w:val="22"/>
          <w:szCs w:val="22"/>
          <w:i w:val="1"/>
          <w:iCs w:val="1"/>
          <w:color w:val="auto"/>
        </w:rPr>
        <w:t>provided, however</w:t>
      </w:r>
      <w:r>
        <w:rPr>
          <w:rFonts w:ascii="Arial" w:cs="Arial" w:eastAsia="Arial" w:hAnsi="Arial"/>
          <w:sz w:val="22"/>
          <w:szCs w:val="22"/>
          <w:color w:val="auto"/>
        </w:rPr>
        <w:t>, that breach of this confidentiality provision shall not void any settlement or award.</w:t>
      </w:r>
    </w:p>
    <w:p>
      <w:pPr>
        <w:spacing w:after="0" w:line="235" w:lineRule="exact"/>
        <w:rPr>
          <w:rFonts w:ascii="Arial" w:cs="Arial" w:eastAsia="Arial" w:hAnsi="Arial"/>
          <w:sz w:val="22"/>
          <w:szCs w:val="22"/>
          <w:color w:val="auto"/>
        </w:rPr>
      </w:pPr>
    </w:p>
    <w:p>
      <w:pPr>
        <w:jc w:val="both"/>
        <w:ind w:firstLine="1305"/>
        <w:spacing w:after="0" w:line="253" w:lineRule="auto"/>
        <w:tabs>
          <w:tab w:leader="none" w:pos="2257"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papers, notices, or process necessary or proper for an arbitration hereunder, or any court action in connection with an arbitration or an award, may be served on a Party in the manner set forth elsewhere in this Agreement for the giving of notices.</w:t>
      </w:r>
    </w:p>
    <w:p>
      <w:pPr>
        <w:spacing w:after="0" w:line="226" w:lineRule="exact"/>
        <w:rPr>
          <w:rFonts w:ascii="Arial" w:cs="Arial" w:eastAsia="Arial" w:hAnsi="Arial"/>
          <w:sz w:val="22"/>
          <w:szCs w:val="22"/>
          <w:color w:val="auto"/>
        </w:rPr>
      </w:pPr>
    </w:p>
    <w:p>
      <w:pPr>
        <w:jc w:val="both"/>
        <w:ind w:firstLine="1305"/>
        <w:spacing w:after="0" w:line="297" w:lineRule="auto"/>
        <w:tabs>
          <w:tab w:leader="none" w:pos="2197" w:val="left"/>
        </w:tabs>
        <w:numPr>
          <w:ilvl w:val="0"/>
          <w:numId w:val="73"/>
        </w:numPr>
        <w:rPr>
          <w:rFonts w:ascii="Arial" w:cs="Arial" w:eastAsia="Arial" w:hAnsi="Arial"/>
          <w:sz w:val="19"/>
          <w:szCs w:val="19"/>
          <w:color w:val="auto"/>
        </w:rPr>
      </w:pPr>
      <w:r>
        <w:rPr>
          <w:rFonts w:ascii="Arial" w:cs="Arial" w:eastAsia="Arial" w:hAnsi="Arial"/>
          <w:sz w:val="19"/>
          <w:szCs w:val="19"/>
          <w:color w:val="auto"/>
        </w:rPr>
        <w:t>Any arbitration award may be recognized and enforced, and judgment on the award may be entered, by any court of competent jurisdiction. The Parties and their Affiliates agree to jointly request that any application for recognition or enforcement of an award be decided by the court on an expedited basis. All Parties and their Affiliates waive their right to appeal any court order confirming, recognizing, or enforcing an award to the maximum extent permitted by law. The Parties and their Affiliates do not waive any rights they may have to appeal a court order refusing to confirm, recognize, or enforce an award.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DEFAULT AND REMEDIES</w:t>
      </w:r>
    </w:p>
    <w:p>
      <w:pPr>
        <w:spacing w:after="0" w:line="4" w:lineRule="exact"/>
        <w:rPr>
          <w:sz w:val="20"/>
          <w:szCs w:val="20"/>
          <w:color w:val="auto"/>
        </w:rPr>
      </w:pPr>
    </w:p>
    <w:p>
      <w:pPr>
        <w:ind w:firstLine="648"/>
        <w:spacing w:after="0" w:line="259" w:lineRule="auto"/>
        <w:rPr>
          <w:sz w:val="20"/>
          <w:szCs w:val="20"/>
          <w:color w:val="auto"/>
        </w:rPr>
      </w:pPr>
      <w:r>
        <w:rPr>
          <w:rFonts w:ascii="Arial" w:cs="Arial" w:eastAsia="Arial" w:hAnsi="Arial"/>
          <w:sz w:val="22"/>
          <w:szCs w:val="22"/>
          <w:b w:val="1"/>
          <w:bCs w:val="1"/>
          <w:i w:val="1"/>
          <w:iCs w:val="1"/>
          <w:color w:val="auto"/>
        </w:rPr>
        <w:t xml:space="preserve">14.1 Right of Termination. </w:t>
      </w:r>
      <w:r>
        <w:rPr>
          <w:rFonts w:ascii="Arial" w:cs="Arial" w:eastAsia="Arial" w:hAnsi="Arial"/>
          <w:sz w:val="22"/>
          <w:szCs w:val="22"/>
          <w:color w:val="auto"/>
        </w:rPr>
        <w:t>This Agreement and the transactions contemplated herein may be terminated at any time prior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Closing:</w:t>
      </w:r>
    </w:p>
    <w:p>
      <w:pPr>
        <w:spacing w:after="0" w:line="219" w:lineRule="exact"/>
        <w:rPr>
          <w:sz w:val="20"/>
          <w:szCs w:val="20"/>
          <w:color w:val="auto"/>
        </w:rPr>
      </w:pPr>
    </w:p>
    <w:p>
      <w:pPr>
        <w:jc w:val="both"/>
        <w:ind w:firstLine="1305"/>
        <w:spacing w:after="0" w:line="250" w:lineRule="auto"/>
        <w:tabs>
          <w:tab w:leader="none" w:pos="1835"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by Sellers, at Sellers’ option, if any of the conditions set forth in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have not been satisfied on or before the Closing Date and, following written notice thereof from Sellers to Buyer specifying the reason such condition is unsatisfied (including any breach by Buyer of this Agreement), such condition remains unsatisfied for a period of ten Business Days after Buyer’s receipt of written notice thereof from Seller;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jc w:val="both"/>
        <w:ind w:firstLine="1305"/>
        <w:spacing w:after="0" w:line="250" w:lineRule="auto"/>
        <w:tabs>
          <w:tab w:leader="none" w:pos="1765"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by Buyer, at Buyer’s option, if any of the conditions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have not been satisfied on or before the Closing Date and, following written notice thereof from Buyer to Sellers specifying the reason such condition is unsatisfied (including any breach by Sellers of this Agreement), such condition remains unsatisfied for a period of ten Business Days after Sellers’ receipt of written notice thereof from Buyer;</w:t>
      </w:r>
    </w:p>
    <w:p>
      <w:pPr>
        <w:spacing w:after="0" w:line="228" w:lineRule="exact"/>
        <w:rPr>
          <w:rFonts w:ascii="Arial" w:cs="Arial" w:eastAsia="Arial" w:hAnsi="Arial"/>
          <w:sz w:val="22"/>
          <w:szCs w:val="22"/>
          <w:color w:val="auto"/>
        </w:rPr>
      </w:pPr>
    </w:p>
    <w:p>
      <w:pPr>
        <w:ind w:firstLine="1305"/>
        <w:spacing w:after="0" w:line="263" w:lineRule="auto"/>
        <w:tabs>
          <w:tab w:leader="none" w:pos="18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by Buyer if the condition set forth in </w:t>
      </w:r>
      <w:r>
        <w:rPr>
          <w:rFonts w:ascii="Arial" w:cs="Arial" w:eastAsia="Arial" w:hAnsi="Arial"/>
          <w:sz w:val="22"/>
          <w:szCs w:val="22"/>
          <w:u w:val="single" w:color="auto"/>
          <w:color w:val="auto"/>
        </w:rPr>
        <w:t>Section 7.4</w:t>
      </w:r>
      <w:r>
        <w:rPr>
          <w:rFonts w:ascii="Arial" w:cs="Arial" w:eastAsia="Arial" w:hAnsi="Arial"/>
          <w:sz w:val="22"/>
          <w:szCs w:val="22"/>
          <w:color w:val="auto"/>
        </w:rPr>
        <w:t xml:space="preserve"> has not been satisfied on or before the Closing Date or by Sellers if the condition set forth in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is not satisfied on or before the Closing Date; or</w:t>
      </w:r>
    </w:p>
    <w:p>
      <w:pPr>
        <w:spacing w:after="0" w:line="215" w:lineRule="exact"/>
        <w:rPr>
          <w:rFonts w:ascii="Arial" w:cs="Arial" w:eastAsia="Arial" w:hAnsi="Arial"/>
          <w:sz w:val="22"/>
          <w:szCs w:val="22"/>
          <w:color w:val="auto"/>
        </w:rPr>
      </w:pPr>
    </w:p>
    <w:p>
      <w:pPr>
        <w:ind w:left="1780" w:hanging="475"/>
        <w:spacing w:after="0"/>
        <w:tabs>
          <w:tab w:leader="none" w:pos="17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by Sellers or Buyer if Closing shall not have occurred on or before March 31, 2014;</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provided, however, that no Party shall have the right to terminate this Agreement pursuant to clause (a), (b) or (d) above if such Party or its Affiliates are at such time in material breach of any provision of this Agreement.</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i w:val="1"/>
          <w:iCs w:val="1"/>
          <w:color w:val="auto"/>
        </w:rPr>
        <w:t xml:space="preserve">14.2 Effect of Termination. </w:t>
      </w:r>
      <w:r>
        <w:rPr>
          <w:rFonts w:ascii="Arial" w:cs="Arial" w:eastAsia="Arial" w:hAnsi="Arial"/>
          <w:sz w:val="19"/>
          <w:szCs w:val="19"/>
          <w:color w:val="auto"/>
        </w:rPr>
        <w:t>If the obligation to close the transactions contemplated by this Agreement is terminated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pursuant to any provision of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then, except as provided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and except for the provisions of </w:t>
      </w:r>
      <w:r>
        <w:rPr>
          <w:rFonts w:ascii="Arial" w:cs="Arial" w:eastAsia="Arial" w:hAnsi="Arial"/>
          <w:sz w:val="19"/>
          <w:szCs w:val="19"/>
          <w:u w:val="single" w:color="auto"/>
          <w:color w:val="auto"/>
        </w:rPr>
        <w:t>Section 10.1(c)</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Section 10.1(f)</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13.11</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XV</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15.2(b)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15.7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15.8</w:t>
      </w:r>
      <w:r>
        <w:rPr>
          <w:rFonts w:ascii="Arial" w:cs="Arial" w:eastAsia="Arial" w:hAnsi="Arial"/>
          <w:sz w:val="19"/>
          <w:szCs w:val="19"/>
          <w:color w:val="auto"/>
        </w:rPr>
        <w:t xml:space="preserve">) and such of the defined terms set forth in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to give context to such Sections, this Agreement shall forthwith become void, and the Parties shall have no liability or obligation hereunder except and to the extent such termination results from the material breach by a Party of any of its covenants or agreements hereunder, in which case the other Party shall have the right to seek all remedies available at law, and with respect to instructions to the Escrow Agent by Sellers and Buyer required under this Agreement or Buyer’s obligations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specific performance or other equitable remedies for such material breach. The provision for retention of the Deposit in this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has been included because, in the event of a termination of this Agreement permitting Sellers to retain the Deposit, the actual damages which would be suffered by Sellers would be difficult if not impossible to measure accurately as of the date of this Agreement.</w:t>
      </w:r>
    </w:p>
    <w:p>
      <w:pPr>
        <w:spacing w:after="0" w:line="158"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b w:val="1"/>
          <w:bCs w:val="1"/>
          <w:i w:val="1"/>
          <w:iCs w:val="1"/>
          <w:color w:val="auto"/>
        </w:rPr>
        <w:t xml:space="preserve">14.3 Return of Documentation and Confidentiality. </w:t>
      </w:r>
      <w:r>
        <w:rPr>
          <w:rFonts w:ascii="Arial" w:cs="Arial" w:eastAsia="Arial" w:hAnsi="Arial"/>
          <w:sz w:val="19"/>
          <w:szCs w:val="19"/>
          <w:color w:val="auto"/>
        </w:rPr>
        <w:t>Upon termination of this Agreement, Buyer shall return to Sellers 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title, engineering, geological and geophysical data, environmental assessments and reports, maps and other information furnished by Sellers to Buyer or prepared by or on behalf of Buyer in connection with its due diligence investigation of the Assets, in each case in accordance with the Confidentiality Agreement, and an officer of Buyer shall certify same to Sellers in writing.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42"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b w:val="1"/>
          <w:bCs w:val="1"/>
          <w:i w:val="1"/>
          <w:iCs w:val="1"/>
          <w:color w:val="auto"/>
        </w:rPr>
        <w:t xml:space="preserve">15.1 Appendices, Exhibits and Schedules. </w:t>
      </w:r>
      <w:r>
        <w:rPr>
          <w:rFonts w:ascii="Arial" w:cs="Arial" w:eastAsia="Arial" w:hAnsi="Arial"/>
          <w:sz w:val="19"/>
          <w:szCs w:val="19"/>
          <w:color w:val="auto"/>
        </w:rPr>
        <w:t>All of the Annexes, Exhibits and Schedules referred to in this Agreement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hereby incorporated into this Agreement by reference and constitute a part of this Agreement. Each Party to this Agreement and its counsel has received a complete set of Annexes, Exhibits and Schedules prior to and as of the execution of this Agreement.</w:t>
      </w:r>
    </w:p>
    <w:p>
      <w:pPr>
        <w:spacing w:after="0" w:line="16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i w:val="1"/>
          <w:iCs w:val="1"/>
          <w:color w:val="auto"/>
        </w:rPr>
        <w:t>15.2</w:t>
      </w:r>
      <w:r>
        <w:rPr>
          <w:sz w:val="20"/>
          <w:szCs w:val="20"/>
          <w:color w:val="auto"/>
        </w:rPr>
        <w:tab/>
      </w:r>
      <w:r>
        <w:rPr>
          <w:rFonts w:ascii="Arial" w:cs="Arial" w:eastAsia="Arial" w:hAnsi="Arial"/>
          <w:sz w:val="18"/>
          <w:szCs w:val="18"/>
          <w:b w:val="1"/>
          <w:bCs w:val="1"/>
          <w:i w:val="1"/>
          <w:iCs w:val="1"/>
          <w:color w:val="auto"/>
        </w:rPr>
        <w:t>Expenses and Taxes.</w:t>
      </w:r>
    </w:p>
    <w:p>
      <w:pPr>
        <w:spacing w:after="0" w:line="22" w:lineRule="exact"/>
        <w:rPr>
          <w:sz w:val="20"/>
          <w:szCs w:val="20"/>
          <w:color w:val="auto"/>
        </w:rPr>
      </w:pPr>
    </w:p>
    <w:p>
      <w:pPr>
        <w:jc w:val="both"/>
        <w:ind w:firstLine="1305"/>
        <w:spacing w:after="0" w:line="247" w:lineRule="auto"/>
        <w:tabs>
          <w:tab w:leader="none" w:pos="1934" w:val="left"/>
        </w:tabs>
        <w:numPr>
          <w:ilvl w:val="0"/>
          <w:numId w:val="76"/>
        </w:numPr>
        <w:rPr>
          <w:rFonts w:ascii="Arial" w:cs="Arial" w:eastAsia="Arial" w:hAnsi="Arial"/>
          <w:sz w:val="22"/>
          <w:szCs w:val="22"/>
          <w:color w:val="auto"/>
        </w:rPr>
      </w:pPr>
      <w:r>
        <w:rPr>
          <w:rFonts w:ascii="Arial" w:cs="Arial" w:eastAsia="Arial" w:hAnsi="Arial"/>
          <w:sz w:val="22"/>
          <w:szCs w:val="22"/>
          <w:color w:val="auto"/>
        </w:rPr>
        <w:t>Except as otherwise specifically provided, all fees, costs and expenses incurred by Buyer or Sellers in negotiating this Agreement or in consummating the transactions contemplated by this Agreement shall be paid by the Party incurring the same, including, legal and accounting fees, costs and expenses.</w:t>
      </w:r>
    </w:p>
    <w:p>
      <w:pPr>
        <w:spacing w:after="0" w:line="2" w:lineRule="exact"/>
        <w:rPr>
          <w:rFonts w:ascii="Arial" w:cs="Arial" w:eastAsia="Arial" w:hAnsi="Arial"/>
          <w:sz w:val="22"/>
          <w:szCs w:val="22"/>
          <w:color w:val="auto"/>
        </w:rPr>
      </w:pPr>
    </w:p>
    <w:p>
      <w:pPr>
        <w:ind w:right="20" w:firstLine="1305"/>
        <w:spacing w:after="0" w:line="246" w:lineRule="auto"/>
        <w:tabs>
          <w:tab w:leader="none" w:pos="1912" w:val="left"/>
        </w:tabs>
        <w:numPr>
          <w:ilvl w:val="0"/>
          <w:numId w:val="76"/>
        </w:numPr>
        <w:rPr>
          <w:rFonts w:ascii="Arial" w:cs="Arial" w:eastAsia="Arial" w:hAnsi="Arial"/>
          <w:sz w:val="22"/>
          <w:szCs w:val="22"/>
          <w:color w:val="auto"/>
        </w:rPr>
      </w:pPr>
      <w:r>
        <w:rPr>
          <w:rFonts w:ascii="Arial" w:cs="Arial" w:eastAsia="Arial" w:hAnsi="Arial"/>
          <w:sz w:val="22"/>
          <w:szCs w:val="22"/>
          <w:color w:val="auto"/>
        </w:rPr>
        <w:t>Seller shall be allocated and bear all Asset Taxes attributable to (A) any Tax period ending prior to the Effective Time and (B) the portion of any Straddle Period ending immediately prior 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99" w:name="page100"/>
    <w:bookmarkEnd w:id="99"/>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date on which the Effective Time occurs. Buyer shall be allocated and bear all Asset Taxes attributable to (A) any Tax period or portion thereof beginning on or after the Effective Time and (B) the portion of any Straddle Period beginning on the date on which the Effective Time occurs.</w:t>
      </w:r>
    </w:p>
    <w:p>
      <w:pPr>
        <w:spacing w:after="0" w:line="226" w:lineRule="exact"/>
        <w:rPr>
          <w:sz w:val="20"/>
          <w:szCs w:val="20"/>
          <w:color w:val="auto"/>
        </w:rPr>
      </w:pPr>
    </w:p>
    <w:p>
      <w:pPr>
        <w:jc w:val="both"/>
        <w:ind w:firstLine="1305"/>
        <w:spacing w:after="0" w:line="287" w:lineRule="auto"/>
        <w:tabs>
          <w:tab w:leader="none" w:pos="1761"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For purposes of determining the allocations described in </w:t>
      </w:r>
      <w:r>
        <w:rPr>
          <w:rFonts w:ascii="Arial" w:cs="Arial" w:eastAsia="Arial" w:hAnsi="Arial"/>
          <w:sz w:val="19"/>
          <w:szCs w:val="19"/>
          <w:u w:val="single" w:color="auto"/>
          <w:color w:val="auto"/>
        </w:rPr>
        <w:t>Section 15.2(b)</w:t>
      </w:r>
      <w:r>
        <w:rPr>
          <w:rFonts w:ascii="Arial" w:cs="Arial" w:eastAsia="Arial" w:hAnsi="Arial"/>
          <w:sz w:val="19"/>
          <w:szCs w:val="19"/>
          <w:color w:val="auto"/>
        </w:rPr>
        <w:t>, (i) Asset Taxes that are attributable to the severance or production of Hydrocarbons shall be allocated to the period in which the severance or production giving rise to such Asset Taxes occurred, (ii) Asset Taxes that are based upon or related to income or receipts or imposed on a transactional basis (other than such Asset Taxes described in clause (i)), shall be allocated to the period in which the transaction giving rise to such Asset Taxes occurred, and (iii) Asset Taxes that are ad valorem, property or other Asset Taxes imposed on a periodic basis pertaining to a Straddle Period shall be allocated between the portion of such Straddle Period ending immediately prior to the date on which the Effective Time occurs and the portion of such Straddle Period beginning on the date on which the Effective Time occurs by prorating each such Asset Tax based on the number of days in the applicable Straddle Period that occur before the date on which the Effective Time occurs, on the one hand, and the number of days in such Straddle Period that occur on or after the date on which the Effective Time occurs, on the other hand. For purposes of clause (iii) of the preceding sentence, the period for such Asset Taxes shall begin on the date on which ownership of the applicable Assets gives rise to liability for the particular Asset Tax and shall end on the day before the next such date.</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firstLine="1305"/>
        <w:spacing w:after="0" w:line="297" w:lineRule="auto"/>
        <w:tabs>
          <w:tab w:leader="none" w:pos="1890"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To the extent the actual amount of an Asset Tax is not determinable at the Closing or at the time of the determination of the Final Settlement Statement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as applicable, (i) the Parties shall utilize the most recent information available in estimating the amount of such Asset Tax for purposes of such adjustment, and (ii) upon the later determination of the actual amount of such Asset Tax, timely payments will be made from one Party to the other to the extent necessary to cause each Party to bear the amount of such Asset Tax that is allocable to such Party under this </w:t>
      </w:r>
      <w:r>
        <w:rPr>
          <w:rFonts w:ascii="Arial" w:cs="Arial" w:eastAsia="Arial" w:hAnsi="Arial"/>
          <w:sz w:val="19"/>
          <w:szCs w:val="19"/>
          <w:u w:val="single" w:color="auto"/>
          <w:color w:val="auto"/>
        </w:rPr>
        <w:t>Section 15.2</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jc w:val="both"/>
        <w:ind w:firstLine="1305"/>
        <w:spacing w:after="0" w:line="253" w:lineRule="auto"/>
        <w:tabs>
          <w:tab w:leader="none" w:pos="17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Buyer shall be responsible for payment to the applicable Taxing Authorities of all Asset Taxes that become due and payable on or after the Closing Date, and Buyer shall indemnify and hold Seller harmless for any failure to make such payments.</w:t>
      </w:r>
    </w:p>
    <w:p>
      <w:pPr>
        <w:spacing w:after="0" w:line="226" w:lineRule="exact"/>
        <w:rPr>
          <w:rFonts w:ascii="Arial" w:cs="Arial" w:eastAsia="Arial" w:hAnsi="Arial"/>
          <w:sz w:val="22"/>
          <w:szCs w:val="22"/>
          <w:color w:val="auto"/>
        </w:rPr>
      </w:pPr>
    </w:p>
    <w:p>
      <w:pPr>
        <w:jc w:val="both"/>
        <w:ind w:right="20" w:firstLine="1305"/>
        <w:spacing w:after="0" w:line="265" w:lineRule="auto"/>
        <w:tabs>
          <w:tab w:leader="none" w:pos="1727" w:val="left"/>
        </w:tabs>
        <w:numPr>
          <w:ilvl w:val="0"/>
          <w:numId w:val="77"/>
        </w:numPr>
        <w:rPr>
          <w:rFonts w:ascii="Arial" w:cs="Arial" w:eastAsia="Arial" w:hAnsi="Arial"/>
          <w:sz w:val="21"/>
          <w:szCs w:val="21"/>
          <w:color w:val="auto"/>
        </w:rPr>
      </w:pPr>
      <w:r>
        <w:rPr>
          <w:rFonts w:ascii="Arial" w:cs="Arial" w:eastAsia="Arial" w:hAnsi="Arial"/>
          <w:sz w:val="21"/>
          <w:szCs w:val="21"/>
          <w:color w:val="auto"/>
        </w:rPr>
        <w:t>All required documentary, filing and recording fees and expenses in connection with the filing and recording of the assignments, conveyances or other instruments required to convey title to the Assets to Buyer shall be borne by Buyer. Any and all sales, use, transfer, stamp, documentary, registration or similar Taxes incurred or imposed with respect to the transactions described in this Agreement (collectively, “</w:t>
      </w:r>
      <w:r>
        <w:rPr>
          <w:rFonts w:ascii="Arial" w:cs="Arial" w:eastAsia="Arial" w:hAnsi="Arial"/>
          <w:sz w:val="21"/>
          <w:szCs w:val="21"/>
          <w:b w:val="1"/>
          <w:bCs w:val="1"/>
          <w:i w:val="1"/>
          <w:iCs w:val="1"/>
          <w:color w:val="auto"/>
        </w:rPr>
        <w:t>Transfer Taxes</w:t>
      </w:r>
      <w:r>
        <w:rPr>
          <w:rFonts w:ascii="Arial" w:cs="Arial" w:eastAsia="Arial" w:hAnsi="Arial"/>
          <w:sz w:val="21"/>
          <w:szCs w:val="21"/>
          <w:color w:val="auto"/>
        </w:rPr>
        <w:t>”) shall be borne by Buyer.</w:t>
      </w:r>
    </w:p>
    <w:p>
      <w:pPr>
        <w:spacing w:after="0" w:line="21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(g)The Parties shall cooperate fully, as and to the extent reasonably requested by the other Party, in connection with the filing of tax returns and any audit, litigation, or other proceeding with respect to Taxes relating to the Assets. Such cooperation shall include the retention and (upon another Party’s request) the provision of records and information that are relevant to any such tax return or audit, litigation or other proceeding and making employees available on a mutually convenient basis to provide additional information and explanation of any material provided under this Agreement. The Parties agree to retain all books and records with respect to Tax matters pertinent to the Assets relating to any taxable period beginning before the Closing Date until the expiration of the statute of limitations of the respective Taxable periods and to abide by all record retention agreements entered into with any Governmental Authority.</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i w:val="1"/>
          <w:iCs w:val="1"/>
          <w:color w:val="auto"/>
        </w:rPr>
        <w:t xml:space="preserve">15.3 Assignment. </w:t>
      </w:r>
      <w:r>
        <w:rPr>
          <w:rFonts w:ascii="Arial" w:cs="Arial" w:eastAsia="Arial" w:hAnsi="Arial"/>
          <w:sz w:val="22"/>
          <w:szCs w:val="22"/>
          <w:color w:val="auto"/>
        </w:rPr>
        <w:t>Subject to</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15.18</w:t>
      </w:r>
      <w:r>
        <w:rPr>
          <w:rFonts w:ascii="Arial" w:cs="Arial" w:eastAsia="Arial" w:hAnsi="Arial"/>
          <w:sz w:val="22"/>
          <w:szCs w:val="22"/>
          <w:color w:val="auto"/>
        </w:rPr>
        <w:t>, this Agreement may not be assigned by any Seller or Buyer without prior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written consent of the other Party; provided, however, that after the Survival Period, any Seller may assign its rights under this Agreement to an Affiliate of EnerVest, Ltd. and Buyer may assign its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100" w:name="page101"/>
    <w:bookmarkEnd w:id="100"/>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rights under this Agreement to an Affiliate of Buyer, in each case, without prior written consent of the other Party. In the event the non-assigning Party consents to any such assignment or the assignment does not require consent pursuant to this </w:t>
      </w:r>
      <w:r>
        <w:rPr>
          <w:rFonts w:ascii="Arial" w:cs="Arial" w:eastAsia="Arial" w:hAnsi="Arial"/>
          <w:sz w:val="21"/>
          <w:szCs w:val="21"/>
          <w:u w:val="single" w:color="auto"/>
          <w:color w:val="auto"/>
        </w:rPr>
        <w:t>Section 15.3</w:t>
      </w:r>
      <w:r>
        <w:rPr>
          <w:rFonts w:ascii="Arial" w:cs="Arial" w:eastAsia="Arial" w:hAnsi="Arial"/>
          <w:sz w:val="21"/>
          <w:szCs w:val="21"/>
          <w:color w:val="auto"/>
        </w:rPr>
        <w:t>, such assignment shall not relieve the assigning Party of any obligations and responsibilities hereunder, including obligations and responsibilities arising following such assignment. Any assignment or other transfer by Buyer or its successors and assigns of any of the Assets shall not relieve Buyer or its successors or assigns of any of their obligations (including indemnity obligations) hereunder, as to the Assets so assigned or transferred.</w:t>
      </w:r>
    </w:p>
    <w:p>
      <w:pPr>
        <w:spacing w:after="0" w:line="2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i w:val="1"/>
          <w:iCs w:val="1"/>
          <w:color w:val="auto"/>
        </w:rPr>
        <w:t xml:space="preserve">15.4 Preparation of Agreement. </w:t>
      </w:r>
      <w:r>
        <w:rPr>
          <w:rFonts w:ascii="Arial" w:cs="Arial" w:eastAsia="Arial" w:hAnsi="Arial"/>
          <w:sz w:val="22"/>
          <w:szCs w:val="22"/>
          <w:color w:val="auto"/>
        </w:rPr>
        <w:t>Sellers and Buyer and their respective counsel participated in the preparation of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In the event of any ambiguity in this Agreement, no presumption shall arise based on the identity of the draftsman of this Agreement.</w:t>
      </w:r>
    </w:p>
    <w:p>
      <w:pPr>
        <w:spacing w:after="0" w:line="21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b w:val="1"/>
          <w:bCs w:val="1"/>
          <w:i w:val="1"/>
          <w:iCs w:val="1"/>
          <w:color w:val="auto"/>
        </w:rPr>
        <w:t xml:space="preserve">15.5 Publicity. </w:t>
      </w:r>
      <w:r>
        <w:rPr>
          <w:rFonts w:ascii="Arial" w:cs="Arial" w:eastAsia="Arial" w:hAnsi="Arial"/>
          <w:sz w:val="21"/>
          <w:szCs w:val="21"/>
          <w:color w:val="auto"/>
        </w:rPr>
        <w:t>Sellers and Buyer shall promptly consult with each other with regard to all press releases or other public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private announcements issued or made at or prior to Closing concerning this Agreement or the transactions contemplated herein, and, except as may be required by Laws or the applicable rules and regulations of any stock exchange, neither Buyer nor Sellers shall issue any such press release or other public or private announcement without the prior written consent of the other Party, which shall not be unreasonably withheld or delayed.</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i w:val="1"/>
          <w:iCs w:val="1"/>
          <w:color w:val="auto"/>
        </w:rPr>
        <w:t xml:space="preserve">15.6 Notices. </w:t>
      </w:r>
      <w:r>
        <w:rPr>
          <w:rFonts w:ascii="Arial" w:cs="Arial" w:eastAsia="Arial" w:hAnsi="Arial"/>
          <w:sz w:val="22"/>
          <w:szCs w:val="22"/>
          <w:color w:val="auto"/>
        </w:rPr>
        <w:t>All notices and communications required or permitted to be given hereunder shall be in writing and shall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delivered personally, or sent by overnight courier or mailed by United States Mail with all postage fully prepaid, or sent by electronic mail (“</w:t>
      </w:r>
      <w:r>
        <w:rPr>
          <w:rFonts w:ascii="Arial" w:cs="Arial" w:eastAsia="Arial" w:hAnsi="Arial"/>
          <w:sz w:val="22"/>
          <w:szCs w:val="22"/>
          <w:b w:val="1"/>
          <w:bCs w:val="1"/>
          <w:i w:val="1"/>
          <w:iCs w:val="1"/>
          <w:color w:val="auto"/>
        </w:rPr>
        <w:t>email</w:t>
      </w:r>
      <w:r>
        <w:rPr>
          <w:rFonts w:ascii="Arial" w:cs="Arial" w:eastAsia="Arial" w:hAnsi="Arial"/>
          <w:sz w:val="22"/>
          <w:szCs w:val="22"/>
          <w:color w:val="auto"/>
        </w:rPr>
        <w:t>”) transmission (provided that a receipt of such email is requested and received), addressed to the appropriate Party at the address for such Party shown below or at such other address as such Party shall have theretofore designated by written notice delivered to the Party giving such notice: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Sellers: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EnerVest, Ltd.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1001 Fannin, Suite 800</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Houston, TX 77002</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Mr. Phil DeLozier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(713) 659-3556</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pdelozier@enervest.net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 (which shall not constitute notice):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EnerVest, Ltd.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1001 Fannin, Suite 800</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Houston, TX 77002</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Ms. Fabené Welch</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(713) 659-3556</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101" w:name="page102"/>
    <w:bookmarkEnd w:id="101"/>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fwelch@enervest.net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Buyer: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QEP Energy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1050 17th Street, Suite 500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Denver, CO 80265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Mr. Austin Murr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(303) 573-0307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austin.murr@qepres.com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 (which shall not constitute notice):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QEP Energy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1050 17th Street, Suite 500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Denver, CO 80265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Mr. Christopher Woosley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(303) 294-9632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chris.woosley@qepres.com</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Any notice given in accordance herewith shall be deemed to have been given only when delivered to the addressee in person, or by courier, or transmitted by email transmission during normal business hours on a Business Day (or if delivered or transmitted after normal business hours on a Business Day or on a day other than a Business Day, then on the next Business Day), or upon actual receipt by the addressee during normal business hours on a Business Day after such notice has either been delivered to an overnight courier or deposited in the United States Mail, as the case may be (or if delivered after normal business hours on a Business Day or on a day other than a Business Day, then on the next Business Day). The Parties may change the address and the email address to which such communications are to be addressed by giving written notice to the other Parties in the manner provided in this </w:t>
      </w:r>
      <w:r>
        <w:rPr>
          <w:rFonts w:ascii="Arial" w:cs="Arial" w:eastAsia="Arial" w:hAnsi="Arial"/>
          <w:sz w:val="21"/>
          <w:szCs w:val="21"/>
          <w:u w:val="single" w:color="auto"/>
          <w:color w:val="auto"/>
        </w:rPr>
        <w:t>Section 15.6</w:t>
      </w:r>
      <w:r>
        <w:rPr>
          <w:rFonts w:ascii="Arial" w:cs="Arial" w:eastAsia="Arial" w:hAnsi="Arial"/>
          <w:sz w:val="21"/>
          <w:szCs w:val="21"/>
          <w:color w:val="auto"/>
        </w:rPr>
        <w: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i w:val="1"/>
          <w:iCs w:val="1"/>
          <w:color w:val="auto"/>
        </w:rPr>
        <w:t xml:space="preserve">15.7 Further Cooperation. </w:t>
      </w:r>
      <w:r>
        <w:rPr>
          <w:rFonts w:ascii="Arial" w:cs="Arial" w:eastAsia="Arial" w:hAnsi="Arial"/>
          <w:sz w:val="21"/>
          <w:szCs w:val="21"/>
          <w:color w:val="auto"/>
        </w:rPr>
        <w:t>After Closing, Buyer and Sellers shall execute and deliver, or shall cause to be executed and delivered,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from time to time such further instruments of conveyance and transfer, and shall take such other actions as any Party may reasonably request, to convey and deliver the Assets to Buyer, to perfect Buyer’s title thereto, and to accomplish the orderly transfer of the Assets to Buyer in the manner contemplated by this Agreement. During the term of the Transition Services Agreement, Sellers will use commercially reasonable efforts to assist Buyer with negotiation and finalization of a written gas gathering agreement between Buyer and Access Midstream Partners LLC.</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i w:val="1"/>
          <w:iCs w:val="1"/>
          <w:color w:val="auto"/>
        </w:rPr>
        <w:t xml:space="preserve">15.8 Filings, Notices and Certain Governmental Approvals. </w:t>
      </w:r>
      <w:r>
        <w:rPr>
          <w:rFonts w:ascii="Arial" w:cs="Arial" w:eastAsia="Arial" w:hAnsi="Arial"/>
          <w:sz w:val="21"/>
          <w:szCs w:val="21"/>
          <w:color w:val="auto"/>
        </w:rPr>
        <w:t>Promptly after Closing, Buyer shall (a) record all assignments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executed at Closing in the records of the applicable Governmental Authority, (b) if applicable, send notices to vendors supplying goods and services for the Assets and to the operator of such Assets of the assignment of such Assets to Buyer, (c) actively pursue the unconditional approval of all applicable Governmental Authorities of the assignment of the Assets to Buyer and (d) actively pursue all other consents and approvals that may be required in connection with the assignment of the Assets to Buyer and the assumption of the Liabilities assumed by Buyer hereunder, in each case, that shall not have been obtained prior to Closing. Buyer obligates itself to take any and all commercially reasonable action required by any Governmental Authority in order to obtain such unconditional approval, including the posting of any and all bonds or other security that may be required in excess of its existing lease, pipeline or area-wide bond.</w:t>
      </w:r>
    </w:p>
    <w:p>
      <w:pPr>
        <w:spacing w:after="0" w:line="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b w:val="1"/>
          <w:bCs w:val="1"/>
          <w:i w:val="1"/>
          <w:iCs w:val="1"/>
          <w:color w:val="auto"/>
        </w:rPr>
        <w:t xml:space="preserve">15.9 Entire Agreement; Conflicts. </w:t>
      </w:r>
      <w:r>
        <w:rPr>
          <w:rFonts w:ascii="Arial" w:cs="Arial" w:eastAsia="Arial" w:hAnsi="Arial"/>
          <w:sz w:val="22"/>
          <w:szCs w:val="22"/>
          <w:color w:val="auto"/>
        </w:rPr>
        <w:t>THIS AGREEMENT, THE ANNEXES, EXHIBITS AND SCHEDULES HERETO,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TRANSACTION DOCUMENTS AND THE CONFIDENTIALITY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102" w:name="page103"/>
    <w:bookmarkEnd w:id="102"/>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AGREEMENT COLLECTIVELY CONSTITUTE THE ENTIRE AGREEMENT BETWEEN THE PARTIES PERTAINING TO THE SUBJECT MATTER HEREOF AND SUPERSEDE ALL PRIOR AGREEMENTS, UNDERSTANDINGS, NEGOTIATIONS AND DISCUSSIONS, WHETHER ORAL OR WRITTEN, OF THE PARTIES PERTAINING TO THE SUBJECT MATTER HEREOF. THERE ARE NO WARRANTIES, REPRESENTATIONS OR OTHER AGREEMENTS BETWEEN THE PARTIES RELATING TO THE SUBJECT MATTER HEREOF EXCEPT AS SPECIFICALLY SET FORTH IN THIS AGREEMENT, AND NEITHER SELLERS NOR BUYER SHALL BE BOUND BY OR LIABLE FOR ANY ALLEGED REPRESENTATION, PROMISE, INDUCEMENT OR STATEMENTS OF INTENTION NOT SO SET FORTH. IN THE EVENT OF A CONFLICT BETWEEN THE TERMS AND PROVISIONS OF THIS AGREEMENT AND THE TERMS AND PROVISIONS OF ANY SCHEDULE OR EXHIBIT HERETO, THE TERMS AND PROVISIONS OF THIS AGREEMENT SHALL GOVERN AND CONTROL; PROVIDED, HOWEVER, THAT THE INCLUSION IN ANY OF THE SCHEDULES AND EXHIBITS HERETO OF TERMS AND PROVISIONS NOT ADDRESSED IN THIS AGREEMENT SHALL NOT BE DEEMED A CONFLICT, AND ALL SUCH ADDITIONAL PROVISIONS SHALL BE GIVEN FULL FORCE AND EFFECT, SUBJECT TO THE PROVISIONS OF THIS </w:t>
      </w:r>
      <w:r>
        <w:rPr>
          <w:rFonts w:ascii="Arial" w:cs="Arial" w:eastAsia="Arial" w:hAnsi="Arial"/>
          <w:sz w:val="21"/>
          <w:szCs w:val="21"/>
          <w:u w:val="single" w:color="auto"/>
          <w:color w:val="auto"/>
        </w:rPr>
        <w:t>SECTION 15.9</w:t>
      </w:r>
      <w:r>
        <w:rPr>
          <w:rFonts w:ascii="Arial" w:cs="Arial" w:eastAsia="Arial" w:hAnsi="Arial"/>
          <w:sz w:val="21"/>
          <w:szCs w:val="21"/>
          <w:color w:val="auto"/>
        </w:rPr>
        <w:t>.</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i w:val="1"/>
          <w:iCs w:val="1"/>
          <w:color w:val="auto"/>
        </w:rPr>
        <w:t xml:space="preserve">15.10 Parties in Interest. </w:t>
      </w:r>
      <w:r>
        <w:rPr>
          <w:rFonts w:ascii="Arial" w:cs="Arial" w:eastAsia="Arial" w:hAnsi="Arial"/>
          <w:sz w:val="21"/>
          <w:szCs w:val="21"/>
          <w:color w:val="auto"/>
        </w:rPr>
        <w:t>The terms and provisions of this Agreement shall be binding upon and inure to the benefit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Sellers and Buyer and their respective successors and permitted assigns. Notwithstanding anything contained in this Agreement to the contrary, nothing in this Agreement, expressed or implied, is intended to confer on any Person other than the Parties or their successors and permitted assigns, or the Parties’ respective related Indemnified Parties hereunder any rights, remedies, obligations or Liabilities under or by reason of this Agreement; provided that only a Party and its successors and assigns will have the right to enforce the provisions of this Agreement on its own behalf or on behalf of any of its related Indemnified Parties (but shall not be obligated to do so).</w:t>
      </w:r>
    </w:p>
    <w:p>
      <w:pPr>
        <w:spacing w:after="0" w:line="2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b w:val="1"/>
          <w:bCs w:val="1"/>
          <w:i w:val="1"/>
          <w:iCs w:val="1"/>
          <w:color w:val="auto"/>
        </w:rPr>
        <w:t xml:space="preserve">15.11 Amendment. </w:t>
      </w:r>
      <w:r>
        <w:rPr>
          <w:rFonts w:ascii="Arial" w:cs="Arial" w:eastAsia="Arial" w:hAnsi="Arial"/>
          <w:sz w:val="22"/>
          <w:szCs w:val="22"/>
          <w:color w:val="auto"/>
        </w:rPr>
        <w:t>This Agreement may be amended only by an instrument in writing executed by the Parties against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whom enforcement is sought.</w:t>
      </w:r>
    </w:p>
    <w:p>
      <w:pPr>
        <w:spacing w:after="0" w:line="2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i w:val="1"/>
          <w:iCs w:val="1"/>
          <w:color w:val="auto"/>
        </w:rPr>
        <w:t xml:space="preserve">15.12 Waiver; Rights Cumulative. </w:t>
      </w:r>
      <w:r>
        <w:rPr>
          <w:rFonts w:ascii="Arial" w:cs="Arial" w:eastAsia="Arial" w:hAnsi="Arial"/>
          <w:sz w:val="19"/>
          <w:szCs w:val="19"/>
          <w:color w:val="auto"/>
        </w:rPr>
        <w:t>Any of the terms, covenants, representations, warranties or conditions hereof may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waived only by a written instrument executed by or on behalf of the Party waiving compliance. No course of dealing on the part of Sellers or Buyer or their respective officers, employees, agents or representatives and no failure by Sellers or Buyer to exercise any of its rights under this Agreement shall, in each case, operate as a waiver thereof or affect in any way the right of such Party at a later time to enforce the performance of such provision. No waiver by any Party of any condition, or any breach of any term, covenant, representation or warranty contained in this Agreement, in any one or more instances, shall be deemed to be or construed as a further or continuing waiver of any such condition or breach or a waiver of any other condition or of any breach of any other term, covenant, representation or warranty. The rights of Sellers and Buyer under this Agreement shall be cumulative, and the exercise or partial exercise of any such right shall not preclude the exercise of any other right.</w:t>
      </w:r>
    </w:p>
    <w:p>
      <w:pPr>
        <w:spacing w:after="0" w:line="19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i w:val="1"/>
          <w:iCs w:val="1"/>
          <w:color w:val="auto"/>
        </w:rPr>
        <w:t>15.13</w:t>
      </w:r>
      <w:r>
        <w:rPr>
          <w:sz w:val="20"/>
          <w:szCs w:val="20"/>
          <w:color w:val="auto"/>
        </w:rPr>
        <w:tab/>
      </w:r>
      <w:r>
        <w:rPr>
          <w:rFonts w:ascii="Arial" w:cs="Arial" w:eastAsia="Arial" w:hAnsi="Arial"/>
          <w:sz w:val="19"/>
          <w:szCs w:val="19"/>
          <w:b w:val="1"/>
          <w:bCs w:val="1"/>
          <w:i w:val="1"/>
          <w:iCs w:val="1"/>
          <w:color w:val="auto"/>
        </w:rPr>
        <w:t>Governing Law; Jurisdiction.</w:t>
      </w:r>
    </w:p>
    <w:p>
      <w:pPr>
        <w:spacing w:after="0" w:line="274" w:lineRule="exact"/>
        <w:rPr>
          <w:sz w:val="20"/>
          <w:szCs w:val="20"/>
          <w:color w:val="auto"/>
        </w:rPr>
      </w:pPr>
    </w:p>
    <w:p>
      <w:pPr>
        <w:jc w:val="both"/>
        <w:ind w:firstLine="1305"/>
        <w:spacing w:after="0" w:line="247" w:lineRule="auto"/>
        <w:tabs>
          <w:tab w:leader="none" w:pos="1894"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This Agreement and any claim, controversy or dispute arising under or related to this Agreement or the transactions contemplated hereby or the rights, duties and relationship of the parties hereto and thereto, shall be governed by and construed and enforced in accordance with the Laws of the State of Texas, excluding any conflicts of law, rule or principle that might refer construction of provisions to the Laws of another jurisdiction.</w:t>
      </w:r>
    </w:p>
    <w:p>
      <w:pPr>
        <w:spacing w:after="0" w:line="2" w:lineRule="exact"/>
        <w:rPr>
          <w:rFonts w:ascii="Arial" w:cs="Arial" w:eastAsia="Arial" w:hAnsi="Arial"/>
          <w:sz w:val="22"/>
          <w:szCs w:val="22"/>
          <w:color w:val="auto"/>
        </w:rPr>
      </w:pPr>
    </w:p>
    <w:p>
      <w:pPr>
        <w:ind w:firstLine="1305"/>
        <w:spacing w:after="0" w:line="246" w:lineRule="auto"/>
        <w:tabs>
          <w:tab w:leader="none" w:pos="1927"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3.7</w:t>
      </w:r>
      <w:r>
        <w:rPr>
          <w:rFonts w:ascii="Arial" w:cs="Arial" w:eastAsia="Arial" w:hAnsi="Arial"/>
          <w:sz w:val="22"/>
          <w:szCs w:val="22"/>
          <w:color w:val="auto"/>
        </w:rPr>
        <w:t xml:space="preserve">, </w:t>
      </w:r>
      <w:r>
        <w:rPr>
          <w:rFonts w:ascii="Arial" w:cs="Arial" w:eastAsia="Arial" w:hAnsi="Arial"/>
          <w:sz w:val="22"/>
          <w:szCs w:val="22"/>
          <w:u w:val="single" w:color="auto"/>
          <w:color w:val="auto"/>
        </w:rPr>
        <w:t>11.2(j)</w:t>
      </w:r>
      <w:r>
        <w:rPr>
          <w:rFonts w:ascii="Arial" w:cs="Arial" w:eastAsia="Arial" w:hAnsi="Arial"/>
          <w:sz w:val="22"/>
          <w:szCs w:val="22"/>
          <w:color w:val="auto"/>
        </w:rPr>
        <w:t xml:space="preserve">, </w:t>
      </w:r>
      <w:r>
        <w:rPr>
          <w:rFonts w:ascii="Arial" w:cs="Arial" w:eastAsia="Arial" w:hAnsi="Arial"/>
          <w:sz w:val="22"/>
          <w:szCs w:val="22"/>
          <w:u w:val="single" w:color="auto"/>
          <w:color w:val="auto"/>
        </w:rPr>
        <w:t>12.1(e)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13.13</w:t>
      </w:r>
      <w:r>
        <w:rPr>
          <w:rFonts w:ascii="Arial" w:cs="Arial" w:eastAsia="Arial" w:hAnsi="Arial"/>
          <w:sz w:val="22"/>
          <w:szCs w:val="22"/>
          <w:color w:val="auto"/>
        </w:rPr>
        <w:t>, the Parties agree that the appropriate, exclusive and convenient forum for any disputes between any of the Parties arising out of this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103" w:name="page104"/>
    <w:bookmarkEnd w:id="103"/>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Transaction Documents or the transactions contemplated hereby shall be in any state or federal court in Houston, Texas and each of the Parties irrevocably submits to the jurisdiction of such courts solely in respect of any proceeding arising out of or related to this Agreement. The Parties further agree that the Parties shall not bring suit with respect to any disputes arising out of this Agreement, the Transaction Documents or the transactions contemplated hereby in any court or jurisdiction other than the above specified courts. The Parties further agree, to the extent permitted by Law, that a final and nonappealable judgment against a Party in any action or proceeding contemplated above shall be conclusive and may be enforced in any other jurisdiction within or outside the United States by suit on the judgment, a certified or exemplified copy of which shall be conclusive evidence of the fact and amount of such judgment.</w:t>
      </w:r>
    </w:p>
    <w:p>
      <w:pPr>
        <w:spacing w:after="0" w:line="225" w:lineRule="exact"/>
        <w:rPr>
          <w:sz w:val="20"/>
          <w:szCs w:val="20"/>
          <w:color w:val="auto"/>
        </w:rPr>
      </w:pPr>
    </w:p>
    <w:p>
      <w:pPr>
        <w:jc w:val="both"/>
        <w:ind w:firstLine="1305"/>
        <w:spacing w:after="0" w:line="286" w:lineRule="auto"/>
        <w:tabs>
          <w:tab w:leader="none" w:pos="1756" w:val="left"/>
        </w:tabs>
        <w:numPr>
          <w:ilvl w:val="1"/>
          <w:numId w:val="79"/>
        </w:numPr>
        <w:rPr>
          <w:rFonts w:ascii="Arial" w:cs="Arial" w:eastAsia="Arial" w:hAnsi="Arial"/>
          <w:sz w:val="19"/>
          <w:szCs w:val="19"/>
          <w:color w:val="auto"/>
        </w:rPr>
      </w:pPr>
      <w:r>
        <w:rPr>
          <w:rFonts w:ascii="Arial" w:cs="Arial" w:eastAsia="Arial" w:hAnsi="Arial"/>
          <w:sz w:val="19"/>
          <w:szCs w:val="19"/>
          <w:color w:val="auto"/>
        </w:rPr>
        <w:t>To the extent that any Party hereto or any of its Affiliates has acquired, or hereafter may acquire, any immunity from jurisdiction of any court or from any legal process (whether through service or notice, attachment prior to judgment, attachment in aid of execution, execution or otherwise) with respect to itself or its property, such Party (on its own behalf and on behalf of its Affiliates) hereby irrevocably (i) waives such immunity in respect of its obligations with respect to this Agreement and</w:t>
      </w:r>
    </w:p>
    <w:p>
      <w:pPr>
        <w:spacing w:after="0" w:line="2" w:lineRule="exact"/>
        <w:rPr>
          <w:rFonts w:ascii="Arial" w:cs="Arial" w:eastAsia="Arial" w:hAnsi="Arial"/>
          <w:sz w:val="19"/>
          <w:szCs w:val="19"/>
          <w:color w:val="auto"/>
        </w:rPr>
      </w:pPr>
    </w:p>
    <w:p>
      <w:pPr>
        <w:ind w:left="320" w:hanging="312"/>
        <w:spacing w:after="0"/>
        <w:tabs>
          <w:tab w:leader="none" w:pos="3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submits to the personal jurisdiction of any court described in </w:t>
      </w:r>
      <w:r>
        <w:rPr>
          <w:rFonts w:ascii="Arial" w:cs="Arial" w:eastAsia="Arial" w:hAnsi="Arial"/>
          <w:sz w:val="22"/>
          <w:szCs w:val="22"/>
          <w:u w:val="single" w:color="auto"/>
          <w:color w:val="auto"/>
        </w:rPr>
        <w:t>Section 15.13(b)</w:t>
      </w:r>
      <w:r>
        <w:rPr>
          <w:rFonts w:ascii="Arial" w:cs="Arial" w:eastAsia="Arial" w:hAnsi="Arial"/>
          <w:sz w:val="22"/>
          <w:szCs w:val="22"/>
          <w:color w:val="auto"/>
        </w:rPr>
        <w:t>.</w:t>
      </w:r>
    </w:p>
    <w:p>
      <w:pPr>
        <w:spacing w:after="0" w:line="242" w:lineRule="exact"/>
        <w:rPr>
          <w:rFonts w:ascii="Arial" w:cs="Arial" w:eastAsia="Arial" w:hAnsi="Arial"/>
          <w:sz w:val="22"/>
          <w:szCs w:val="22"/>
          <w:color w:val="auto"/>
        </w:rPr>
      </w:pPr>
    </w:p>
    <w:p>
      <w:pPr>
        <w:jc w:val="both"/>
        <w:ind w:firstLine="1305"/>
        <w:spacing w:after="0" w:line="250" w:lineRule="auto"/>
        <w:tabs>
          <w:tab w:leader="none" w:pos="1802"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PARTIES AGREE THAT THEY HEREBY KNOWINGLY, VOLUNTARILY AND INTENTIONALLY IRREVOCABLY WAIVE THE RIGHT TO TRIAL BY JURY IN ANY ACTION BASED HEREON, OR ARISING OUT OF, UNDER, OR IN CONNECTION WITH THIS AGREEMENT, THE TRANSACTION DOCUMENTS OR THE TRANSACTIONS CONTEMPLATED HEREBY OR THEREBY.</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 xml:space="preserve">15.14 Severability. </w:t>
      </w:r>
      <w:r>
        <w:rPr>
          <w:rFonts w:ascii="Arial" w:cs="Arial" w:eastAsia="Arial" w:hAnsi="Arial"/>
          <w:sz w:val="19"/>
          <w:szCs w:val="19"/>
          <w:color w:val="auto"/>
        </w:rPr>
        <w:t>If any term or other provision of this Agreement is invalid, illegal or incapable of being enforced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rule of Law or public policy, all other conditions and provisions of this Agreement shall nevertheless remain in full force and effect so long as the economic or legal substance of the transactions contemplated hereby is not affected in any adverse manner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 xml:space="preserve">15.15 Removal of Name. </w:t>
      </w:r>
      <w:r>
        <w:rPr>
          <w:rFonts w:ascii="Arial" w:cs="Arial" w:eastAsia="Arial" w:hAnsi="Arial"/>
          <w:sz w:val="22"/>
          <w:szCs w:val="22"/>
          <w:color w:val="auto"/>
        </w:rPr>
        <w:t>As promptly as practicable, but in any case within 30 days after the Closing Date, Buyer shall eliminate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names “EnerVest Energy Institutional Fund XII-A, L.P.,” “EnerVest Energy Institutional Fund XII-WIB, L.P.,” “EnerVest Energy Institutional Fund XII-WIC, L.P.,” “EnerVest Holding, L.P.,” “EnerVest” and any variants thereof from the Assets and, except with respect to such grace period for eliminating existing usage, shall have no right to use any logos, trademarks or trade names belonging to Sellers or any of their Affiliates.</w:t>
      </w:r>
    </w:p>
    <w:p>
      <w:pPr>
        <w:spacing w:after="0" w:line="230" w:lineRule="exact"/>
        <w:rPr>
          <w:sz w:val="20"/>
          <w:szCs w:val="20"/>
          <w:color w:val="auto"/>
        </w:rPr>
      </w:pPr>
    </w:p>
    <w:p>
      <w:pPr>
        <w:jc w:val="both"/>
        <w:spacing w:after="0" w:line="320" w:lineRule="auto"/>
        <w:rPr>
          <w:sz w:val="20"/>
          <w:szCs w:val="20"/>
          <w:color w:val="auto"/>
        </w:rPr>
      </w:pPr>
      <w:r>
        <w:rPr>
          <w:rFonts w:ascii="Arial" w:cs="Arial" w:eastAsia="Arial" w:hAnsi="Arial"/>
          <w:sz w:val="19"/>
          <w:szCs w:val="19"/>
          <w:b w:val="1"/>
          <w:bCs w:val="1"/>
          <w:i w:val="1"/>
          <w:iCs w:val="1"/>
          <w:color w:val="auto"/>
        </w:rPr>
        <w:t xml:space="preserve">15.16 Counterparts. </w:t>
      </w:r>
      <w:r>
        <w:rPr>
          <w:rFonts w:ascii="Arial" w:cs="Arial" w:eastAsia="Arial" w:hAnsi="Arial"/>
          <w:sz w:val="19"/>
          <w:szCs w:val="19"/>
          <w:color w:val="auto"/>
        </w:rPr>
        <w:t>This Agreement may be executed in any number of counterparts, and each such counterpart hereof shall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deemed to be an original instrument, but all of such counterparts shall constitute for all purposes one agreement. Any signature hereto delivered by a Party by facsimile or other electronic transmission shall be deemed an original signature hereto.</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i w:val="1"/>
          <w:iCs w:val="1"/>
          <w:color w:val="auto"/>
        </w:rPr>
        <w:t>15.17</w:t>
      </w:r>
      <w:r>
        <w:rPr>
          <w:sz w:val="20"/>
          <w:szCs w:val="20"/>
          <w:color w:val="auto"/>
        </w:rPr>
        <w:tab/>
      </w:r>
      <w:r>
        <w:rPr>
          <w:rFonts w:ascii="Arial" w:cs="Arial" w:eastAsia="Arial" w:hAnsi="Arial"/>
          <w:sz w:val="19"/>
          <w:szCs w:val="19"/>
          <w:b w:val="1"/>
          <w:bCs w:val="1"/>
          <w:i w:val="1"/>
          <w:iCs w:val="1"/>
          <w:color w:val="auto"/>
        </w:rPr>
        <w:t xml:space="preserve">Seller Representative. </w:t>
      </w:r>
      <w:r>
        <w:rPr>
          <w:rFonts w:ascii="Arial" w:cs="Arial" w:eastAsia="Arial" w:hAnsi="Arial"/>
          <w:sz w:val="19"/>
          <w:szCs w:val="19"/>
          <w:color w:val="auto"/>
        </w:rPr>
        <w:t>Each Seller hereby constitutes and appoints EnerVest, Ltd. (the “</w:t>
      </w:r>
      <w:r>
        <w:rPr>
          <w:rFonts w:ascii="Arial" w:cs="Arial" w:eastAsia="Arial" w:hAnsi="Arial"/>
          <w:sz w:val="19"/>
          <w:szCs w:val="19"/>
          <w:b w:val="1"/>
          <w:bCs w:val="1"/>
          <w:i w:val="1"/>
          <w:iCs w:val="1"/>
          <w:color w:val="auto"/>
        </w:rPr>
        <w:t>Seller Representative</w:t>
      </w:r>
      <w:r>
        <w:rPr>
          <w:rFonts w:ascii="Arial" w:cs="Arial" w:eastAsia="Arial" w:hAnsi="Arial"/>
          <w:sz w:val="19"/>
          <w:szCs w:val="19"/>
          <w:color w:val="auto"/>
        </w:rPr>
        <w:t>”) as such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Seller’s true and lawful agent and attorney-in-fact, to act in the name and on behalf of such Seller as follows:</w:t>
      </w:r>
    </w:p>
    <w:p>
      <w:pPr>
        <w:spacing w:after="0" w:line="17" w:lineRule="exact"/>
        <w:rPr>
          <w:sz w:val="20"/>
          <w:szCs w:val="20"/>
          <w:color w:val="auto"/>
        </w:rPr>
      </w:pPr>
    </w:p>
    <w:p>
      <w:pPr>
        <w:jc w:val="both"/>
        <w:ind w:left="660" w:firstLine="1293"/>
        <w:spacing w:after="0" w:line="251" w:lineRule="auto"/>
        <w:tabs>
          <w:tab w:leader="none" w:pos="2775" w:val="left"/>
        </w:tabs>
        <w:numPr>
          <w:ilvl w:val="0"/>
          <w:numId w:val="81"/>
        </w:numPr>
        <w:rPr>
          <w:rFonts w:ascii="Arial" w:cs="Arial" w:eastAsia="Arial" w:hAnsi="Arial"/>
          <w:sz w:val="18"/>
          <w:szCs w:val="18"/>
          <w:color w:val="auto"/>
        </w:rPr>
      </w:pPr>
      <w:r>
        <w:rPr>
          <w:rFonts w:ascii="Arial" w:cs="Arial" w:eastAsia="Arial" w:hAnsi="Arial"/>
          <w:sz w:val="22"/>
          <w:szCs w:val="22"/>
          <w:color w:val="auto"/>
        </w:rPr>
        <w:t>to execute all documents, make all elections, and take all action on such Seller’s behalf with respect to this Agreement and the transactions contemplated hereby, including the negotiation and drafting of this Agreement and the documents to be delivered at Closing;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ind w:left="660" w:firstLine="1293"/>
        <w:spacing w:after="0" w:line="258" w:lineRule="auto"/>
        <w:tabs>
          <w:tab w:leader="none" w:pos="2825" w:val="left"/>
        </w:tabs>
        <w:numPr>
          <w:ilvl w:val="0"/>
          <w:numId w:val="82"/>
        </w:numPr>
        <w:rPr>
          <w:rFonts w:ascii="Arial" w:cs="Arial" w:eastAsia="Arial" w:hAnsi="Arial"/>
          <w:sz w:val="18"/>
          <w:szCs w:val="18"/>
          <w:color w:val="auto"/>
        </w:rPr>
      </w:pPr>
      <w:r>
        <w:rPr>
          <w:rFonts w:ascii="Arial" w:cs="Arial" w:eastAsia="Arial" w:hAnsi="Arial"/>
          <w:sz w:val="22"/>
          <w:szCs w:val="22"/>
          <w:color w:val="auto"/>
        </w:rPr>
        <w:t>to grant such waivers and consents on behalf of such Seller under this Agreement as the Seller Representative in its sole discretion shall deem advisable;</w:t>
      </w:r>
    </w:p>
    <w:p>
      <w:pPr>
        <w:ind w:left="660" w:firstLine="1293"/>
        <w:spacing w:after="0" w:line="249" w:lineRule="auto"/>
        <w:tabs>
          <w:tab w:leader="none" w:pos="2875" w:val="left"/>
        </w:tabs>
        <w:numPr>
          <w:ilvl w:val="0"/>
          <w:numId w:val="82"/>
        </w:numPr>
        <w:rPr>
          <w:rFonts w:ascii="Arial" w:cs="Arial" w:eastAsia="Arial" w:hAnsi="Arial"/>
          <w:sz w:val="18"/>
          <w:szCs w:val="18"/>
          <w:color w:val="auto"/>
        </w:rPr>
      </w:pPr>
      <w:r>
        <w:rPr>
          <w:rFonts w:ascii="Arial" w:cs="Arial" w:eastAsia="Arial" w:hAnsi="Arial"/>
          <w:sz w:val="22"/>
          <w:szCs w:val="22"/>
          <w:color w:val="auto"/>
        </w:rPr>
        <w:t>to receive and give receipt for all notices and other communications required or permitted to be given to such Seller under this Agreement;</w:t>
      </w:r>
    </w:p>
    <w:p>
      <w:pPr>
        <w:spacing w:after="0" w:line="1" w:lineRule="exact"/>
        <w:rPr>
          <w:rFonts w:ascii="Arial" w:cs="Arial" w:eastAsia="Arial" w:hAnsi="Arial"/>
          <w:sz w:val="18"/>
          <w:szCs w:val="18"/>
          <w:color w:val="auto"/>
        </w:rPr>
      </w:pPr>
    </w:p>
    <w:p>
      <w:pPr>
        <w:ind w:left="2860" w:hanging="907"/>
        <w:spacing w:after="0"/>
        <w:tabs>
          <w:tab w:leader="none" w:pos="2860" w:val="left"/>
        </w:tabs>
        <w:numPr>
          <w:ilvl w:val="0"/>
          <w:numId w:val="82"/>
        </w:numPr>
        <w:rPr>
          <w:rFonts w:ascii="Arial" w:cs="Arial" w:eastAsia="Arial" w:hAnsi="Arial"/>
          <w:sz w:val="16"/>
          <w:szCs w:val="16"/>
          <w:color w:val="auto"/>
        </w:rPr>
      </w:pPr>
      <w:r>
        <w:rPr>
          <w:rFonts w:ascii="Arial" w:cs="Arial" w:eastAsia="Arial" w:hAnsi="Arial"/>
          <w:sz w:val="19"/>
          <w:szCs w:val="19"/>
          <w:color w:val="auto"/>
        </w:rPr>
        <w:t>to receive on behalf of Sellers any payments made by Buyer or the Escrow Agent pursuant to the</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terms hereof;</w:t>
      </w:r>
    </w:p>
    <w:p>
      <w:pPr>
        <w:spacing w:after="0" w:line="17" w:lineRule="exact"/>
        <w:rPr>
          <w:rFonts w:ascii="Arial" w:cs="Arial" w:eastAsia="Arial" w:hAnsi="Arial"/>
          <w:sz w:val="16"/>
          <w:szCs w:val="16"/>
          <w:color w:val="auto"/>
        </w:rPr>
      </w:pPr>
    </w:p>
    <w:p>
      <w:pPr>
        <w:ind w:left="2820" w:hanging="867"/>
        <w:spacing w:after="0"/>
        <w:tabs>
          <w:tab w:leader="none" w:pos="2820" w:val="left"/>
        </w:tabs>
        <w:numPr>
          <w:ilvl w:val="0"/>
          <w:numId w:val="82"/>
        </w:numPr>
        <w:rPr>
          <w:rFonts w:ascii="Arial" w:cs="Arial" w:eastAsia="Arial" w:hAnsi="Arial"/>
          <w:sz w:val="16"/>
          <w:szCs w:val="16"/>
          <w:color w:val="auto"/>
        </w:rPr>
      </w:pPr>
      <w:r>
        <w:rPr>
          <w:rFonts w:ascii="Arial" w:cs="Arial" w:eastAsia="Arial" w:hAnsi="Arial"/>
          <w:sz w:val="19"/>
          <w:szCs w:val="19"/>
          <w:color w:val="auto"/>
        </w:rPr>
        <w:t>to exercise any and all of such Seller’s rights under or in connection with this Agreement; and</w:t>
      </w:r>
    </w:p>
    <w:p>
      <w:pPr>
        <w:spacing w:after="0" w:line="38" w:lineRule="exact"/>
        <w:rPr>
          <w:rFonts w:ascii="Arial" w:cs="Arial" w:eastAsia="Arial" w:hAnsi="Arial"/>
          <w:sz w:val="16"/>
          <w:szCs w:val="16"/>
          <w:color w:val="auto"/>
        </w:rPr>
      </w:pPr>
    </w:p>
    <w:p>
      <w:pPr>
        <w:ind w:left="2860" w:hanging="907"/>
        <w:spacing w:after="0"/>
        <w:tabs>
          <w:tab w:leader="none" w:pos="2860" w:val="left"/>
        </w:tabs>
        <w:numPr>
          <w:ilvl w:val="0"/>
          <w:numId w:val="82"/>
        </w:numPr>
        <w:rPr>
          <w:rFonts w:ascii="Arial" w:cs="Arial" w:eastAsia="Arial" w:hAnsi="Arial"/>
          <w:sz w:val="16"/>
          <w:szCs w:val="16"/>
          <w:color w:val="auto"/>
        </w:rPr>
      </w:pPr>
      <w:r>
        <w:rPr>
          <w:rFonts w:ascii="Arial" w:cs="Arial" w:eastAsia="Arial" w:hAnsi="Arial"/>
          <w:sz w:val="19"/>
          <w:szCs w:val="19"/>
          <w:color w:val="auto"/>
        </w:rPr>
        <w:t>to take any other action authorized or required to be taken by the Seller Representative on behalf</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 such Seller pursuant to the terms of this Agreement.</w:t>
      </w:r>
    </w:p>
    <w:p>
      <w:pPr>
        <w:spacing w:after="0" w:line="1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Each Seller covenants and agrees that it shall be bound by all actions taken by the Seller Representative on such Seller’s behalf arising in connection with or related to this Agreement and the transactions contemplated hereby. Each Seller acknowledges that the powers and authority granted in this </w:t>
      </w:r>
      <w:r>
        <w:rPr>
          <w:rFonts w:ascii="Arial" w:cs="Arial" w:eastAsia="Arial" w:hAnsi="Arial"/>
          <w:sz w:val="21"/>
          <w:szCs w:val="21"/>
          <w:u w:val="single" w:color="auto"/>
          <w:color w:val="auto"/>
        </w:rPr>
        <w:t>Section 15.17</w:t>
      </w:r>
      <w:r>
        <w:rPr>
          <w:rFonts w:ascii="Arial" w:cs="Arial" w:eastAsia="Arial" w:hAnsi="Arial"/>
          <w:sz w:val="21"/>
          <w:szCs w:val="21"/>
          <w:color w:val="auto"/>
        </w:rPr>
        <w:t xml:space="preserve"> are coupled with an interest sufficient in Law to support an irrevocable power of attorney and, unless this Agreement is terminated pursuant to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shall be irrevocable to the fullest extent permitted by Law. Each Seller and the Seller Representative agree to jointly and severally indemnify Buyer for any claims that arise against Buyer as a result of reliance on this power of attorney as to such Seller. Each Seller agrees that it will not bring any claim against the Seller Representative which relates to or results from its performance of the duties of the Seller Representative as set forth in this </w:t>
      </w:r>
      <w:r>
        <w:rPr>
          <w:rFonts w:ascii="Arial" w:cs="Arial" w:eastAsia="Arial" w:hAnsi="Arial"/>
          <w:sz w:val="21"/>
          <w:szCs w:val="21"/>
          <w:u w:val="single" w:color="auto"/>
          <w:color w:val="auto"/>
        </w:rPr>
        <w:t>Section 15.17</w:t>
      </w:r>
      <w:r>
        <w:rPr>
          <w:rFonts w:ascii="Arial" w:cs="Arial" w:eastAsia="Arial" w:hAnsi="Arial"/>
          <w:sz w:val="21"/>
          <w:szCs w:val="21"/>
          <w:color w:val="auto"/>
        </w:rPr>
        <w:t>.</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i w:val="1"/>
          <w:iCs w:val="1"/>
          <w:color w:val="auto"/>
        </w:rPr>
        <w:t xml:space="preserve">15.18 Like-Kind Exchange. </w:t>
      </w:r>
      <w:r>
        <w:rPr>
          <w:rFonts w:ascii="Arial" w:cs="Arial" w:eastAsia="Arial" w:hAnsi="Arial"/>
          <w:sz w:val="19"/>
          <w:szCs w:val="19"/>
          <w:color w:val="auto"/>
        </w:rPr>
        <w:t>At Buyer’s request, Sellers shall take all actions reasonably requested by Buyer to effectuate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all or any part of the transactions contemplated by this Agreement as a reverse like-kind exchange for the benefit of Buyer in accordance with Section 1031 of the Code and Rev. Proc. 2000-37, including executing an instrument acknowledging and consenting to any assignment by Buyer of its rights (but not its obligations) hereunder to a qualified intermediary or an exchange accommodation titleholder. In furtherance of the foregoing and notwithstanding anything contained in this Agreement to the contrary, Buyer may assign its rights under this Agreement to a “qualified intermediary” or an “exchange accommodation titleholder” in order to facilitate, at no cost or expense to Sellers, a reverse like-kind exchange under Section 1031 of the Code; provided, however, that neither Buyer’s assignment nor any other actions taken by Buyer or any other Person in connection with the like-kind exchange shall release Buyer from, or modify, any of Buyer’s liabilities and obligations (including indemnity obligations to Sellers) under this Agreement, and Sellers make no representations as to any particular tax treatment that may be afforded to Buyer by reason of such assignment or any other actions taken in connection with the like-kind exchange. Sellers will issue all closing documents to the applicable qualified intermediary or exchange accommodation titleholder if so directed by Buyer prior to Closing. Notwithstanding the foregoing, Sellers shall not be required, solely for the purpose of Sellers’ cooperation with Buyer’s like-kind exchange, to incur any additional cost, obligation or liability, and Buyer shall indemnify, defend and hold Sellers harmless from and against any and all such costs, obligations or liabilities (including reasonable attorneys’ fees), proceedings and causes of actions of any kind incurred or suffered by Sellers and solely attributable to such like-kind exchange transaction. In no event shall the Closing be delayed because of Buyer’s like-kind exchange transaction. The provisions of this Section 15.18 shall survive the Closing of this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Sellers and Buyer have executed this Agreement as of the date first written above.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SELLERS</w:t>
      </w:r>
      <w:r>
        <w:rPr>
          <w:rFonts w:ascii="Arial" w:cs="Arial" w:eastAsia="Arial" w:hAnsi="Arial"/>
          <w:sz w:val="22"/>
          <w:szCs w:val="22"/>
          <w:color w:val="auto"/>
        </w:rPr>
        <w:t>:</w:t>
      </w:r>
    </w:p>
    <w:p>
      <w:pPr>
        <w:spacing w:after="0" w:line="22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ENERVEST HOLDING, L.P.</w:t>
      </w:r>
    </w:p>
    <w:p>
      <w:pPr>
        <w:spacing w:after="0" w:line="179"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Operating, L.L.C.,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By: /s/ Stephen A. McDaniel</w:t>
      </w:r>
    </w:p>
    <w:p>
      <w:pPr>
        <w:spacing w:after="0" w:line="22" w:lineRule="exact"/>
        <w:rPr>
          <w:sz w:val="20"/>
          <w:szCs w:val="20"/>
          <w:color w:val="auto"/>
        </w:rPr>
      </w:pPr>
    </w:p>
    <w:p>
      <w:pPr>
        <w:ind w:left="270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Stephen A. McDaniel</w:t>
      </w:r>
    </w:p>
    <w:p>
      <w:pPr>
        <w:spacing w:after="0" w:line="4" w:lineRule="exact"/>
        <w:rPr>
          <w:sz w:val="20"/>
          <w:szCs w:val="20"/>
          <w:color w:val="auto"/>
        </w:rPr>
      </w:pPr>
    </w:p>
    <w:p>
      <w:pPr>
        <w:ind w:left="2680"/>
        <w:spacing w:after="0"/>
        <w:tabs>
          <w:tab w:leader="none" w:pos="3400" w:val="left"/>
        </w:tabs>
        <w:rPr>
          <w:sz w:val="20"/>
          <w:szCs w:val="20"/>
          <w:color w:val="auto"/>
        </w:rPr>
      </w:pPr>
      <w:r>
        <w:rPr>
          <w:rFonts w:ascii="Arial" w:cs="Arial" w:eastAsia="Arial" w:hAnsi="Arial"/>
          <w:sz w:val="22"/>
          <w:szCs w:val="22"/>
          <w:color w:val="auto"/>
        </w:rPr>
        <w:t>Title:</w:t>
        <w:tab/>
        <w:t>Executive Vice President and</w:t>
      </w:r>
    </w:p>
    <w:p>
      <w:pPr>
        <w:spacing w:after="0" w:line="17"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Chief Operating Officer</w:t>
      </w:r>
    </w:p>
    <w:p>
      <w:pPr>
        <w:spacing w:after="0" w:line="37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ENERVEST ENERGY INSTITUTIONAL</w:t>
      </w:r>
    </w:p>
    <w:p>
      <w:pPr>
        <w:spacing w:after="0" w:line="17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FUND XII-A, L.P.</w:t>
      </w:r>
    </w:p>
    <w:p>
      <w:pPr>
        <w:spacing w:after="0" w:line="179"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Ltd.,</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General Partner</w:t>
      </w:r>
    </w:p>
    <w:p>
      <w:pPr>
        <w:spacing w:after="0" w:line="175"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Management GP, L.C.,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General Partner</w:t>
      </w: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By: /s/James M. Vanderhider</w:t>
      </w:r>
    </w:p>
    <w:p>
      <w:pPr>
        <w:spacing w:after="0" w:line="22" w:lineRule="exact"/>
        <w:rPr>
          <w:sz w:val="20"/>
          <w:szCs w:val="20"/>
          <w:color w:val="auto"/>
        </w:rPr>
      </w:pPr>
    </w:p>
    <w:p>
      <w:pPr>
        <w:ind w:left="270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M. Vanderhider</w:t>
      </w:r>
    </w:p>
    <w:p>
      <w:pPr>
        <w:spacing w:after="0" w:line="4"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22"/>
          <w:szCs w:val="22"/>
          <w:color w:val="auto"/>
        </w:rPr>
        <w:t>Title:</w:t>
        <w:tab/>
        <w:t>Executive Vice President and</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Chief Financial Officer</w:t>
      </w: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ENERVEST ENERGY INSTITUTIONAL</w:t>
      </w:r>
    </w:p>
    <w:p>
      <w:pPr>
        <w:spacing w:after="0" w:line="17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FUND XII-WIB, L.P.</w:t>
      </w:r>
    </w:p>
    <w:p>
      <w:pPr>
        <w:spacing w:after="0" w:line="179"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Ltd.,</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General Partner</w:t>
      </w:r>
    </w:p>
    <w:p>
      <w:pPr>
        <w:spacing w:after="0" w:line="175"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Management GP, L.C.,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General Partner</w:t>
      </w: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By: /s/James M. Vanderhider</w:t>
      </w:r>
    </w:p>
    <w:p>
      <w:pPr>
        <w:spacing w:after="0" w:line="22" w:lineRule="exact"/>
        <w:rPr>
          <w:sz w:val="20"/>
          <w:szCs w:val="20"/>
          <w:color w:val="auto"/>
        </w:rPr>
      </w:pPr>
    </w:p>
    <w:p>
      <w:pPr>
        <w:ind w:left="270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M. Vanderhider</w:t>
      </w:r>
    </w:p>
    <w:p>
      <w:pPr>
        <w:spacing w:after="0" w:line="4" w:lineRule="exact"/>
        <w:rPr>
          <w:sz w:val="20"/>
          <w:szCs w:val="20"/>
          <w:color w:val="auto"/>
        </w:rPr>
      </w:pPr>
    </w:p>
    <w:p>
      <w:pPr>
        <w:ind w:left="2700"/>
        <w:spacing w:after="0"/>
        <w:tabs>
          <w:tab w:leader="none" w:pos="3380" w:val="left"/>
        </w:tabs>
        <w:rPr>
          <w:sz w:val="20"/>
          <w:szCs w:val="20"/>
          <w:color w:val="auto"/>
        </w:rPr>
      </w:pPr>
      <w:r>
        <w:rPr>
          <w:rFonts w:ascii="Arial" w:cs="Arial" w:eastAsia="Arial" w:hAnsi="Arial"/>
          <w:sz w:val="22"/>
          <w:szCs w:val="22"/>
          <w:color w:val="auto"/>
        </w:rPr>
        <w:t>Title:</w:t>
        <w:tab/>
        <w:t>Executive Vice President and</w:t>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20"/>
          </w:cols>
          <w:pgMar w:left="14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ENERVEST ENERGY INSTITUTIONAL</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FUND XII-WIC, L.P.</w:t>
      </w:r>
    </w:p>
    <w:p>
      <w:pPr>
        <w:spacing w:after="0" w:line="17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Holding, LLC,</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Ltd.,</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Sole Member</w:t>
      </w:r>
    </w:p>
    <w:p>
      <w:pPr>
        <w:spacing w:after="0" w:line="17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Management GP, L.C.,</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General Partner</w:t>
      </w: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By: /s/James M. Vanderhider</w:t>
      </w:r>
    </w:p>
    <w:p>
      <w:pPr>
        <w:spacing w:after="0" w:line="22"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M. Vanderhider</w:t>
      </w:r>
    </w:p>
    <w:p>
      <w:pPr>
        <w:spacing w:after="0" w:line="4" w:lineRule="exact"/>
        <w:rPr>
          <w:sz w:val="20"/>
          <w:szCs w:val="20"/>
          <w:color w:val="auto"/>
        </w:rPr>
      </w:pPr>
    </w:p>
    <w:p>
      <w:pPr>
        <w:ind w:left="3900"/>
        <w:spacing w:after="0"/>
        <w:tabs>
          <w:tab w:leader="none" w:pos="4580" w:val="left"/>
        </w:tabs>
        <w:rPr>
          <w:sz w:val="20"/>
          <w:szCs w:val="20"/>
          <w:color w:val="auto"/>
        </w:rPr>
      </w:pPr>
      <w:r>
        <w:rPr>
          <w:rFonts w:ascii="Arial" w:cs="Arial" w:eastAsia="Arial" w:hAnsi="Arial"/>
          <w:sz w:val="22"/>
          <w:szCs w:val="22"/>
          <w:color w:val="auto"/>
        </w:rPr>
        <w:t>Title:</w:t>
        <w:tab/>
        <w:t>Executive Vice President and</w:t>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Acknowledged and agreed solely with respect to Section 15.17:</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ENERVEST, LTD.</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Management GP, 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By: /s/James M. Vanderhider</w:t>
      </w:r>
    </w:p>
    <w:p>
      <w:pPr>
        <w:spacing w:after="0" w:line="2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M. Vanderhider</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22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QEP Energy Company</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i w:val="1"/>
          <w:iCs w:val="1"/>
          <w:u w:val="single" w:color="auto"/>
          <w:color w:val="auto"/>
        </w:rPr>
        <w:t xml:space="preserve">By: </w:t>
      </w:r>
      <w:r>
        <w:rPr>
          <w:rFonts w:ascii="Arial" w:cs="Arial" w:eastAsia="Arial" w:hAnsi="Arial"/>
          <w:sz w:val="18"/>
          <w:szCs w:val="18"/>
          <w:i w:val="1"/>
          <w:iCs w:val="1"/>
          <w:u w:val="single" w:color="auto"/>
          <w:color w:val="auto"/>
        </w:rPr>
        <w:t>/s/</w:t>
      </w:r>
      <w:r>
        <w:rPr>
          <w:rFonts w:ascii="Arial" w:cs="Arial" w:eastAsia="Arial" w:hAnsi="Arial"/>
          <w:sz w:val="22"/>
          <w:szCs w:val="22"/>
          <w:i w:val="1"/>
          <w:iCs w:val="1"/>
          <w:u w:val="single" w:color="auto"/>
          <w:color w:val="auto"/>
        </w:rPr>
        <w:t xml:space="preserve"> Austin S. Murr</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Austin S. Murr</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Land and</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Business Development</w:t>
      </w:r>
    </w:p>
    <w:p>
      <w:pPr>
        <w:spacing w:after="0" w:line="200" w:lineRule="exact"/>
        <w:rPr>
          <w:sz w:val="20"/>
          <w:szCs w:val="20"/>
          <w:color w:val="auto"/>
        </w:rPr>
      </w:pPr>
    </w:p>
    <w:p>
      <w:pPr>
        <w:spacing w:after="0" w:line="2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20"/>
          </w:cols>
          <w:pgMar w:left="14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ANNEX I</w:t>
      </w:r>
    </w:p>
    <w:p>
      <w:pPr>
        <w:spacing w:after="0" w:line="220"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DEFINED TERMS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Capitalized terms used herein shall have the meanings set forth in this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unless the context requires otherwise.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AAA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13.13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Accounting Arbitrator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Adjusted Purchase Price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4.13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shall mean any Person that, directly or indirectly, through one or more intermediaries, controls or is controlled by, or is under common control with, another Person. The term “</w:t>
      </w:r>
      <w:r>
        <w:rPr>
          <w:rFonts w:ascii="Arial" w:cs="Arial" w:eastAsia="Arial" w:hAnsi="Arial"/>
          <w:sz w:val="21"/>
          <w:szCs w:val="21"/>
          <w:b w:val="1"/>
          <w:bCs w:val="1"/>
          <w:i w:val="1"/>
          <w:iCs w:val="1"/>
          <w:color w:val="auto"/>
        </w:rPr>
        <w:t>control</w:t>
      </w:r>
      <w:r>
        <w:rPr>
          <w:rFonts w:ascii="Arial" w:cs="Arial" w:eastAsia="Arial" w:hAnsi="Arial"/>
          <w:sz w:val="21"/>
          <w:szCs w:val="21"/>
          <w:color w:val="auto"/>
        </w:rPr>
        <w:t>” and its derivatives with respect to any Person mean the possession, directly or indirectly, of the power to direct or cause the direction of the management and policies of such Person, whether through the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Aggregate Deductible</w:t>
      </w:r>
      <w:r>
        <w:rPr>
          <w:rFonts w:ascii="Arial" w:cs="Arial" w:eastAsia="Arial" w:hAnsi="Arial"/>
          <w:sz w:val="22"/>
          <w:szCs w:val="22"/>
          <w:color w:val="auto"/>
        </w:rPr>
        <w:t>” shall mean one and one-half percent (1.5%) of the Purchase Price.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shall have the meaning set forth in the introductory paragraph herein.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Allocated Values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3.8</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Contracts</w:t>
      </w:r>
      <w:r>
        <w:rPr>
          <w:rFonts w:ascii="Arial" w:cs="Arial" w:eastAsia="Arial" w:hAnsi="Arial"/>
          <w:sz w:val="19"/>
          <w:szCs w:val="19"/>
          <w:color w:val="auto"/>
        </w:rPr>
        <w:t xml:space="preserve">” shall mean the Contracts described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which any Seller is a party or is bound relating to any of the Assets and (in each case) that will be binding on Buyer after Closing, including: communitization agreements; net profits agreements; production payment agreements; area of mutual interest agreements; joint venture agreements; confidentiality agreements; farmin and farmout agreements; bottom hole agreements; crude oil, condensate and natural gas purchase and sale, gathering, transportation and marketing agreements; hydrocarbon storage agreements; acreage contribution agreements; operating agreements; balancing agreements; pooling declarations or agreements; unitization agreements; processing agreements; saltwater disposal agreements; facilities or equipment leases; and other similar contracts and agreements, but exclusive of any master service agreements and Contracts relating to the Excluded Assets.</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Asset Taxes</w:t>
      </w:r>
      <w:r>
        <w:rPr>
          <w:rFonts w:ascii="Arial" w:cs="Arial" w:eastAsia="Arial" w:hAnsi="Arial"/>
          <w:sz w:val="21"/>
          <w:szCs w:val="21"/>
          <w:color w:val="auto"/>
        </w:rPr>
        <w:t>” shall mean ad valorem, property, severance, production, sales, use and similar Taxes (excluding, for the avoidance of doubt, any Income Taxes and Transfer Taxes) based upon or measured by the ownership or operation of the Assets or the production of Hydrocarbons therefrom or the receipt of proceeds therefrom.</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Assets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Assignment</w:t>
      </w:r>
      <w:r>
        <w:rPr>
          <w:rFonts w:ascii="Arial" w:cs="Arial" w:eastAsia="Arial" w:hAnsi="Arial"/>
          <w:sz w:val="22"/>
          <w:szCs w:val="22"/>
          <w:color w:val="auto"/>
        </w:rPr>
        <w:t xml:space="preserve">” shall mean the Assignment and Bill of Sale from Sellers to Buyer, pertaining to the Assets, substantially in the form attached to this Agreement as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Assumed Obligations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13.1</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109" w:name="page110"/>
    <w:bookmarkEnd w:id="109"/>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Burden</w:t>
      </w:r>
      <w:r>
        <w:rPr>
          <w:rFonts w:ascii="Arial" w:cs="Arial" w:eastAsia="Arial" w:hAnsi="Arial"/>
          <w:sz w:val="19"/>
          <w:szCs w:val="19"/>
          <w:color w:val="auto"/>
        </w:rPr>
        <w:t>” shall mean any and all royalties (including lessor’s royalty), overriding royalties, production payments, net profits interests and other burdens upon, measured by or payable out of production (excluding, for the avoidance of doubt, any Taxes).</w:t>
      </w:r>
    </w:p>
    <w:p>
      <w:pPr>
        <w:spacing w:after="0" w:line="1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shall mean a day (other than a Saturday or Sunday) on which commercial banks in Houston, Texas are generally open for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shall have the meaning set forth in the introductory paragraph herein.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Buyer’s Auditor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6.9</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Buyer’s Environmental Liabilities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12.1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Indemnified Parties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Buyer’s Representatives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Casualty Loss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11.3(b)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13.7(b)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shall mean the Internal Revenue Code of 1986, as amended.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shall mean that certain Confidentiality Agreement between EnerVest, Ltd. and Buyer dated as of October 10, 2013.</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Contract</w:t>
      </w:r>
      <w:r>
        <w:rPr>
          <w:rFonts w:ascii="Arial" w:cs="Arial" w:eastAsia="Arial" w:hAnsi="Arial"/>
          <w:sz w:val="22"/>
          <w:szCs w:val="22"/>
          <w:color w:val="auto"/>
        </w:rPr>
        <w:t>” shall mean any written or oral contract, agreement or any other legally binding arrangement, but excluding, however, any Lease, easement, right-of-way, permit or other instrument creating or evidencing an interest in the Assets or any real or immovable property related to or used in connection with the operations of any Assets.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Cure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Customary Post-Closing Consents</w:t>
      </w:r>
      <w:r>
        <w:rPr>
          <w:rFonts w:ascii="Arial" w:cs="Arial" w:eastAsia="Arial" w:hAnsi="Arial"/>
          <w:sz w:val="19"/>
          <w:szCs w:val="19"/>
          <w:color w:val="auto"/>
        </w:rPr>
        <w:t>” shall mean the consents and approvals from Governmental Authorities for the assignment of the Assets to Buyer that are customarily obtained after the assignment of properties similar to the Assets.</w:t>
      </w:r>
    </w:p>
    <w:p>
      <w:pPr>
        <w:spacing w:after="0" w:line="1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Decommission</w:t>
      </w:r>
      <w:r>
        <w:rPr>
          <w:rFonts w:ascii="Arial" w:cs="Arial" w:eastAsia="Arial" w:hAnsi="Arial"/>
          <w:sz w:val="21"/>
          <w:szCs w:val="21"/>
          <w:color w:val="auto"/>
        </w:rPr>
        <w:t>” shall mean all dismantling and decommissioning activities and obligations as are required by Law, any Governmental Authority or agreements including all well plugging, replugging and abandonment, facility dismantlement and removal, pipeline and flowline removal, dismantlement and removal of all other property of any kind related to or associated with operations or activities and associated site clearance, site restoration and site remediation.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Defensible Title</w:t>
      </w:r>
      <w:r>
        <w:rPr>
          <w:rFonts w:ascii="Arial" w:cs="Arial" w:eastAsia="Arial" w:hAnsi="Arial"/>
          <w:sz w:val="19"/>
          <w:szCs w:val="19"/>
          <w:color w:val="auto"/>
        </w:rPr>
        <w:t>” shall mean such title of Sellers with respect to the Leases, Wells and Well Locations that, as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and the Defect Notice Date and subject to Permitted Encumbrances: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jc w:val="both"/>
        <w:ind w:left="660" w:firstLine="645"/>
        <w:spacing w:after="0" w:line="248" w:lineRule="auto"/>
        <w:tabs>
          <w:tab w:leader="none" w:pos="1823"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with respect to each Lease, Well or Well Location (subject to any Specified Limitations), entitles Sellers to receive not less than the Net Revenue Interest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3.8</w:t>
      </w:r>
      <w:r>
        <w:rPr>
          <w:rFonts w:ascii="Arial" w:cs="Arial" w:eastAsia="Arial" w:hAnsi="Arial"/>
          <w:sz w:val="22"/>
          <w:szCs w:val="22"/>
          <w:color w:val="auto"/>
        </w:rPr>
        <w:t xml:space="preserve"> for the specified zones or depths for such Lease, Well or Well Location, except for (i) decreases in connection with those operations in which Sellers or their successors or assigns may from and after the date of this Agreement elect with Buyer’s consent to be a non-consenting co-owner, (ii) decreases resulting from the establishment or amendment with Buyer’s consent from and after the date of this Agreement of pools or units, (iii) decreases required to allow other Working Interest owners to make up past underproduction or pipelines to make up past under deliveries and (iv) as otherwise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3.8</w:t>
      </w:r>
      <w:r>
        <w:rPr>
          <w:rFonts w:ascii="Arial" w:cs="Arial" w:eastAsia="Arial" w:hAnsi="Arial"/>
          <w:sz w:val="22"/>
          <w:szCs w:val="22"/>
          <w:color w:val="auto"/>
        </w:rPr>
        <w:t>, as applicable;</w:t>
      </w:r>
    </w:p>
    <w:p>
      <w:pPr>
        <w:spacing w:after="0" w:line="191" w:lineRule="exact"/>
        <w:rPr>
          <w:rFonts w:ascii="Arial" w:cs="Arial" w:eastAsia="Arial" w:hAnsi="Arial"/>
          <w:sz w:val="22"/>
          <w:szCs w:val="22"/>
          <w:color w:val="auto"/>
        </w:rPr>
      </w:pPr>
    </w:p>
    <w:p>
      <w:pPr>
        <w:jc w:val="both"/>
        <w:ind w:left="660" w:firstLine="645"/>
        <w:spacing w:after="0" w:line="250" w:lineRule="auto"/>
        <w:tabs>
          <w:tab w:leader="none" w:pos="1794"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with respect to each Lease, Well or Well Location (subject to any Specified Limitations), obligates Sellers to bear not more than the Working Interest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3.8</w:t>
      </w:r>
      <w:r>
        <w:rPr>
          <w:rFonts w:ascii="Arial" w:cs="Arial" w:eastAsia="Arial" w:hAnsi="Arial"/>
          <w:sz w:val="22"/>
          <w:szCs w:val="22"/>
          <w:color w:val="auto"/>
        </w:rPr>
        <w:t xml:space="preserve"> for the specified zones or depths for such Lease, Well or Well Location, except (i) increases resulting from contribution requirements with respect to defaulting co-owners under applicable operating agreements, (ii) increases to the extent that such increases are accompanied by a proportionate increase in Sellers’ Net Revenue Interest and (iii) as otherwise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3.8</w:t>
      </w:r>
      <w:r>
        <w:rPr>
          <w:rFonts w:ascii="Arial" w:cs="Arial" w:eastAsia="Arial" w:hAnsi="Arial"/>
          <w:sz w:val="22"/>
          <w:szCs w:val="22"/>
          <w:color w:val="auto"/>
        </w:rPr>
        <w:t>, as applicable; and</w:t>
      </w:r>
    </w:p>
    <w:p>
      <w:pPr>
        <w:spacing w:after="0" w:line="188" w:lineRule="exact"/>
        <w:rPr>
          <w:rFonts w:ascii="Arial" w:cs="Arial" w:eastAsia="Arial" w:hAnsi="Arial"/>
          <w:sz w:val="22"/>
          <w:szCs w:val="22"/>
          <w:color w:val="auto"/>
        </w:rPr>
      </w:pPr>
    </w:p>
    <w:p>
      <w:pPr>
        <w:ind w:left="1720" w:hanging="415"/>
        <w:spacing w:after="0"/>
        <w:tabs>
          <w:tab w:leader="none" w:pos="17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is free and clear of all Encumbrances.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Deposit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13.13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Disputed Title Matters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11.2(j)</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 shall mean 7:00 a.m. (Central Time) on November 1, 2013.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email</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15.6</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Encumbrance</w:t>
      </w:r>
      <w:r>
        <w:rPr>
          <w:rFonts w:ascii="Arial" w:cs="Arial" w:eastAsia="Arial" w:hAnsi="Arial"/>
          <w:sz w:val="22"/>
          <w:szCs w:val="22"/>
          <w:color w:val="auto"/>
        </w:rPr>
        <w:t>” shall mean any lien, mortgage, security interest, pledge, charge, net profits interest, production payment or similar encumbrance.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EnerVest Holding</w:t>
      </w:r>
      <w:r>
        <w:rPr>
          <w:rFonts w:ascii="Arial" w:cs="Arial" w:eastAsia="Arial" w:hAnsi="Arial"/>
          <w:sz w:val="22"/>
          <w:szCs w:val="22"/>
          <w:color w:val="auto"/>
        </w:rPr>
        <w:t>” shall have the meaning set forth in the first paragraph herein.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EnerVest XII-A</w:t>
      </w:r>
      <w:r>
        <w:rPr>
          <w:rFonts w:ascii="Arial" w:cs="Arial" w:eastAsia="Arial" w:hAnsi="Arial"/>
          <w:sz w:val="22"/>
          <w:szCs w:val="22"/>
          <w:color w:val="auto"/>
        </w:rPr>
        <w:t>” shall have the meaning set forth in the first paragraph herein.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EnerVest XII-WIB</w:t>
      </w:r>
      <w:r>
        <w:rPr>
          <w:rFonts w:ascii="Arial" w:cs="Arial" w:eastAsia="Arial" w:hAnsi="Arial"/>
          <w:sz w:val="22"/>
          <w:szCs w:val="22"/>
          <w:color w:val="auto"/>
        </w:rPr>
        <w:t>” shall have the meaning set forth in the first paragraph herein.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EnerVest XII-WIC</w:t>
      </w:r>
      <w:r>
        <w:rPr>
          <w:rFonts w:ascii="Arial" w:cs="Arial" w:eastAsia="Arial" w:hAnsi="Arial"/>
          <w:sz w:val="22"/>
          <w:szCs w:val="22"/>
          <w:color w:val="auto"/>
        </w:rPr>
        <w:t>” shall have the meaning set forth in the first paragraph herein.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Arbitrator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12.1(e)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Claim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12.1(a)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Condition</w:t>
      </w:r>
      <w:r>
        <w:rPr>
          <w:rFonts w:ascii="Arial" w:cs="Arial" w:eastAsia="Arial" w:hAnsi="Arial"/>
          <w:sz w:val="22"/>
          <w:szCs w:val="22"/>
          <w:color w:val="auto"/>
        </w:rPr>
        <w:t>” shall mean (a) a condition existing on the date of this Agreement with respect to the air, soil, subsurface, surface waters, ground waters and sediments that causes an Asset (or Sellers with respect to an Asset) not to be in compliance with any Environmental Law or (b) the existence as of the date of this Agreement with respect to the Assets or their operation thereof of any environmental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111" w:name="page112"/>
    <w:bookmarkEnd w:id="111"/>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pollution, contamination or degradation where remedial or corrective action is presently required (or if known, would be presently required) under Environmental Laws.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Defect</w:t>
      </w:r>
      <w:r>
        <w:rPr>
          <w:rFonts w:ascii="Arial" w:cs="Arial" w:eastAsia="Arial" w:hAnsi="Arial"/>
          <w:sz w:val="22"/>
          <w:szCs w:val="22"/>
          <w:color w:val="auto"/>
        </w:rPr>
        <w:t>” shall mean an Environmental Condition with respect to an Asset.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Defect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12.1(a)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Laws</w:t>
      </w:r>
      <w:r>
        <w:rPr>
          <w:rFonts w:ascii="Arial" w:cs="Arial" w:eastAsia="Arial" w:hAnsi="Arial"/>
          <w:sz w:val="19"/>
          <w:szCs w:val="19"/>
          <w:color w:val="auto"/>
        </w:rPr>
        <w:t>” shall mean all Laws in effect as of the date of this Agreement, including common law, relating to the protection of the public health, welfare and the environment, including, those Laws relating to the storage, handling and use of chemicals and other Hazardous Substances and those Laws relating to the generation, processing, treatment, storage, transportation, disposal or other management thereof. The term “</w:t>
      </w:r>
      <w:r>
        <w:rPr>
          <w:rFonts w:ascii="Arial" w:cs="Arial" w:eastAsia="Arial" w:hAnsi="Arial"/>
          <w:sz w:val="19"/>
          <w:szCs w:val="19"/>
          <w:b w:val="1"/>
          <w:bCs w:val="1"/>
          <w:i w:val="1"/>
          <w:iCs w:val="1"/>
          <w:color w:val="auto"/>
        </w:rPr>
        <w:t>Environmental Laws</w:t>
      </w:r>
      <w:r>
        <w:rPr>
          <w:rFonts w:ascii="Arial" w:cs="Arial" w:eastAsia="Arial" w:hAnsi="Arial"/>
          <w:sz w:val="19"/>
          <w:szCs w:val="19"/>
          <w:color w:val="auto"/>
        </w:rPr>
        <w:t>” does not include (a) good or desirable operating practices or standards that may be employed or adopted by other oil and gas well operators or recommended by a Governmental Authority or</w:t>
      </w:r>
    </w:p>
    <w:p>
      <w:pPr>
        <w:spacing w:after="0" w:line="4" w:lineRule="exact"/>
        <w:rPr>
          <w:sz w:val="20"/>
          <w:szCs w:val="20"/>
          <w:color w:val="auto"/>
        </w:rPr>
      </w:pPr>
    </w:p>
    <w:p>
      <w:pPr>
        <w:ind w:left="660" w:right="1760" w:hanging="652"/>
        <w:spacing w:after="0" w:line="439" w:lineRule="auto"/>
        <w:tabs>
          <w:tab w:leader="none" w:pos="318"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Occupational Safety and Health Act or any other Law governing worker safety or workplace conditions. “</w:t>
      </w:r>
      <w:r>
        <w:rPr>
          <w:rFonts w:ascii="Arial" w:cs="Arial" w:eastAsia="Arial" w:hAnsi="Arial"/>
          <w:sz w:val="22"/>
          <w:szCs w:val="22"/>
          <w:b w:val="1"/>
          <w:bCs w:val="1"/>
          <w:i w:val="1"/>
          <w:iCs w:val="1"/>
          <w:color w:val="auto"/>
        </w:rPr>
        <w:t>Escrow Agent</w:t>
      </w:r>
      <w:r>
        <w:rPr>
          <w:rFonts w:ascii="Arial" w:cs="Arial" w:eastAsia="Arial" w:hAnsi="Arial"/>
          <w:sz w:val="22"/>
          <w:szCs w:val="22"/>
          <w:color w:val="auto"/>
        </w:rPr>
        <w:t>” shall mean Wells Fargo Bank, N.A.</w:t>
      </w:r>
    </w:p>
    <w:p>
      <w:pPr>
        <w:spacing w:after="0" w:line="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Agreement</w:t>
      </w:r>
      <w:r>
        <w:rPr>
          <w:rFonts w:ascii="Arial" w:cs="Arial" w:eastAsia="Arial" w:hAnsi="Arial"/>
          <w:sz w:val="22"/>
          <w:szCs w:val="22"/>
          <w:color w:val="auto"/>
        </w:rPr>
        <w:t>” shall mean the Escrow Agreement of even date herewith between Sellers, Buyer and the Escrow Agent and related to the Deposit and the Holdback Amount.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Claim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3.10(b)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Claim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3.10(b)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Assets</w:t>
      </w:r>
      <w:r>
        <w:rPr>
          <w:rFonts w:ascii="Arial" w:cs="Arial" w:eastAsia="Arial" w:hAnsi="Arial"/>
          <w:sz w:val="19"/>
          <w:szCs w:val="19"/>
          <w:color w:val="auto"/>
        </w:rPr>
        <w:t>” shall mean (a) all of Sellers’ corporate minute books, financial records and other business records that relate to Sellers’ business generally (including the ownership and operation of the Assets); (b) to the extent that they do not relate to the Assumed Obligations for which Buyer is providing indemnification hereunder, all trade credits, all accounts, all receivables and all other proceeds, income or revenues attributable to the Assets and attributable to any period of time prior to the Effective Time;</w:t>
      </w:r>
    </w:p>
    <w:p>
      <w:pPr>
        <w:spacing w:after="0" w:line="3" w:lineRule="exact"/>
        <w:rPr>
          <w:sz w:val="20"/>
          <w:szCs w:val="20"/>
          <w:color w:val="auto"/>
        </w:rPr>
      </w:pPr>
    </w:p>
    <w:p>
      <w:pPr>
        <w:jc w:val="both"/>
        <w:ind w:firstLine="8"/>
        <w:spacing w:after="0" w:line="284" w:lineRule="auto"/>
        <w:tabs>
          <w:tab w:leader="none" w:pos="315"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to the extent that they do not relate to the Assumed Obligations for which Buyer is providing indemnification hereunder, all claims and causes of action of any Seller arising under or with respect to any Contracts that are attributable to periods of time prior to the Effective Time (including claims for adjustments or refunds); (d) subject to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and to the extent that they do not relate to the Assumed Obligations for which Buyer is providing indemnification hereunder, all rights and interests of Sellers (i) under any policy or agreement of insurance or indemnity, (ii) under any bond or (iii) to any insurance or condemnation proceeds or awards arising, in each case, from acts, omissions or events or damage to or destruction of property; (e) all Hydrocarbons produced and sold from the Assets with respect to all periods prior to the Effective Time; (f) all claims of any Seller or its Affiliates for refunds of, rights to receive funds from any Governmental Authority, or loss carry forwards or credits with respect to (i) Asset Taxes attributable to any period (or portion thereof) prior to the Effective Time, (ii) Income Taxes or (iii) any Taxes attributable to the Excluded Assets; (g) all personal computers and associated peripherals and all radio and telephone equipment; (h) all of Sellers’ proprietary computer software, patents, trade secrets, copyrights, names, trademarks, logos and other intellectual property; (i) all documents and instruments of Sellers that may be protected by an attorney-client privilege or any attorney work product doctrine excluding, however, title opinions; (j) all data that cannot be disclosed to Buyer as a result of confidentiality arrangements under agreements with Third Parties; (k) all audit rights arising under any of the Applicable Contracts or otherwise with respect to any period prior to the Effective Time or to any of the Excluded Assets, except for any Imbalances assumed by Buyer; (l) all geophysical and other seismic and related technical data and information relating to the Assets which Sellers may not disclose, assign or transfer under its existing agreements and licenses without making any additional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112" w:name="page113"/>
    <w:bookmarkEnd w:id="112"/>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payments, or incurring any liabilities or obligations except to the extent such payments, liabilities and obligations are permitted to be assumed by Buyer under the applicable agreements and the same are assumed by Buyer; (m) documents prepared or received by Sellers or their Affiliates with respect to (i) lists of prospective purchasers for such transactions compiled by Sellers, (ii) bids submitted by other prospective purchasers of the Assets, (iii) analyses by Sellers or their Affiliates of any bids submitted by any prospective purchaser, (iv) correspondence between or among Sellers, its respective representatives, and any prospective purchaser other than Buyer and (v) correspondence between Sellers or any of their representatives with respect to any of the bids, the prospective purchasers or the transactions contemplated by this Agreement; (n) any offices, office leases and any personal property located in or on such offices or office leases; (o) any leases and other assets specifically listed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(p) any Hedge Contracts; (q) any debt instruments; and (r) any assets described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that are not assignable.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Execution Date</w:t>
      </w:r>
      <w:r>
        <w:rPr>
          <w:rFonts w:ascii="Arial" w:cs="Arial" w:eastAsia="Arial" w:hAnsi="Arial"/>
          <w:sz w:val="22"/>
          <w:szCs w:val="22"/>
          <w:color w:val="auto"/>
        </w:rPr>
        <w:t>” shall have the meaning set forth in the introductory paragraph herein.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Filings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6.9</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Price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Settlement Statement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shall mean United States generally accepted accounting principles as in effect on the date hereof.</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shall mean any federal, state, local, municipal, tribal or other government; any governmental, regulatory or administrative agency, commission, body or other authority exercising or entitled to exercise any administrative, executive, judicial, legislative, regulatory or Taxing Authority or power, and any court or governmental tribunal, including any tribal authority having or asserting jurisdiction.</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Hazardous Substances</w:t>
      </w:r>
      <w:r>
        <w:rPr>
          <w:rFonts w:ascii="Arial" w:cs="Arial" w:eastAsia="Arial" w:hAnsi="Arial"/>
          <w:sz w:val="22"/>
          <w:szCs w:val="22"/>
          <w:color w:val="auto"/>
        </w:rPr>
        <w:t>” shall mean any pollutants, contaminants, toxins or hazardous or extremely hazardous substances, materials, wastes, constituents, compounds or chemicals that are regulated by, or may form the basis of liability under, any Environmental Laws.</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Hedge Contract</w:t>
      </w:r>
      <w:r>
        <w:rPr>
          <w:rFonts w:ascii="Arial" w:cs="Arial" w:eastAsia="Arial" w:hAnsi="Arial"/>
          <w:sz w:val="22"/>
          <w:szCs w:val="22"/>
          <w:color w:val="auto"/>
        </w:rPr>
        <w:t>” shall mean any Contract to which any Seller is a party with respect to any swap, forward, future or derivative transaction or option or similar agreement, whether exchange traded, “over-the-counter” or otherwise,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Holdback Amount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3.10(a)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Hydrocarbons</w:t>
      </w:r>
      <w:r>
        <w:rPr>
          <w:rFonts w:ascii="Arial" w:cs="Arial" w:eastAsia="Arial" w:hAnsi="Arial"/>
          <w:sz w:val="21"/>
          <w:szCs w:val="21"/>
          <w:color w:val="auto"/>
        </w:rPr>
        <w:t>” shall mean oil and gas and other hydrocarbons produced or processed in association therewith.</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Imbalances</w:t>
      </w:r>
      <w:r>
        <w:rPr>
          <w:rFonts w:ascii="Arial" w:cs="Arial" w:eastAsia="Arial" w:hAnsi="Arial"/>
          <w:sz w:val="22"/>
          <w:szCs w:val="22"/>
          <w:color w:val="auto"/>
        </w:rPr>
        <w:t>” shall mean all Well Imbalances and Pipeline Imbalances.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Income Taxes</w:t>
      </w:r>
      <w:r>
        <w:rPr>
          <w:rFonts w:ascii="Arial" w:cs="Arial" w:eastAsia="Arial" w:hAnsi="Arial"/>
          <w:sz w:val="22"/>
          <w:szCs w:val="22"/>
          <w:color w:val="auto"/>
        </w:rPr>
        <w:t>” shall mean any income, franchise and similar Taxes.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13.7(a)</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Indemnity Cap</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13.4(b)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Indemnity Deductible</w:t>
      </w:r>
      <w:r>
        <w:rPr>
          <w:rFonts w:ascii="Arial" w:cs="Arial" w:eastAsia="Arial" w:hAnsi="Arial"/>
          <w:sz w:val="22"/>
          <w:szCs w:val="22"/>
          <w:color w:val="auto"/>
        </w:rPr>
        <w:t>” shall mean one and one-half percent (1.5%) of the Purchase Price.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Individual Environmental Threshold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12.1(d)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Individual Indemnity Threshold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Individual Title Defect Threshold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Interim Period</w:t>
      </w:r>
      <w:r>
        <w:rPr>
          <w:rFonts w:ascii="Arial" w:cs="Arial" w:eastAsia="Arial" w:hAnsi="Arial"/>
          <w:sz w:val="22"/>
          <w:szCs w:val="22"/>
          <w:color w:val="auto"/>
        </w:rPr>
        <w:t>” shall mean that period of time commencing with the Effective Time and ending at 7:00 a.m. (Central Time) on the Closing Date.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w:t>
      </w:r>
      <w:r>
        <w:rPr>
          <w:rFonts w:ascii="Arial" w:cs="Arial" w:eastAsia="Arial" w:hAnsi="Arial"/>
          <w:sz w:val="22"/>
          <w:szCs w:val="22"/>
          <w:color w:val="auto"/>
        </w:rPr>
        <w:t>” shall mean with respect to Sellers, the actual knowledge (after due inquiry) of the following Persons: Jud Walker, Brandon Harbaugh, Kevin Leonard, Josh Coldwell and Mike Walther.</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Law</w:t>
      </w:r>
      <w:r>
        <w:rPr>
          <w:rFonts w:ascii="Arial" w:cs="Arial" w:eastAsia="Arial" w:hAnsi="Arial"/>
          <w:sz w:val="22"/>
          <w:szCs w:val="22"/>
          <w:color w:val="auto"/>
        </w:rPr>
        <w:t>” shall mean any applicable statute, law, rule, regulation, ordinance, order, code, ruling, writ, injunction, decree or other official act of or by any Governmental Authority.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Leases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Liabilities</w:t>
      </w:r>
      <w:r>
        <w:rPr>
          <w:rFonts w:ascii="Arial" w:cs="Arial" w:eastAsia="Arial" w:hAnsi="Arial"/>
          <w:sz w:val="22"/>
          <w:szCs w:val="22"/>
          <w:color w:val="auto"/>
        </w:rPr>
        <w:t>” shall mean any and all claims, obligations, causes of action, payments, charges, demands, judgments, assessments, liabilities, losses, damages, penalties, fines and costs and expenses, including any attorneys’ fees, legal or other expenses incurred in connection therewith.</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Adverse Effect</w:t>
      </w:r>
      <w:r>
        <w:rPr>
          <w:rFonts w:ascii="Arial" w:cs="Arial" w:eastAsia="Arial" w:hAnsi="Arial"/>
          <w:sz w:val="19"/>
          <w:szCs w:val="19"/>
          <w:color w:val="auto"/>
        </w:rPr>
        <w:t>” shall mean an event or circumstance that, individually or in the aggregate, results in (i) a material adverse effect on the ownership, operation or value of the Assets that is reasonably expected to equal or exceed ninety five million dollars ($95,000,000) or (ii) a material adverse effect on the ability of Sellers to consummate the transactions contemplated by this Agreement and perform its obligations hereunder; provided, however, that a Material Adverse Effect shall not include any material adverse effects resulting from: (a) entering into this Agreement or the announcement of the transactions contemplated by this Agreement; (b) any action or omission of Sellers taken in accordance with the terms of this Agreement without the violation thereof or with the prior written consent of Buyer; (c) changes in general market, economic, financial or political conditions (including changes in commodity prices, fuel supply or transportation markets, interest or rates) in the area in which the Assets are located, the United States or worldwide; (d) changes in conditions or developments generally applicable to the oil and gas industry in the area where the Assets are located; (e) acts of God, including hurricanes, storms or other naturally occurring events; (f) acts or failures to act of Governmental Authorities; (g) civil unrest, any outbreak of disease or hostilities, terrorist activities or war or any similar disorder; (h) matters that are cured or no longer exist by the earlier of Closing and the termination of this Agreement; (i) a change in Laws and any interpretations thereof from and after the date of this Agreement; (j) any reclassification or recalculation of reserves in the ordinary course of business; (k) changes in the prices of Hydrocarbons; and (l) natural declines in well performance.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Casualty Loss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11.3(b)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Revenue Interest</w:t>
      </w:r>
      <w:r>
        <w:rPr>
          <w:rFonts w:ascii="Arial" w:cs="Arial" w:eastAsia="Arial" w:hAnsi="Arial"/>
          <w:sz w:val="22"/>
          <w:szCs w:val="22"/>
          <w:color w:val="auto"/>
        </w:rPr>
        <w:t xml:space="preserve">” shall mean, with respect to any Lease, Well or Well Location (subject to any reservations, limitations or depth restrictions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B</w:t>
      </w:r>
      <w:r>
        <w:rPr>
          <w:rFonts w:ascii="Arial" w:cs="Arial" w:eastAsia="Arial" w:hAnsi="Arial"/>
          <w:sz w:val="22"/>
          <w:szCs w:val="22"/>
          <w:color w:val="auto"/>
        </w:rPr>
        <w:t>), the interest in and to all Hydrocarbons produced, saved and sold from or allocated to such Lease, Well or Well Location (subject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any reservations, limitations or depth restrictions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B</w:t>
      </w:r>
      <w:r>
        <w:rPr>
          <w:rFonts w:ascii="Arial" w:cs="Arial" w:eastAsia="Arial" w:hAnsi="Arial"/>
          <w:sz w:val="22"/>
          <w:szCs w:val="22"/>
          <w:color w:val="auto"/>
        </w:rPr>
        <w:t>), after giving effect to all Burdens.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New Wells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NORM</w:t>
      </w:r>
      <w:r>
        <w:rPr>
          <w:rFonts w:ascii="Arial" w:cs="Arial" w:eastAsia="Arial" w:hAnsi="Arial"/>
          <w:sz w:val="22"/>
          <w:szCs w:val="22"/>
          <w:color w:val="auto"/>
        </w:rPr>
        <w:t>” shall mean naturally occurring radioactive material.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Expenses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Overhead Costs</w:t>
      </w:r>
      <w:r>
        <w:rPr>
          <w:rFonts w:ascii="Arial" w:cs="Arial" w:eastAsia="Arial" w:hAnsi="Arial"/>
          <w:sz w:val="21"/>
          <w:szCs w:val="21"/>
          <w:color w:val="auto"/>
        </w:rPr>
        <w:t>” shall mean with respect to those Assets that are operated by a Sellers or a Third Party and (a) are burdened by an existing joint operating agreement covering such Assets, the amount representing the overhead or general and administrative fee that is charged to other working interest owners with interests in such Assets as set forth in the accounting procedures attached to such joint operating agreement, which amount is attributable to the Assets during the Interim Period, and (b) with respect to those Assets that are not burdened by an existing joint operating agreement, an amount equal to a portion of $12,000.00 per Well per month undergoing drilling or completion operations and $1,200.00 per producing Well per month attributable to the Assets during the Interim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shall have the meaning set forth in the introductory paragraph herein.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Encumbrances</w:t>
      </w:r>
      <w:r>
        <w:rPr>
          <w:rFonts w:ascii="Arial" w:cs="Arial" w:eastAsia="Arial" w:hAnsi="Arial"/>
          <w:sz w:val="22"/>
          <w:szCs w:val="22"/>
          <w:color w:val="auto"/>
        </w:rPr>
        <w:t>” shall mean:</w:t>
      </w:r>
    </w:p>
    <w:p>
      <w:pPr>
        <w:spacing w:after="0" w:line="220" w:lineRule="exact"/>
        <w:rPr>
          <w:sz w:val="20"/>
          <w:szCs w:val="20"/>
          <w:color w:val="auto"/>
        </w:rPr>
      </w:pPr>
    </w:p>
    <w:p>
      <w:pPr>
        <w:jc w:val="both"/>
        <w:ind w:firstLine="1305"/>
        <w:spacing w:after="0" w:line="297" w:lineRule="auto"/>
        <w:tabs>
          <w:tab w:leader="none" w:pos="1730"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all Burdens if the net cumulative effect of such Burdens does not operate to reduce the Net Revenue Interest of Sellers with respect to any Lease, Well or Well Location to an amount less than the Net Revenue Interest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for such Lease, Well or Well Location, and does not obligate Sellers to bear a Working Interest with respect to any Lease, Well or Well Location in any amount greater than the Working Interest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for such Lease, Well or Well Location (unless the Net Revenue Interest for such Lease, Well or Well Location is greater than the Net Revenue Interest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in the same or greater proportion as any increase in such Working Interest);</w:t>
      </w:r>
    </w:p>
    <w:p>
      <w:pPr>
        <w:spacing w:after="0" w:line="146" w:lineRule="exact"/>
        <w:rPr>
          <w:rFonts w:ascii="Arial" w:cs="Arial" w:eastAsia="Arial" w:hAnsi="Arial"/>
          <w:sz w:val="19"/>
          <w:szCs w:val="19"/>
          <w:color w:val="auto"/>
        </w:rPr>
      </w:pPr>
    </w:p>
    <w:p>
      <w:pPr>
        <w:ind w:left="1740" w:hanging="435"/>
        <w:spacing w:after="0"/>
        <w:tabs>
          <w:tab w:leader="none" w:pos="17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liens for Taxes not yet due or delinquent;</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required consents to assignment and similar agreements;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Customary Post-Closing Consents;</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conventional rights of reassignment;</w:t>
      </w:r>
    </w:p>
    <w:p>
      <w:pPr>
        <w:spacing w:after="0" w:line="233" w:lineRule="exact"/>
        <w:rPr>
          <w:rFonts w:ascii="Arial" w:cs="Arial" w:eastAsia="Arial" w:hAnsi="Arial"/>
          <w:sz w:val="22"/>
          <w:szCs w:val="22"/>
          <w:color w:val="auto"/>
        </w:rPr>
      </w:pPr>
    </w:p>
    <w:p>
      <w:pPr>
        <w:ind w:left="1840" w:hanging="535"/>
        <w:spacing w:after="0"/>
        <w:tabs>
          <w:tab w:leader="none" w:pos="18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such Title Defects as Buyer may have waived or is deemed to have waived pursuant to the terms of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15" w:lineRule="exact"/>
        <w:rPr>
          <w:rFonts w:ascii="Arial" w:cs="Arial" w:eastAsia="Arial" w:hAnsi="Arial"/>
          <w:sz w:val="19"/>
          <w:szCs w:val="19"/>
          <w:color w:val="auto"/>
        </w:rPr>
      </w:pPr>
    </w:p>
    <w:p>
      <w:pPr>
        <w:jc w:val="both"/>
        <w:ind w:firstLine="1305"/>
        <w:spacing w:after="0" w:line="264" w:lineRule="auto"/>
        <w:tabs>
          <w:tab w:leader="none" w:pos="1742" w:val="left"/>
        </w:tabs>
        <w:numPr>
          <w:ilvl w:val="0"/>
          <w:numId w:val="86"/>
        </w:numPr>
        <w:rPr>
          <w:rFonts w:ascii="Arial" w:cs="Arial" w:eastAsia="Arial" w:hAnsi="Arial"/>
          <w:sz w:val="21"/>
          <w:szCs w:val="21"/>
          <w:color w:val="auto"/>
        </w:rPr>
      </w:pPr>
      <w:r>
        <w:rPr>
          <w:rFonts w:ascii="Arial" w:cs="Arial" w:eastAsia="Arial" w:hAnsi="Arial"/>
          <w:sz w:val="21"/>
          <w:szCs w:val="21"/>
          <w:color w:val="auto"/>
        </w:rPr>
        <w:t>all Laws and all rights reserved to or vested in any Governmental Authority (i) to control or regulate any Asset in any manner; (ii) by the terms of any right, power, franchise, grant, license or permit, or by any provision of Law, to terminate such right, power, franchise, grant, license or permit or to purchase, condemn, expropriate or recapture or to designate a purchaser of any of the Assets; (iii) to use such property in a manner which does not materially impair the use of such property for the purposes for which it is currently owned and operated; or (iv) to enforce any obligations or duties affecting the Assets to any Governmental Authority with respect to any franchise, grant, license or permit;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ind w:firstLine="1305"/>
        <w:spacing w:after="0" w:line="276" w:lineRule="auto"/>
        <w:tabs>
          <w:tab w:leader="none" w:pos="1837" w:val="left"/>
        </w:tabs>
        <w:numPr>
          <w:ilvl w:val="0"/>
          <w:numId w:val="87"/>
        </w:numPr>
        <w:rPr>
          <w:rFonts w:ascii="Arial" w:cs="Arial" w:eastAsia="Arial" w:hAnsi="Arial"/>
          <w:sz w:val="22"/>
          <w:szCs w:val="22"/>
          <w:color w:val="auto"/>
        </w:rPr>
      </w:pPr>
      <w:r>
        <w:rPr>
          <w:rFonts w:ascii="Arial" w:cs="Arial" w:eastAsia="Arial" w:hAnsi="Arial"/>
          <w:sz w:val="22"/>
          <w:szCs w:val="22"/>
          <w:color w:val="auto"/>
        </w:rPr>
        <w:t>rights of a common owner of any interest in rights-of-way, permits or easements held by Sellers and such common owner as tenants in common or through common ownership;</w:t>
      </w:r>
    </w:p>
    <w:p>
      <w:pPr>
        <w:spacing w:after="0" w:line="160" w:lineRule="exact"/>
        <w:rPr>
          <w:rFonts w:ascii="Arial" w:cs="Arial" w:eastAsia="Arial" w:hAnsi="Arial"/>
          <w:sz w:val="22"/>
          <w:szCs w:val="22"/>
          <w:color w:val="auto"/>
        </w:rPr>
      </w:pPr>
    </w:p>
    <w:p>
      <w:pPr>
        <w:jc w:val="both"/>
        <w:ind w:firstLine="1305"/>
        <w:spacing w:after="0" w:line="266" w:lineRule="auto"/>
        <w:tabs>
          <w:tab w:leader="none" w:pos="1694" w:val="left"/>
        </w:tabs>
        <w:numPr>
          <w:ilvl w:val="0"/>
          <w:numId w:val="87"/>
        </w:numPr>
        <w:rPr>
          <w:rFonts w:ascii="Arial" w:cs="Arial" w:eastAsia="Arial" w:hAnsi="Arial"/>
          <w:sz w:val="21"/>
          <w:szCs w:val="21"/>
          <w:color w:val="auto"/>
        </w:rPr>
      </w:pPr>
      <w:r>
        <w:rPr>
          <w:rFonts w:ascii="Arial" w:cs="Arial" w:eastAsia="Arial" w:hAnsi="Arial"/>
          <w:sz w:val="21"/>
          <w:szCs w:val="21"/>
          <w:color w:val="auto"/>
        </w:rPr>
        <w:t>easements, conditions, covenants, restrictions, servitudes, permits, rights-of-way, surface leases and other rights in the Assets for the purpose of operations, facilities, roads, alleys, highways, railways, pipelines, transmission lines, transportation lines, distribution lines, power lines, telephone lines, removal of timber, grazing, logging operations, canals, ditches, reservoirs and other like purposes, or for the joint or common use of real estate, rights-of-way, facilities and equipment, which, in each case, do not materially impair with the ownership, operation or use of the affected Asset;</w:t>
      </w:r>
    </w:p>
    <w:p>
      <w:pPr>
        <w:spacing w:after="0" w:line="174" w:lineRule="exact"/>
        <w:rPr>
          <w:rFonts w:ascii="Arial" w:cs="Arial" w:eastAsia="Arial" w:hAnsi="Arial"/>
          <w:sz w:val="21"/>
          <w:szCs w:val="21"/>
          <w:color w:val="auto"/>
        </w:rPr>
      </w:pPr>
    </w:p>
    <w:p>
      <w:pPr>
        <w:jc w:val="both"/>
        <w:ind w:firstLine="1305"/>
        <w:spacing w:after="0" w:line="254" w:lineRule="auto"/>
        <w:tabs>
          <w:tab w:leader="none" w:pos="1734" w:val="left"/>
        </w:tabs>
        <w:numPr>
          <w:ilvl w:val="0"/>
          <w:numId w:val="87"/>
        </w:numPr>
        <w:rPr>
          <w:rFonts w:ascii="Arial" w:cs="Arial" w:eastAsia="Arial" w:hAnsi="Arial"/>
          <w:sz w:val="22"/>
          <w:szCs w:val="22"/>
          <w:color w:val="auto"/>
        </w:rPr>
      </w:pPr>
      <w:r>
        <w:rPr>
          <w:rFonts w:ascii="Arial" w:cs="Arial" w:eastAsia="Arial" w:hAnsi="Arial"/>
          <w:sz w:val="22"/>
          <w:szCs w:val="22"/>
          <w:color w:val="auto"/>
        </w:rPr>
        <w:t>vendors, carriers, warehousemen’s, repairmen’s, mechanics’, workmen’s, materialmen’s, construction or other like liens arising by operation of Law in the ordinary course of business or incident to the construction or improvement of any property in respect of obligations which are not yet due or which are being contested in good faith by appropriate proceedings by or on behalf of Sellers;</w:t>
      </w:r>
    </w:p>
    <w:p>
      <w:pPr>
        <w:spacing w:after="0" w:line="185" w:lineRule="exact"/>
        <w:rPr>
          <w:rFonts w:ascii="Arial" w:cs="Arial" w:eastAsia="Arial" w:hAnsi="Arial"/>
          <w:sz w:val="22"/>
          <w:szCs w:val="22"/>
          <w:color w:val="auto"/>
        </w:rPr>
      </w:pPr>
    </w:p>
    <w:p>
      <w:pPr>
        <w:ind w:firstLine="1305"/>
        <w:spacing w:after="0" w:line="301" w:lineRule="auto"/>
        <w:tabs>
          <w:tab w:leader="none" w:pos="1742" w:val="left"/>
        </w:tabs>
        <w:numPr>
          <w:ilvl w:val="0"/>
          <w:numId w:val="87"/>
        </w:numPr>
        <w:rPr>
          <w:rFonts w:ascii="Arial" w:cs="Arial" w:eastAsia="Arial" w:hAnsi="Arial"/>
          <w:sz w:val="21"/>
          <w:szCs w:val="21"/>
          <w:color w:val="auto"/>
        </w:rPr>
      </w:pPr>
      <w:r>
        <w:rPr>
          <w:rFonts w:ascii="Arial" w:cs="Arial" w:eastAsia="Arial" w:hAnsi="Arial"/>
          <w:sz w:val="21"/>
          <w:szCs w:val="21"/>
          <w:color w:val="auto"/>
        </w:rPr>
        <w:t>liens created under the Assets or operating agreements or by operation of Law in respect of obligations that are not yet due or that are being contested in good faith by appropriate proceedings by or on behalf of Sellers;</w:t>
      </w:r>
    </w:p>
    <w:p>
      <w:pPr>
        <w:spacing w:after="0" w:line="137" w:lineRule="exact"/>
        <w:rPr>
          <w:rFonts w:ascii="Arial" w:cs="Arial" w:eastAsia="Arial" w:hAnsi="Arial"/>
          <w:sz w:val="21"/>
          <w:szCs w:val="21"/>
          <w:color w:val="auto"/>
        </w:rPr>
      </w:pPr>
    </w:p>
    <w:p>
      <w:pPr>
        <w:ind w:right="20" w:firstLine="1305"/>
        <w:spacing w:after="0" w:line="276" w:lineRule="auto"/>
        <w:tabs>
          <w:tab w:leader="none" w:pos="1748" w:val="left"/>
        </w:tabs>
        <w:numPr>
          <w:ilvl w:val="0"/>
          <w:numId w:val="87"/>
        </w:numPr>
        <w:rPr>
          <w:rFonts w:ascii="Arial" w:cs="Arial" w:eastAsia="Arial" w:hAnsi="Arial"/>
          <w:sz w:val="22"/>
          <w:szCs w:val="22"/>
          <w:color w:val="auto"/>
        </w:rPr>
      </w:pPr>
      <w:r>
        <w:rPr>
          <w:rFonts w:ascii="Arial" w:cs="Arial" w:eastAsia="Arial" w:hAnsi="Arial"/>
          <w:sz w:val="22"/>
          <w:szCs w:val="22"/>
          <w:color w:val="auto"/>
        </w:rPr>
        <w:t>with respect to any interest in the Assets acquired through compulsory pooling, failure of the records of any Governmental Authority to reflect Sellers as the owner of an Asset;</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Encumbrance affecting the Assets that is discharged by Sellers at or prior to Closing;</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any matter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B</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firstLine="1305"/>
        <w:spacing w:after="0" w:line="358" w:lineRule="auto"/>
        <w:tabs>
          <w:tab w:leader="none" w:pos="1756" w:val="left"/>
        </w:tabs>
        <w:numPr>
          <w:ilvl w:val="0"/>
          <w:numId w:val="87"/>
        </w:numPr>
        <w:rPr>
          <w:rFonts w:ascii="Arial" w:cs="Arial" w:eastAsia="Arial" w:hAnsi="Arial"/>
          <w:sz w:val="19"/>
          <w:szCs w:val="19"/>
          <w:color w:val="auto"/>
        </w:rPr>
      </w:pPr>
      <w:r>
        <w:rPr>
          <w:rFonts w:ascii="Arial" w:cs="Arial" w:eastAsia="Arial" w:hAnsi="Arial"/>
          <w:sz w:val="19"/>
          <w:szCs w:val="19"/>
          <w:color w:val="auto"/>
        </w:rPr>
        <w:t>mortgage liens burdening a lessor’s interest in the Assets, provided that with respect to any Lease entered into after the date of such mortgages, such mortgages are subordinated to the interests of Sellers in the affected Lease.</w:t>
      </w:r>
    </w:p>
    <w:p>
      <w:pPr>
        <w:spacing w:after="0" w:line="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shall mean any individual, firm, corporation, partnership, limited liability company, joint venture, association, trust, unincorporated organization, Governmental Authority or any other entity.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Personal Property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2.1(f)</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Pipeline Imbalance</w:t>
      </w:r>
      <w:r>
        <w:rPr>
          <w:rFonts w:ascii="Arial" w:cs="Arial" w:eastAsia="Arial" w:hAnsi="Arial"/>
          <w:sz w:val="22"/>
          <w:szCs w:val="22"/>
          <w:color w:val="auto"/>
        </w:rPr>
        <w:t>” shall mean any marketing imbalance between the quantity of Hydrocarbons attributable to the Assets required to be delivered by Sellers under any Contract relating to the purchase and sale, gathering, transportation, storage, processing (including any production handling and processing at a separation facility) or marketing of Hydrocarbons and the quantity of Hydrocarbons attributable to the Assets actually delivered by Sellers pursuant to the relevant Contract, together with any appurtenant rights and obligations concerning production balancing at the delivery point into the relevant sale, transportation, storage or processing facility.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Preferential Purchase Right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4.10</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Preliminary Settlement Statement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3.5</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2.1(g)</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Records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6.9</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Remediation</w:t>
      </w:r>
      <w:r>
        <w:rPr>
          <w:rFonts w:ascii="Arial" w:cs="Arial" w:eastAsia="Arial" w:hAnsi="Arial"/>
          <w:sz w:val="22"/>
          <w:szCs w:val="22"/>
          <w:color w:val="auto"/>
        </w:rPr>
        <w:t>” shall mean, with respect to an Environmental Condition, the implementation and completion of any remedial, removal, response, construction, closure, disposal or other corrective actions required under Environmental Laws to correct or remove such Environmental Condition.</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Remediation Amount</w:t>
      </w:r>
      <w:r>
        <w:rPr>
          <w:rFonts w:ascii="Arial" w:cs="Arial" w:eastAsia="Arial" w:hAnsi="Arial"/>
          <w:sz w:val="21"/>
          <w:szCs w:val="21"/>
          <w:color w:val="auto"/>
        </w:rPr>
        <w:t>” shall mean, with respect to an Environmental Condition, the present value as of the Closing Date (using an annual discount rate of 10%) of the cost (net to Sellers’ interest prior to the consummation of the transactions contemplated by this Agreement) of the most cost-effective Remediation of such Environmental Condition.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6.9</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and “</w:t>
      </w:r>
      <w:r>
        <w:rPr>
          <w:rFonts w:ascii="Arial" w:cs="Arial" w:eastAsia="Arial" w:hAnsi="Arial"/>
          <w:sz w:val="22"/>
          <w:szCs w:val="22"/>
          <w:b w:val="1"/>
          <w:bCs w:val="1"/>
          <w:i w:val="1"/>
          <w:iCs w:val="1"/>
          <w:color w:val="auto"/>
        </w:rPr>
        <w:t>Sellers</w:t>
      </w:r>
      <w:r>
        <w:rPr>
          <w:rFonts w:ascii="Arial" w:cs="Arial" w:eastAsia="Arial" w:hAnsi="Arial"/>
          <w:sz w:val="22"/>
          <w:szCs w:val="22"/>
          <w:color w:val="auto"/>
        </w:rPr>
        <w:t>” shall have the meanings set forth in the introductory paragraph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Indemnified Parties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Representative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15.17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Warranty Claim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11.1(c)(i)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Limitations</w:t>
      </w:r>
      <w:r>
        <w:rPr>
          <w:rFonts w:ascii="Arial" w:cs="Arial" w:eastAsia="Arial" w:hAnsi="Arial"/>
          <w:sz w:val="22"/>
          <w:szCs w:val="22"/>
          <w:color w:val="auto"/>
        </w:rPr>
        <w:t xml:space="preserve">” shall mean, subject to any matter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as applicable, any reservations, limitations or depth restrictions described on </w:t>
      </w:r>
      <w:r>
        <w:rPr>
          <w:rFonts w:ascii="Arial" w:cs="Arial" w:eastAsia="Arial" w:hAnsi="Arial"/>
          <w:sz w:val="22"/>
          <w:szCs w:val="22"/>
          <w:u w:val="single" w:color="auto"/>
          <w:color w:val="auto"/>
        </w:rPr>
        <w:t>Schedule 3.8</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Specified Obligations</w:t>
      </w:r>
      <w:r>
        <w:rPr>
          <w:rFonts w:ascii="Arial" w:cs="Arial" w:eastAsia="Arial" w:hAnsi="Arial"/>
          <w:sz w:val="22"/>
          <w:szCs w:val="22"/>
          <w:color w:val="auto"/>
        </w:rPr>
        <w:t xml:space="preserve">” shall have the meaning set forth </w:t>
      </w:r>
      <w:r>
        <w:rPr>
          <w:rFonts w:ascii="Arial" w:cs="Arial" w:eastAsia="Arial" w:hAnsi="Arial"/>
          <w:sz w:val="22"/>
          <w:szCs w:val="22"/>
          <w:u w:val="single" w:color="auto"/>
          <w:color w:val="auto"/>
        </w:rPr>
        <w:t>Section 13.1(b)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Specified Representations</w:t>
      </w:r>
      <w:r>
        <w:rPr>
          <w:rFonts w:ascii="Arial" w:cs="Arial" w:eastAsia="Arial" w:hAnsi="Arial"/>
          <w:sz w:val="19"/>
          <w:szCs w:val="19"/>
          <w:color w:val="auto"/>
        </w:rPr>
        <w:t xml:space="preserve">” shall mean the representations and warranties in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w:t>
      </w:r>
      <w:r>
        <w:rPr>
          <w:rFonts w:ascii="Arial" w:cs="Arial" w:eastAsia="Arial" w:hAnsi="Arial"/>
          <w:sz w:val="19"/>
          <w:szCs w:val="19"/>
          <w:u w:val="single" w:color="auto"/>
          <w:color w:val="auto"/>
        </w:rPr>
        <w:t>4.21</w:t>
      </w:r>
      <w:r>
        <w:rPr>
          <w:rFonts w:ascii="Arial" w:cs="Arial" w:eastAsia="Arial" w:hAnsi="Arial"/>
          <w:sz w:val="19"/>
          <w:szCs w:val="19"/>
          <w:color w:val="auto"/>
        </w:rPr>
        <w:t xml:space="preserve">, </w:t>
      </w:r>
      <w:r>
        <w:rPr>
          <w:rFonts w:ascii="Arial" w:cs="Arial" w:eastAsia="Arial" w:hAnsi="Arial"/>
          <w:sz w:val="19"/>
          <w:szCs w:val="19"/>
          <w:u w:val="single" w:color="auto"/>
          <w:color w:val="auto"/>
        </w:rPr>
        <w:t>5.1</w:t>
      </w:r>
      <w:r>
        <w:rPr>
          <w:rFonts w:ascii="Arial" w:cs="Arial" w:eastAsia="Arial" w:hAnsi="Arial"/>
          <w:sz w:val="19"/>
          <w:szCs w:val="19"/>
          <w:color w:val="auto"/>
        </w:rPr>
        <w:t xml:space="preserve">, </w:t>
      </w:r>
      <w:r>
        <w:rPr>
          <w:rFonts w:ascii="Arial" w:cs="Arial" w:eastAsia="Arial" w:hAnsi="Arial"/>
          <w:sz w:val="19"/>
          <w:szCs w:val="19"/>
          <w:u w:val="single" w:color="auto"/>
          <w:color w:val="auto"/>
        </w:rPr>
        <w:t>5.2</w:t>
      </w:r>
      <w:r>
        <w:rPr>
          <w:rFonts w:ascii="Arial" w:cs="Arial" w:eastAsia="Arial" w:hAnsi="Arial"/>
          <w:sz w:val="19"/>
          <w:szCs w:val="19"/>
          <w:color w:val="auto"/>
        </w:rPr>
        <w:t xml:space="preserve">, </w:t>
      </w:r>
      <w:r>
        <w:rPr>
          <w:rFonts w:ascii="Arial" w:cs="Arial" w:eastAsia="Arial" w:hAnsi="Arial"/>
          <w:sz w:val="19"/>
          <w:szCs w:val="19"/>
          <w:u w:val="single" w:color="auto"/>
          <w:color w:val="auto"/>
        </w:rPr>
        <w:t>5.10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5.11</w:t>
      </w:r>
      <w:r>
        <w:rPr>
          <w:rFonts w:ascii="Arial" w:cs="Arial" w:eastAsia="Arial" w:hAnsi="Arial"/>
          <w:sz w:val="19"/>
          <w:szCs w:val="19"/>
          <w:color w:val="auto"/>
        </w:rPr>
        <w: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Straddle Period</w:t>
      </w:r>
      <w:r>
        <w:rPr>
          <w:rFonts w:ascii="Arial" w:cs="Arial" w:eastAsia="Arial" w:hAnsi="Arial"/>
          <w:sz w:val="22"/>
          <w:szCs w:val="22"/>
          <w:color w:val="auto"/>
        </w:rPr>
        <w:t>” shall mean any Tax period beginning before and ending after the Effective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Survival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11.1(c)(i)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shall mean any taxes, assessments and other governmental charges imposed by any Governmental Authority, including income, profits, gross receipts, employment, stamp, occupation, premium, alternative or add-on minimum, ad valorem, real property, personal property, transfer, real property transfer, value added, sales, use, customs, duties, capital stock, franchise, excise, withholding, social security (or similar), unemployment, disability, payroll, windfall profit, severance, production, estimated or other tax, including any interest, penalty or addition thereto, whether disputed or not.</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Taxing Authority</w:t>
      </w:r>
      <w:r>
        <w:rPr>
          <w:rFonts w:ascii="Arial" w:cs="Arial" w:eastAsia="Arial" w:hAnsi="Arial"/>
          <w:sz w:val="22"/>
          <w:szCs w:val="22"/>
          <w:color w:val="auto"/>
        </w:rPr>
        <w:t>” shall mean, with respect to any Tax, the governmental entity or political subdivision thereof that imposes such Tax, and the agency (if any) charged with the collection of such Tax for such entity or subdivision, including any governmental or quasi-governmental entity or agency that imposes, or is charged with collecting, social security or similar charges or premiums.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Third Party</w:t>
      </w:r>
      <w:r>
        <w:rPr>
          <w:rFonts w:ascii="Arial" w:cs="Arial" w:eastAsia="Arial" w:hAnsi="Arial"/>
          <w:sz w:val="19"/>
          <w:szCs w:val="19"/>
          <w:color w:val="auto"/>
        </w:rPr>
        <w:t>” shall mean any Person other than a Party to this Agreement or an Affiliate of a Party to this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 Claim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13.7(b)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Arbitrator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11.2(j)</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117" w:name="page118"/>
    <w:bookmarkEnd w:id="117"/>
    <w:p>
      <w:pPr>
        <w:ind w:left="10480"/>
        <w:spacing w:after="0"/>
        <w:rPr>
          <w:sz w:val="20"/>
          <w:szCs w:val="20"/>
          <w:color w:val="auto"/>
        </w:rPr>
      </w:pPr>
      <w:r>
        <w:rPr>
          <w:rFonts w:ascii="Arial" w:cs="Arial" w:eastAsia="Arial" w:hAnsi="Arial"/>
          <w:sz w:val="16"/>
          <w:szCs w:val="16"/>
          <w:b w:val="1"/>
          <w:bCs w:val="1"/>
          <w:color w:val="auto"/>
        </w:rPr>
        <w:t>Exhibit 10.1</w:t>
      </w:r>
    </w:p>
    <w:p>
      <w:pPr>
        <w:spacing w:after="0" w:line="2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Title Benefit</w:t>
      </w:r>
      <w:r>
        <w:rPr>
          <w:rFonts w:ascii="Arial" w:cs="Arial" w:eastAsia="Arial" w:hAnsi="Arial"/>
          <w:sz w:val="21"/>
          <w:szCs w:val="21"/>
          <w:color w:val="auto"/>
        </w:rPr>
        <w:t xml:space="preserve">” shall mean, with respect to each Lease, Well and Well Location shown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any right, circumstance or condition that operates to increase the Net Revenue Interest of Sellers above that shown for such Lease, Well or Well Location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 the extent the same does not cause a greater than proportionate increase in Sellers’ Working Interest therein above that shown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or (b) to decrease the Working Interest of Sellers in any Lease, Well or Well Location below that shown for such Lease, Well or Well Location on Exhibit A or Exhibit B to the extent the same causes a decrease in Sellers’ Working Interest that is proportionately greater than the decrease in Sellers’ Net Revenue Interest therein below that shown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Benefit Amount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Benefit Notice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Benefit Property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Claim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Defect</w:t>
      </w:r>
      <w:r>
        <w:rPr>
          <w:rFonts w:ascii="Arial" w:cs="Arial" w:eastAsia="Arial" w:hAnsi="Arial"/>
          <w:sz w:val="22"/>
          <w:szCs w:val="22"/>
          <w:color w:val="auto"/>
        </w:rPr>
        <w:t>” shall mean any Encumbrance, defect or other matter that causes Sellers not to have Defensible Title in and to the Leases, Wells or Well Locations as of the Effective Time, without duplication; provided that the following shall not be considered Title Defects:</w:t>
      </w:r>
    </w:p>
    <w:p>
      <w:pPr>
        <w:spacing w:after="0" w:line="186" w:lineRule="exact"/>
        <w:rPr>
          <w:sz w:val="20"/>
          <w:szCs w:val="20"/>
          <w:color w:val="auto"/>
        </w:rPr>
      </w:pPr>
    </w:p>
    <w:p>
      <w:pPr>
        <w:jc w:val="both"/>
        <w:ind w:firstLine="1305"/>
        <w:spacing w:after="0" w:line="260" w:lineRule="auto"/>
        <w:tabs>
          <w:tab w:leader="none" w:pos="1730" w:val="left"/>
        </w:tabs>
        <w:numPr>
          <w:ilvl w:val="0"/>
          <w:numId w:val="88"/>
        </w:numPr>
        <w:rPr>
          <w:rFonts w:ascii="Arial" w:cs="Arial" w:eastAsia="Arial" w:hAnsi="Arial"/>
          <w:sz w:val="22"/>
          <w:szCs w:val="22"/>
          <w:color w:val="auto"/>
        </w:rPr>
      </w:pPr>
      <w:r>
        <w:rPr>
          <w:rFonts w:ascii="Arial" w:cs="Arial" w:eastAsia="Arial" w:hAnsi="Arial"/>
          <w:sz w:val="22"/>
          <w:szCs w:val="22"/>
          <w:color w:val="auto"/>
        </w:rPr>
        <w:t>defects arising out of lack of corporate or other entity authorization unless Buyer provides affirmative evidence that such corporate or other entity action was not authorized and results in another Person’s superior claim of title to the relevant Asset;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83" w:val="left"/>
        </w:tabs>
        <w:numPr>
          <w:ilvl w:val="0"/>
          <w:numId w:val="88"/>
        </w:numPr>
        <w:rPr>
          <w:rFonts w:ascii="Arial" w:cs="Arial" w:eastAsia="Arial" w:hAnsi="Arial"/>
          <w:sz w:val="22"/>
          <w:szCs w:val="22"/>
          <w:color w:val="auto"/>
        </w:rPr>
      </w:pPr>
      <w:r>
        <w:rPr>
          <w:rFonts w:ascii="Arial" w:cs="Arial" w:eastAsia="Arial" w:hAnsi="Arial"/>
          <w:sz w:val="22"/>
          <w:szCs w:val="22"/>
          <w:color w:val="auto"/>
        </w:rPr>
        <w:t>defects based on a gap in Sellers’ chain of title in the applicable federal, state or county records, unless such gap is affirmatively shown to exist in such records by an abstract of title, title opinion or landman’s title chain which documents shall be included in a Title Defect Notice;</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16" w:val="left"/>
        </w:tabs>
        <w:numPr>
          <w:ilvl w:val="0"/>
          <w:numId w:val="88"/>
        </w:numPr>
        <w:rPr>
          <w:rFonts w:ascii="Arial" w:cs="Arial" w:eastAsia="Arial" w:hAnsi="Arial"/>
          <w:sz w:val="22"/>
          <w:szCs w:val="22"/>
          <w:color w:val="auto"/>
        </w:rPr>
      </w:pPr>
      <w:r>
        <w:rPr>
          <w:rFonts w:ascii="Arial" w:cs="Arial" w:eastAsia="Arial" w:hAnsi="Arial"/>
          <w:sz w:val="22"/>
          <w:szCs w:val="22"/>
          <w:color w:val="auto"/>
        </w:rPr>
        <w:t>defects based on the failure to recite marital status in a document or omission of successors or heirship or estate proceedings unless Buyer provides affirmative evidence that such failure or omission results in another Person’s actual and superior claim of title to the relevant Asset;</w:t>
      </w:r>
    </w:p>
    <w:p>
      <w:pPr>
        <w:spacing w:after="0" w:line="177" w:lineRule="exact"/>
        <w:rPr>
          <w:rFonts w:ascii="Arial" w:cs="Arial" w:eastAsia="Arial" w:hAnsi="Arial"/>
          <w:sz w:val="22"/>
          <w:szCs w:val="22"/>
          <w:color w:val="auto"/>
        </w:rPr>
      </w:pPr>
    </w:p>
    <w:p>
      <w:pPr>
        <w:ind w:left="1960" w:hanging="655"/>
        <w:spacing w:after="0"/>
        <w:tabs>
          <w:tab w:leader="none" w:pos="1960" w:val="left"/>
        </w:tabs>
        <w:numPr>
          <w:ilvl w:val="0"/>
          <w:numId w:val="88"/>
        </w:numPr>
        <w:rPr>
          <w:rFonts w:ascii="Arial" w:cs="Arial" w:eastAsia="Arial" w:hAnsi="Arial"/>
          <w:sz w:val="21"/>
          <w:szCs w:val="21"/>
          <w:color w:val="auto"/>
        </w:rPr>
      </w:pPr>
      <w:r>
        <w:rPr>
          <w:rFonts w:ascii="Arial" w:cs="Arial" w:eastAsia="Arial" w:hAnsi="Arial"/>
          <w:sz w:val="21"/>
          <w:szCs w:val="21"/>
          <w:color w:val="auto"/>
        </w:rPr>
        <w:t>any Encumbrance or loss of title resulting from Sellers’ conduct of business in compliance with this</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w:t>
      </w:r>
    </w:p>
    <w:p>
      <w:pPr>
        <w:spacing w:after="0" w:line="215" w:lineRule="exact"/>
        <w:rPr>
          <w:rFonts w:ascii="Arial" w:cs="Arial" w:eastAsia="Arial" w:hAnsi="Arial"/>
          <w:sz w:val="21"/>
          <w:szCs w:val="21"/>
          <w:color w:val="auto"/>
        </w:rPr>
      </w:pPr>
    </w:p>
    <w:p>
      <w:pPr>
        <w:jc w:val="both"/>
        <w:ind w:firstLine="1305"/>
        <w:spacing w:after="0" w:line="260" w:lineRule="auto"/>
        <w:tabs>
          <w:tab w:leader="none" w:pos="1757" w:val="left"/>
        </w:tabs>
        <w:numPr>
          <w:ilvl w:val="0"/>
          <w:numId w:val="88"/>
        </w:numPr>
        <w:rPr>
          <w:rFonts w:ascii="Arial" w:cs="Arial" w:eastAsia="Arial" w:hAnsi="Arial"/>
          <w:sz w:val="22"/>
          <w:szCs w:val="22"/>
          <w:color w:val="auto"/>
        </w:rPr>
      </w:pPr>
      <w:r>
        <w:rPr>
          <w:rFonts w:ascii="Arial" w:cs="Arial" w:eastAsia="Arial" w:hAnsi="Arial"/>
          <w:sz w:val="22"/>
          <w:szCs w:val="22"/>
          <w:color w:val="auto"/>
        </w:rPr>
        <w:t>defects arising from any prior oil and gas lease relating to the lands covered by a Lease not being surrendered of record, unless Buyer provides affirmative evidence that such prior oil and gas lease is still in effect and results in another Person’s actual and superior claim of title to the relevant Lease or Well;</w:t>
      </w:r>
    </w:p>
    <w:p>
      <w:pPr>
        <w:spacing w:after="0" w:line="177" w:lineRule="exact"/>
        <w:rPr>
          <w:rFonts w:ascii="Arial" w:cs="Arial" w:eastAsia="Arial" w:hAnsi="Arial"/>
          <w:sz w:val="22"/>
          <w:szCs w:val="22"/>
          <w:color w:val="auto"/>
        </w:rPr>
      </w:pPr>
    </w:p>
    <w:p>
      <w:pPr>
        <w:ind w:firstLine="1305"/>
        <w:spacing w:after="0" w:line="276" w:lineRule="auto"/>
        <w:tabs>
          <w:tab w:leader="none" w:pos="1746" w:val="left"/>
        </w:tabs>
        <w:numPr>
          <w:ilvl w:val="0"/>
          <w:numId w:val="88"/>
        </w:numPr>
        <w:rPr>
          <w:rFonts w:ascii="Arial" w:cs="Arial" w:eastAsia="Arial" w:hAnsi="Arial"/>
          <w:sz w:val="22"/>
          <w:szCs w:val="22"/>
          <w:color w:val="auto"/>
        </w:rPr>
      </w:pPr>
      <w:r>
        <w:rPr>
          <w:rFonts w:ascii="Arial" w:cs="Arial" w:eastAsia="Arial" w:hAnsi="Arial"/>
          <w:sz w:val="22"/>
          <w:szCs w:val="22"/>
          <w:color w:val="auto"/>
        </w:rPr>
        <w:t>defects that affect only which Person has the right to receive royalty payments (rather than the amount or the proper payment of such royalty payment);</w:t>
      </w:r>
    </w:p>
    <w:p>
      <w:pPr>
        <w:spacing w:after="0" w:line="160" w:lineRule="exact"/>
        <w:rPr>
          <w:rFonts w:ascii="Arial" w:cs="Arial" w:eastAsia="Arial" w:hAnsi="Arial"/>
          <w:sz w:val="22"/>
          <w:szCs w:val="22"/>
          <w:color w:val="auto"/>
        </w:rPr>
      </w:pPr>
    </w:p>
    <w:p>
      <w:pPr>
        <w:jc w:val="both"/>
        <w:ind w:firstLine="1305"/>
        <w:spacing w:after="0" w:line="278" w:lineRule="auto"/>
        <w:tabs>
          <w:tab w:leader="none" w:pos="1742" w:val="left"/>
        </w:tabs>
        <w:numPr>
          <w:ilvl w:val="0"/>
          <w:numId w:val="88"/>
        </w:numPr>
        <w:rPr>
          <w:rFonts w:ascii="Arial" w:cs="Arial" w:eastAsia="Arial" w:hAnsi="Arial"/>
          <w:sz w:val="21"/>
          <w:szCs w:val="21"/>
          <w:color w:val="auto"/>
        </w:rPr>
      </w:pPr>
      <w:r>
        <w:rPr>
          <w:rFonts w:ascii="Arial" w:cs="Arial" w:eastAsia="Arial" w:hAnsi="Arial"/>
          <w:sz w:val="21"/>
          <w:szCs w:val="21"/>
          <w:color w:val="auto"/>
        </w:rPr>
        <w:t>defects based solely on: (i) lack of information in Sellers’ files; (ii) references to an unrecorded document(s) to which neither Sellers nor any Affiliate is a party, if such document is dated earlier than January 1, 1960 and is not in Sellers’ files; or (iii) Tax assessment, Tax payment or similar records (or the absence of such activities or records);</w:t>
      </w:r>
    </w:p>
    <w:p>
      <w:pPr>
        <w:spacing w:after="0" w:line="160" w:lineRule="exact"/>
        <w:rPr>
          <w:rFonts w:ascii="Arial" w:cs="Arial" w:eastAsia="Arial" w:hAnsi="Arial"/>
          <w:sz w:val="21"/>
          <w:szCs w:val="21"/>
          <w:color w:val="auto"/>
        </w:rPr>
      </w:pPr>
    </w:p>
    <w:p>
      <w:pPr>
        <w:ind w:left="1740" w:hanging="435"/>
        <w:spacing w:after="0"/>
        <w:tabs>
          <w:tab w:leader="none" w:pos="17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defects arising out of lack of survey, unless a survey is expressly required by Laws; and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ind w:left="660" w:right="3780" w:firstLine="645"/>
        <w:spacing w:after="0" w:line="524" w:lineRule="auto"/>
        <w:tabs>
          <w:tab w:leader="none" w:pos="1692" w:val="left"/>
        </w:tabs>
        <w:numPr>
          <w:ilvl w:val="0"/>
          <w:numId w:val="89"/>
        </w:numPr>
        <w:rPr>
          <w:rFonts w:ascii="Arial" w:cs="Arial" w:eastAsia="Arial" w:hAnsi="Arial"/>
          <w:sz w:val="19"/>
          <w:szCs w:val="19"/>
          <w:color w:val="auto"/>
        </w:rPr>
      </w:pPr>
      <w:r>
        <w:rPr>
          <w:rFonts w:ascii="Arial" w:cs="Arial" w:eastAsia="Arial" w:hAnsi="Arial"/>
          <w:sz w:val="19"/>
          <w:szCs w:val="19"/>
          <w:color w:val="auto"/>
        </w:rPr>
        <w:t>defects that have been cured by Laws of limitations or presumptions. “</w:t>
      </w:r>
      <w:r>
        <w:rPr>
          <w:rFonts w:ascii="Arial" w:cs="Arial" w:eastAsia="Arial" w:hAnsi="Arial"/>
          <w:sz w:val="19"/>
          <w:szCs w:val="19"/>
          <w:b w:val="1"/>
          <w:bCs w:val="1"/>
          <w:i w:val="1"/>
          <w:iCs w:val="1"/>
          <w:color w:val="auto"/>
        </w:rPr>
        <w:t>Title Defect Amount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11.2(g)</w:t>
      </w:r>
      <w:r>
        <w:rPr>
          <w:rFonts w:ascii="Arial" w:cs="Arial" w:eastAsia="Arial" w:hAnsi="Arial"/>
          <w:sz w:val="19"/>
          <w:szCs w:val="19"/>
          <w:color w:val="auto"/>
        </w:rPr>
        <w:t>. “</w:t>
      </w:r>
      <w:r>
        <w:rPr>
          <w:rFonts w:ascii="Arial" w:cs="Arial" w:eastAsia="Arial" w:hAnsi="Arial"/>
          <w:sz w:val="19"/>
          <w:szCs w:val="19"/>
          <w:b w:val="1"/>
          <w:bCs w:val="1"/>
          <w:i w:val="1"/>
          <w:iCs w:val="1"/>
          <w:color w:val="auto"/>
        </w:rPr>
        <w:t>Title Defect Notice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11.2(a)</w:t>
      </w:r>
      <w:r>
        <w:rPr>
          <w:rFonts w:ascii="Arial" w:cs="Arial" w:eastAsia="Arial" w:hAnsi="Arial"/>
          <w:sz w:val="19"/>
          <w:szCs w:val="19"/>
          <w:color w:val="auto"/>
        </w:rPr>
        <w:t>.</w:t>
      </w:r>
    </w:p>
    <w:p>
      <w:pPr>
        <w:ind w:left="660"/>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Defect Property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w:t>
      </w:r>
    </w:p>
    <w:p>
      <w:pPr>
        <w:spacing w:after="0" w:line="219" w:lineRule="exact"/>
        <w:rPr>
          <w:rFonts w:ascii="Arial" w:cs="Arial" w:eastAsia="Arial" w:hAnsi="Arial"/>
          <w:sz w:val="19"/>
          <w:szCs w:val="19"/>
          <w:color w:val="auto"/>
        </w:rPr>
      </w:pPr>
    </w:p>
    <w:p>
      <w:pPr>
        <w:ind w:left="660" w:right="780"/>
        <w:spacing w:after="0" w:line="448" w:lineRule="auto"/>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shall mean those documents executed pursuant to or in connection with this Agreement. “</w:t>
      </w:r>
      <w:r>
        <w:rPr>
          <w:rFonts w:ascii="Arial" w:cs="Arial" w:eastAsia="Arial" w:hAnsi="Arial"/>
          <w:sz w:val="22"/>
          <w:szCs w:val="22"/>
          <w:b w:val="1"/>
          <w:bCs w:val="1"/>
          <w:i w:val="1"/>
          <w:iCs w:val="1"/>
          <w:color w:val="auto"/>
        </w:rPr>
        <w:t>Transfer Taxes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15.2(f)</w:t>
      </w:r>
      <w:r>
        <w:rPr>
          <w:rFonts w:ascii="Arial" w:cs="Arial" w:eastAsia="Arial" w:hAnsi="Arial"/>
          <w:sz w:val="22"/>
          <w:szCs w:val="22"/>
          <w:color w:val="auto"/>
        </w:rPr>
        <w:t>.</w:t>
      </w:r>
    </w:p>
    <w:p>
      <w:pPr>
        <w:spacing w:after="0" w:line="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Transition Services Agreement</w:t>
      </w:r>
      <w:r>
        <w:rPr>
          <w:rFonts w:ascii="Arial" w:cs="Arial" w:eastAsia="Arial" w:hAnsi="Arial"/>
          <w:sz w:val="22"/>
          <w:szCs w:val="22"/>
          <w:color w:val="auto"/>
        </w:rPr>
        <w:t xml:space="preserve">” shall mean the Transition Services Agreement by and between Sellers and Buyer, pertaining to the Assets, substantially in the form attached to this Agreement as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Treasury Regulations</w:t>
      </w:r>
      <w:r>
        <w:rPr>
          <w:rFonts w:ascii="Arial" w:cs="Arial" w:eastAsia="Arial" w:hAnsi="Arial"/>
          <w:sz w:val="19"/>
          <w:szCs w:val="19"/>
          <w:color w:val="auto"/>
        </w:rPr>
        <w:t>” shall mean the regulations promulgated by the United States Department of the Treasury pursuant to and in respect of provisions of the Code. All references herein to sections of the Treasury Regulations shall include any corresponding provision or provisions of succeeding, similar, substitute, proposed or final Treasury Regulations.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Wells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Well Imbalance</w:t>
      </w:r>
      <w:r>
        <w:rPr>
          <w:rFonts w:ascii="Arial" w:cs="Arial" w:eastAsia="Arial" w:hAnsi="Arial"/>
          <w:sz w:val="19"/>
          <w:szCs w:val="19"/>
          <w:color w:val="auto"/>
        </w:rPr>
        <w:t>” shall mean any imbalance at the wellhead between the amount of Hydrocarbons produced from a Well and allocable to the interests of Sellers therein and the shares of production from the relevant Well to which Sellers are entitled, together with any appurtenant rights and obligations concerning future in kind or cash balancing at the wellhead.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Well Location</w:t>
      </w:r>
      <w:r>
        <w:rPr>
          <w:rFonts w:ascii="Arial" w:cs="Arial" w:eastAsia="Arial" w:hAnsi="Arial"/>
          <w:sz w:val="22"/>
          <w:szCs w:val="22"/>
          <w:color w:val="auto"/>
        </w:rPr>
        <w:t xml:space="preserve">” shall mean each well location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Working Interest</w:t>
      </w:r>
      <w:r>
        <w:rPr>
          <w:rFonts w:ascii="Arial" w:cs="Arial" w:eastAsia="Arial" w:hAnsi="Arial"/>
          <w:sz w:val="22"/>
          <w:szCs w:val="22"/>
          <w:color w:val="auto"/>
        </w:rPr>
        <w:t xml:space="preserve">” shall mean, with respect to any Lease, Well or Well Location (subject to any reservations, limitations or depth restrictions described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B</w:t>
      </w:r>
      <w:r>
        <w:rPr>
          <w:rFonts w:ascii="Arial" w:cs="Arial" w:eastAsia="Arial" w:hAnsi="Arial"/>
          <w:sz w:val="22"/>
          <w:szCs w:val="22"/>
          <w:color w:val="auto"/>
        </w:rPr>
        <w:t>), the interest that is burdened with the obligation to bear and pay costs and expenses of maintenance, development, operation and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18"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1C1C1C"/>
        </w:rPr>
        <w:t>FIRST AMENDMENT TO PURCHASE AND SALE AGREEMENT</w:t>
      </w:r>
    </w:p>
    <w:p>
      <w:pPr>
        <w:spacing w:after="0" w:line="222" w:lineRule="exact"/>
        <w:rPr>
          <w:sz w:val="20"/>
          <w:szCs w:val="20"/>
          <w:color w:val="auto"/>
        </w:rPr>
      </w:pPr>
    </w:p>
    <w:p>
      <w:pPr>
        <w:jc w:val="both"/>
        <w:ind w:right="100" w:firstLine="608"/>
        <w:spacing w:after="0" w:line="316" w:lineRule="auto"/>
        <w:rPr>
          <w:sz w:val="20"/>
          <w:szCs w:val="20"/>
          <w:color w:val="auto"/>
        </w:rPr>
      </w:pPr>
      <w:r>
        <w:rPr>
          <w:rFonts w:ascii="Arial" w:cs="Arial" w:eastAsia="Arial" w:hAnsi="Arial"/>
          <w:sz w:val="16"/>
          <w:szCs w:val="16"/>
          <w:color w:val="1C1C1C"/>
        </w:rPr>
        <w:t xml:space="preserve">This First Amendment to Purchase and Sale Agreement (this </w:t>
      </w:r>
      <w:r>
        <w:rPr>
          <w:rFonts w:ascii="Arial" w:cs="Arial" w:eastAsia="Arial" w:hAnsi="Arial"/>
          <w:sz w:val="16"/>
          <w:szCs w:val="16"/>
          <w:b w:val="1"/>
          <w:bCs w:val="1"/>
          <w:i w:val="1"/>
          <w:iCs w:val="1"/>
          <w:color w:val="1C1C1C"/>
        </w:rPr>
        <w:t>"Amendment'</w:t>
      </w:r>
      <w:r>
        <w:rPr>
          <w:rFonts w:ascii="Arial" w:cs="Arial" w:eastAsia="Arial" w:hAnsi="Arial"/>
          <w:sz w:val="16"/>
          <w:szCs w:val="16"/>
          <w:i w:val="1"/>
          <w:iCs w:val="1"/>
          <w:color w:val="1C1C1C"/>
        </w:rPr>
        <w:t>),</w:t>
      </w:r>
      <w:r>
        <w:rPr>
          <w:rFonts w:ascii="Arial" w:cs="Arial" w:eastAsia="Arial" w:hAnsi="Arial"/>
          <w:sz w:val="16"/>
          <w:szCs w:val="16"/>
          <w:color w:val="1C1C1C"/>
        </w:rPr>
        <w:t xml:space="preserve"> dated as of January 31, 2014, is by and among EnerVest Holding, L.P</w:t>
      </w:r>
      <w:r>
        <w:rPr>
          <w:rFonts w:ascii="Arial" w:cs="Arial" w:eastAsia="Arial" w:hAnsi="Arial"/>
          <w:sz w:val="16"/>
          <w:szCs w:val="16"/>
          <w:color w:val="494949"/>
        </w:rPr>
        <w:t>.</w:t>
      </w:r>
      <w:r>
        <w:rPr>
          <w:rFonts w:ascii="Arial" w:cs="Arial" w:eastAsia="Arial" w:hAnsi="Arial"/>
          <w:sz w:val="16"/>
          <w:szCs w:val="16"/>
          <w:color w:val="1C1C1C"/>
        </w:rPr>
        <w:t xml:space="preserve">, a Texas limited partnership, EnerVest Energy Institutional Fund XII </w:t>
      </w:r>
      <w:r>
        <w:rPr>
          <w:rFonts w:ascii="Arial" w:cs="Arial" w:eastAsia="Arial" w:hAnsi="Arial"/>
          <w:sz w:val="16"/>
          <w:szCs w:val="16"/>
          <w:color w:val="363636"/>
        </w:rPr>
        <w:t>-</w:t>
      </w:r>
      <w:r>
        <w:rPr>
          <w:rFonts w:ascii="Arial" w:cs="Arial" w:eastAsia="Arial" w:hAnsi="Arial"/>
          <w:sz w:val="16"/>
          <w:szCs w:val="16"/>
          <w:color w:val="1C1C1C"/>
        </w:rPr>
        <w:t>A</w:t>
      </w:r>
      <w:r>
        <w:rPr>
          <w:rFonts w:ascii="Arial" w:cs="Arial" w:eastAsia="Arial" w:hAnsi="Arial"/>
          <w:sz w:val="16"/>
          <w:szCs w:val="16"/>
          <w:color w:val="494949"/>
        </w:rPr>
        <w:t>,</w:t>
      </w:r>
      <w:r>
        <w:rPr>
          <w:rFonts w:ascii="Arial" w:cs="Arial" w:eastAsia="Arial" w:hAnsi="Arial"/>
          <w:sz w:val="16"/>
          <w:szCs w:val="16"/>
          <w:color w:val="1C1C1C"/>
        </w:rPr>
        <w:t xml:space="preserve"> L.P., a Delaware limited partnership, EnerVest Energy Institutional Fund XII-WIB, L.P., a Delaware limited partnership, and EnerVest Energy Institutional Fund XII-WIC, L.P., a Delaware limited partnership (collectively </w:t>
      </w:r>
      <w:r>
        <w:rPr>
          <w:rFonts w:ascii="Arial" w:cs="Arial" w:eastAsia="Arial" w:hAnsi="Arial"/>
          <w:sz w:val="16"/>
          <w:szCs w:val="16"/>
          <w:b w:val="1"/>
          <w:bCs w:val="1"/>
          <w:i w:val="1"/>
          <w:iCs w:val="1"/>
          <w:color w:val="1C1C1C"/>
        </w:rPr>
        <w:t>"Sellers"</w:t>
      </w:r>
      <w:r>
        <w:rPr>
          <w:rFonts w:ascii="Arial" w:cs="Arial" w:eastAsia="Arial" w:hAnsi="Arial"/>
          <w:sz w:val="16"/>
          <w:szCs w:val="16"/>
          <w:color w:val="1C1C1C"/>
        </w:rPr>
        <w:t xml:space="preserve"> and each individually a </w:t>
      </w:r>
      <w:r>
        <w:rPr>
          <w:rFonts w:ascii="Arial" w:cs="Arial" w:eastAsia="Arial" w:hAnsi="Arial"/>
          <w:sz w:val="16"/>
          <w:szCs w:val="16"/>
          <w:i w:val="1"/>
          <w:iCs w:val="1"/>
          <w:color w:val="1C1C1C"/>
        </w:rPr>
        <w:t>"</w:t>
      </w:r>
      <w:r>
        <w:rPr>
          <w:rFonts w:ascii="Arial" w:cs="Arial" w:eastAsia="Arial" w:hAnsi="Arial"/>
          <w:sz w:val="16"/>
          <w:szCs w:val="16"/>
          <w:b w:val="1"/>
          <w:bCs w:val="1"/>
          <w:i w:val="1"/>
          <w:iCs w:val="1"/>
          <w:color w:val="1C1C1C"/>
        </w:rPr>
        <w:t>Seller"</w:t>
      </w:r>
      <w:r>
        <w:rPr>
          <w:rFonts w:ascii="Arial" w:cs="Arial" w:eastAsia="Arial" w:hAnsi="Arial"/>
          <w:sz w:val="16"/>
          <w:szCs w:val="16"/>
          <w:i w:val="1"/>
          <w:iCs w:val="1"/>
          <w:color w:val="1C1C1C"/>
        </w:rPr>
        <w:t>),</w:t>
      </w:r>
      <w:r>
        <w:rPr>
          <w:rFonts w:ascii="Arial" w:cs="Arial" w:eastAsia="Arial" w:hAnsi="Arial"/>
          <w:sz w:val="16"/>
          <w:szCs w:val="16"/>
          <w:color w:val="1C1C1C"/>
        </w:rPr>
        <w:t xml:space="preserve"> and QEP Energy Company, a Texas corporation </w:t>
      </w:r>
      <w:r>
        <w:rPr>
          <w:rFonts w:ascii="Arial" w:cs="Arial" w:eastAsia="Arial" w:hAnsi="Arial"/>
          <w:sz w:val="16"/>
          <w:szCs w:val="16"/>
          <w:i w:val="1"/>
          <w:iCs w:val="1"/>
          <w:color w:val="1C1C1C"/>
        </w:rPr>
        <w:t>(</w:t>
      </w:r>
      <w:r>
        <w:rPr>
          <w:rFonts w:ascii="Arial" w:cs="Arial" w:eastAsia="Arial" w:hAnsi="Arial"/>
          <w:sz w:val="16"/>
          <w:szCs w:val="16"/>
          <w:b w:val="1"/>
          <w:bCs w:val="1"/>
          <w:i w:val="1"/>
          <w:iCs w:val="1"/>
          <w:color w:val="1C1C1C"/>
        </w:rPr>
        <w:t>"Buyer"</w:t>
      </w:r>
      <w:r>
        <w:rPr>
          <w:rFonts w:ascii="Arial" w:cs="Arial" w:eastAsia="Arial" w:hAnsi="Arial"/>
          <w:sz w:val="16"/>
          <w:szCs w:val="16"/>
          <w:color w:val="1C1C1C"/>
        </w:rPr>
        <w:t xml:space="preserve"> </w:t>
      </w:r>
      <w:r>
        <w:rPr>
          <w:rFonts w:ascii="Arial" w:cs="Arial" w:eastAsia="Arial" w:hAnsi="Arial"/>
          <w:sz w:val="16"/>
          <w:szCs w:val="16"/>
          <w:i w:val="1"/>
          <w:iCs w:val="1"/>
          <w:color w:val="1C1C1C"/>
        </w:rPr>
        <w:t>).</w:t>
      </w:r>
      <w:r>
        <w:rPr>
          <w:rFonts w:ascii="Arial" w:cs="Arial" w:eastAsia="Arial" w:hAnsi="Arial"/>
          <w:sz w:val="16"/>
          <w:szCs w:val="16"/>
          <w:color w:val="1C1C1C"/>
        </w:rPr>
        <w:t xml:space="preserve"> Sellers and Buyer are collectively referred to herein as the </w:t>
      </w:r>
      <w:r>
        <w:rPr>
          <w:rFonts w:ascii="Arial" w:cs="Arial" w:eastAsia="Arial" w:hAnsi="Arial"/>
          <w:sz w:val="16"/>
          <w:szCs w:val="16"/>
          <w:b w:val="1"/>
          <w:bCs w:val="1"/>
          <w:i w:val="1"/>
          <w:iCs w:val="1"/>
          <w:color w:val="1C1C1C"/>
        </w:rPr>
        <w:t>"Parties,"</w:t>
      </w:r>
      <w:r>
        <w:rPr>
          <w:rFonts w:ascii="Arial" w:cs="Arial" w:eastAsia="Arial" w:hAnsi="Arial"/>
          <w:sz w:val="16"/>
          <w:szCs w:val="16"/>
          <w:color w:val="1C1C1C"/>
        </w:rPr>
        <w:t xml:space="preserve"> and are sometimes referred to individually as a </w:t>
      </w:r>
      <w:r>
        <w:rPr>
          <w:rFonts w:ascii="Arial" w:cs="Arial" w:eastAsia="Arial" w:hAnsi="Arial"/>
          <w:sz w:val="16"/>
          <w:szCs w:val="16"/>
          <w:b w:val="1"/>
          <w:bCs w:val="1"/>
          <w:i w:val="1"/>
          <w:iCs w:val="1"/>
          <w:color w:val="1C1C1C"/>
        </w:rPr>
        <w:t>"Party."</w:t>
      </w:r>
      <w:r>
        <w:rPr>
          <w:rFonts w:ascii="Arial" w:cs="Arial" w:eastAsia="Arial" w:hAnsi="Arial"/>
          <w:sz w:val="16"/>
          <w:szCs w:val="16"/>
          <w:color w:val="1C1C1C"/>
        </w:rPr>
        <w:t xml:space="preserve"> Capitalized terms used but not defined herein shall have the meanings ascribed to such terms in the Purchase and Sale Agreement (as defined below).</w:t>
      </w:r>
    </w:p>
    <w:p>
      <w:pPr>
        <w:spacing w:after="0" w:line="140" w:lineRule="exact"/>
        <w:rPr>
          <w:sz w:val="20"/>
          <w:szCs w:val="20"/>
          <w:color w:val="auto"/>
        </w:rPr>
      </w:pPr>
    </w:p>
    <w:p>
      <w:pPr>
        <w:ind w:left="5700"/>
        <w:spacing w:after="0"/>
        <w:rPr>
          <w:sz w:val="20"/>
          <w:szCs w:val="20"/>
          <w:color w:val="auto"/>
        </w:rPr>
      </w:pPr>
      <w:r>
        <w:rPr>
          <w:rFonts w:ascii="Arial" w:cs="Arial" w:eastAsia="Arial" w:hAnsi="Arial"/>
          <w:sz w:val="20"/>
          <w:szCs w:val="20"/>
          <w:u w:val="single" w:color="auto"/>
          <w:color w:val="1C1C1C"/>
        </w:rPr>
        <w:t>RECITALS</w:t>
      </w:r>
    </w:p>
    <w:p>
      <w:pPr>
        <w:spacing w:after="0" w:line="229" w:lineRule="exact"/>
        <w:rPr>
          <w:sz w:val="20"/>
          <w:szCs w:val="20"/>
          <w:color w:val="auto"/>
        </w:rPr>
      </w:pPr>
    </w:p>
    <w:p>
      <w:pPr>
        <w:ind w:left="40" w:right="180" w:firstLine="608"/>
        <w:spacing w:after="0" w:line="260" w:lineRule="auto"/>
        <w:rPr>
          <w:sz w:val="20"/>
          <w:szCs w:val="20"/>
          <w:color w:val="auto"/>
        </w:rPr>
      </w:pPr>
      <w:r>
        <w:rPr>
          <w:rFonts w:ascii="Arial" w:cs="Arial" w:eastAsia="Arial" w:hAnsi="Arial"/>
          <w:sz w:val="20"/>
          <w:szCs w:val="20"/>
          <w:color w:val="1C1C1C"/>
        </w:rPr>
        <w:t xml:space="preserve">WHEREAS, Sellers and Buyer are parties to that certain Purchase and Sale Agreement dated December 6, 2013 (the </w:t>
      </w:r>
      <w:r>
        <w:rPr>
          <w:rFonts w:ascii="Arial" w:cs="Arial" w:eastAsia="Arial" w:hAnsi="Arial"/>
          <w:sz w:val="20"/>
          <w:szCs w:val="20"/>
          <w:b w:val="1"/>
          <w:bCs w:val="1"/>
          <w:i w:val="1"/>
          <w:iCs w:val="1"/>
          <w:color w:val="1C1C1C"/>
        </w:rPr>
        <w:t>"Purchase and</w:t>
      </w:r>
      <w:r>
        <w:rPr>
          <w:rFonts w:ascii="Arial" w:cs="Arial" w:eastAsia="Arial" w:hAnsi="Arial"/>
          <w:sz w:val="20"/>
          <w:szCs w:val="20"/>
          <w:color w:val="1C1C1C"/>
        </w:rPr>
        <w:t xml:space="preserve"> </w:t>
      </w:r>
      <w:r>
        <w:rPr>
          <w:rFonts w:ascii="Arial" w:cs="Arial" w:eastAsia="Arial" w:hAnsi="Arial"/>
          <w:sz w:val="20"/>
          <w:szCs w:val="20"/>
          <w:b w:val="1"/>
          <w:bCs w:val="1"/>
          <w:i w:val="1"/>
          <w:iCs w:val="1"/>
          <w:color w:val="1C1C1C"/>
        </w:rPr>
        <w:t xml:space="preserve">Sale Agreement" </w:t>
      </w:r>
      <w:r>
        <w:rPr>
          <w:rFonts w:ascii="Arial" w:cs="Arial" w:eastAsia="Arial" w:hAnsi="Arial"/>
          <w:sz w:val="20"/>
          <w:szCs w:val="20"/>
          <w:i w:val="1"/>
          <w:iCs w:val="1"/>
          <w:color w:val="1C1C1C"/>
        </w:rPr>
        <w:t>);</w:t>
      </w:r>
      <w:r>
        <w:rPr>
          <w:rFonts w:ascii="Arial" w:cs="Arial" w:eastAsia="Arial" w:hAnsi="Arial"/>
          <w:sz w:val="20"/>
          <w:szCs w:val="20"/>
          <w:b w:val="1"/>
          <w:bCs w:val="1"/>
          <w:i w:val="1"/>
          <w:iCs w:val="1"/>
          <w:color w:val="1C1C1C"/>
        </w:rPr>
        <w:t xml:space="preserve"> </w:t>
      </w:r>
      <w:r>
        <w:rPr>
          <w:rFonts w:ascii="Arial" w:cs="Arial" w:eastAsia="Arial" w:hAnsi="Arial"/>
          <w:sz w:val="20"/>
          <w:szCs w:val="20"/>
          <w:color w:val="1C1C1C"/>
        </w:rPr>
        <w:t>and</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8"/>
          <w:szCs w:val="18"/>
          <w:color w:val="1C1C1C"/>
        </w:rPr>
        <w:t>WHEREAS, the Parties wish to amend the Purchase and Sale Agreement in accordance with the provisions of this Amendment.</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8"/>
          <w:szCs w:val="18"/>
          <w:color w:val="1C1C1C"/>
        </w:rPr>
        <w:t>NOW, THEREFORE, for and in consideration of the mutual agreements contained in the Purchase and Sale Agreement and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1C1C1C"/>
        </w:rPr>
        <w:t>Amendment and other good and valuable consideration, Sellers and Buyer agree as follows:</w:t>
      </w:r>
    </w:p>
    <w:p>
      <w:pPr>
        <w:spacing w:after="0" w:line="200" w:lineRule="exact"/>
        <w:rPr>
          <w:sz w:val="20"/>
          <w:szCs w:val="20"/>
          <w:color w:val="auto"/>
        </w:rPr>
      </w:pPr>
    </w:p>
    <w:p>
      <w:pPr>
        <w:ind w:left="5560"/>
        <w:spacing w:after="0"/>
        <w:rPr>
          <w:sz w:val="20"/>
          <w:szCs w:val="20"/>
          <w:color w:val="auto"/>
        </w:rPr>
      </w:pPr>
      <w:r>
        <w:rPr>
          <w:rFonts w:ascii="Arial" w:cs="Arial" w:eastAsia="Arial" w:hAnsi="Arial"/>
          <w:sz w:val="20"/>
          <w:szCs w:val="20"/>
          <w:u w:val="single" w:color="auto"/>
          <w:color w:val="1C1C1C"/>
        </w:rPr>
        <w:t>AGREEMENT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1C1C1C"/>
        </w:rPr>
        <w:t xml:space="preserve">Section 1. </w:t>
      </w:r>
      <w:r>
        <w:rPr>
          <w:rFonts w:ascii="Arial" w:cs="Arial" w:eastAsia="Arial" w:hAnsi="Arial"/>
          <w:sz w:val="20"/>
          <w:szCs w:val="20"/>
          <w:u w:val="single" w:color="auto"/>
          <w:color w:val="1C1C1C"/>
        </w:rPr>
        <w:t>Amendments to the Purchase and Sale Agreement.</w:t>
      </w:r>
    </w:p>
    <w:p>
      <w:pPr>
        <w:spacing w:after="0" w:line="229" w:lineRule="exact"/>
        <w:rPr>
          <w:sz w:val="20"/>
          <w:szCs w:val="20"/>
          <w:color w:val="auto"/>
        </w:rPr>
      </w:pPr>
    </w:p>
    <w:p>
      <w:pPr>
        <w:ind w:left="1260" w:hanging="630"/>
        <w:spacing w:after="0"/>
        <w:tabs>
          <w:tab w:leader="none" w:pos="1260" w:val="left"/>
        </w:tabs>
        <w:numPr>
          <w:ilvl w:val="0"/>
          <w:numId w:val="90"/>
        </w:numPr>
        <w:rPr>
          <w:rFonts w:ascii="Arial" w:cs="Arial" w:eastAsia="Arial" w:hAnsi="Arial"/>
          <w:sz w:val="18"/>
          <w:szCs w:val="18"/>
          <w:color w:val="auto"/>
        </w:rPr>
      </w:pPr>
      <w:r>
        <w:rPr>
          <w:rFonts w:ascii="Arial" w:cs="Arial" w:eastAsia="Arial" w:hAnsi="Arial"/>
          <w:sz w:val="20"/>
          <w:szCs w:val="20"/>
          <w:color w:val="1C1C1C"/>
        </w:rPr>
        <w:t>Section 9.1 of the Purchase and Sale Agreement is amended by replacing "January 31" with "February 19".</w:t>
      </w:r>
    </w:p>
    <w:p>
      <w:pPr>
        <w:spacing w:after="0" w:line="215" w:lineRule="exact"/>
        <w:rPr>
          <w:rFonts w:ascii="Arial" w:cs="Arial" w:eastAsia="Arial" w:hAnsi="Arial"/>
          <w:sz w:val="18"/>
          <w:szCs w:val="18"/>
          <w:color w:val="auto"/>
        </w:rPr>
      </w:pPr>
    </w:p>
    <w:p>
      <w:pPr>
        <w:ind w:left="1260" w:hanging="630"/>
        <w:spacing w:after="0"/>
        <w:tabs>
          <w:tab w:leader="none" w:pos="1260" w:val="left"/>
        </w:tabs>
        <w:numPr>
          <w:ilvl w:val="0"/>
          <w:numId w:val="90"/>
        </w:numPr>
        <w:rPr>
          <w:rFonts w:ascii="Arial" w:cs="Arial" w:eastAsia="Arial" w:hAnsi="Arial"/>
          <w:sz w:val="17"/>
          <w:szCs w:val="17"/>
          <w:color w:val="auto"/>
        </w:rPr>
      </w:pPr>
      <w:r>
        <w:rPr>
          <w:rFonts w:ascii="Arial" w:cs="Arial" w:eastAsia="Arial" w:hAnsi="Arial"/>
          <w:sz w:val="19"/>
          <w:szCs w:val="19"/>
          <w:color w:val="1C1C1C"/>
        </w:rPr>
        <w:t>Section 9.3(f) of the Purchase and Sale Agreement is deleted and replaced in its entirety with the words "[Reserved]".</w:t>
      </w:r>
    </w:p>
    <w:p>
      <w:pPr>
        <w:spacing w:after="0" w:line="227" w:lineRule="exact"/>
        <w:rPr>
          <w:rFonts w:ascii="Arial" w:cs="Arial" w:eastAsia="Arial" w:hAnsi="Arial"/>
          <w:sz w:val="17"/>
          <w:szCs w:val="17"/>
          <w:color w:val="auto"/>
        </w:rPr>
      </w:pPr>
    </w:p>
    <w:p>
      <w:pPr>
        <w:ind w:left="1260" w:right="1120" w:hanging="616"/>
        <w:spacing w:after="0" w:line="260" w:lineRule="auto"/>
        <w:tabs>
          <w:tab w:leader="none" w:pos="1260" w:val="left"/>
        </w:tabs>
        <w:numPr>
          <w:ilvl w:val="1"/>
          <w:numId w:val="90"/>
        </w:numPr>
        <w:rPr>
          <w:rFonts w:ascii="Arial" w:cs="Arial" w:eastAsia="Arial" w:hAnsi="Arial"/>
          <w:sz w:val="18"/>
          <w:szCs w:val="18"/>
          <w:color w:val="auto"/>
        </w:rPr>
      </w:pPr>
      <w:r>
        <w:rPr>
          <w:rFonts w:ascii="Arial" w:cs="Arial" w:eastAsia="Arial" w:hAnsi="Arial"/>
          <w:sz w:val="20"/>
          <w:szCs w:val="20"/>
          <w:color w:val="1C1C1C"/>
        </w:rPr>
        <w:t xml:space="preserve">Exhibit D to the Purchase and Sale Agreement is deleted and replaced in its entirety by Exhibit D attached to this Amendment. </w:t>
      </w:r>
      <w:r>
        <w:rPr>
          <w:rFonts w:ascii="Arial" w:cs="Arial" w:eastAsia="Arial" w:hAnsi="Arial"/>
          <w:sz w:val="20"/>
          <w:szCs w:val="20"/>
          <w:color w:val="757575"/>
        </w:rPr>
        <w:t>·</w:t>
      </w:r>
      <w:r>
        <w:rPr>
          <w:rFonts w:ascii="Arial" w:cs="Arial" w:eastAsia="Arial" w:hAnsi="Arial"/>
          <w:sz w:val="20"/>
          <w:szCs w:val="20"/>
          <w:color w:val="1C1C1C"/>
        </w:rPr>
        <w:t xml:space="preserve"> </w:t>
      </w:r>
      <w:r>
        <w:rPr>
          <w:rFonts w:ascii="Arial" w:cs="Arial" w:eastAsia="Arial" w:hAnsi="Arial"/>
          <w:sz w:val="20"/>
          <w:szCs w:val="20"/>
          <w:color w:val="B3B3B3"/>
        </w:rPr>
        <w:t>.</w:t>
      </w:r>
    </w:p>
    <w:p>
      <w:pPr>
        <w:spacing w:after="0" w:line="176" w:lineRule="exact"/>
        <w:rPr>
          <w:rFonts w:ascii="Arial" w:cs="Arial" w:eastAsia="Arial" w:hAnsi="Arial"/>
          <w:sz w:val="18"/>
          <w:szCs w:val="18"/>
          <w:color w:val="auto"/>
        </w:rPr>
      </w:pPr>
    </w:p>
    <w:p>
      <w:pPr>
        <w:ind w:left="1260" w:hanging="630"/>
        <w:spacing w:after="0"/>
        <w:tabs>
          <w:tab w:leader="none" w:pos="1260" w:val="left"/>
        </w:tabs>
        <w:numPr>
          <w:ilvl w:val="1"/>
          <w:numId w:val="90"/>
        </w:numPr>
        <w:rPr>
          <w:rFonts w:ascii="Arial" w:cs="Arial" w:eastAsia="Arial" w:hAnsi="Arial"/>
          <w:sz w:val="18"/>
          <w:szCs w:val="18"/>
          <w:color w:val="auto"/>
        </w:rPr>
      </w:pPr>
      <w:r>
        <w:rPr>
          <w:rFonts w:ascii="Arial" w:cs="Arial" w:eastAsia="Arial" w:hAnsi="Arial"/>
          <w:sz w:val="20"/>
          <w:szCs w:val="20"/>
          <w:color w:val="1C1C1C"/>
        </w:rPr>
        <w:t>The Purchase and Sale Agreement is amended by adding a new Section 6.10 as follows:</w:t>
      </w:r>
    </w:p>
    <w:p>
      <w:pPr>
        <w:spacing w:after="0" w:line="215" w:lineRule="exact"/>
        <w:rPr>
          <w:rFonts w:ascii="Arial" w:cs="Arial" w:eastAsia="Arial" w:hAnsi="Arial"/>
          <w:sz w:val="18"/>
          <w:szCs w:val="18"/>
          <w:color w:val="auto"/>
        </w:rPr>
      </w:pPr>
    </w:p>
    <w:p>
      <w:pPr>
        <w:jc w:val="both"/>
        <w:ind w:left="1260"/>
        <w:spacing w:after="0" w:line="246" w:lineRule="auto"/>
        <w:rPr>
          <w:rFonts w:ascii="Arial" w:cs="Arial" w:eastAsia="Arial" w:hAnsi="Arial"/>
          <w:sz w:val="18"/>
          <w:szCs w:val="18"/>
          <w:color w:val="auto"/>
        </w:rPr>
      </w:pPr>
      <w:r>
        <w:rPr>
          <w:rFonts w:ascii="Arial" w:cs="Arial" w:eastAsia="Arial" w:hAnsi="Arial"/>
          <w:sz w:val="20"/>
          <w:szCs w:val="20"/>
          <w:color w:val="1C1C1C"/>
        </w:rPr>
        <w:t>6</w:t>
      </w:r>
      <w:r>
        <w:rPr>
          <w:rFonts w:ascii="Arial" w:cs="Arial" w:eastAsia="Arial" w:hAnsi="Arial"/>
          <w:sz w:val="20"/>
          <w:szCs w:val="20"/>
          <w:color w:val="363636"/>
        </w:rPr>
        <w:t>.</w:t>
      </w:r>
      <w:r>
        <w:rPr>
          <w:rFonts w:ascii="Arial" w:cs="Arial" w:eastAsia="Arial" w:hAnsi="Arial"/>
          <w:sz w:val="20"/>
          <w:szCs w:val="20"/>
          <w:color w:val="1C1C1C"/>
        </w:rPr>
        <w:t xml:space="preserve">10 </w:t>
      </w:r>
      <w:r>
        <w:rPr>
          <w:rFonts w:ascii="Arial" w:cs="Arial" w:eastAsia="Arial" w:hAnsi="Arial"/>
          <w:sz w:val="20"/>
          <w:szCs w:val="20"/>
          <w:u w:val="single" w:color="auto"/>
          <w:color w:val="1C1C1C"/>
        </w:rPr>
        <w:t>Letters-in</w:t>
      </w:r>
      <w:r>
        <w:rPr>
          <w:rFonts w:ascii="Arial" w:cs="Arial" w:eastAsia="Arial" w:hAnsi="Arial"/>
          <w:sz w:val="20"/>
          <w:szCs w:val="20"/>
          <w:color w:val="1C1C1C"/>
        </w:rPr>
        <w:t xml:space="preserve"> </w:t>
      </w:r>
      <w:r>
        <w:rPr>
          <w:rFonts w:ascii="Arial" w:cs="Arial" w:eastAsia="Arial" w:hAnsi="Arial"/>
          <w:sz w:val="20"/>
          <w:szCs w:val="20"/>
          <w:u w:val="single" w:color="auto"/>
          <w:color w:val="363636"/>
        </w:rPr>
        <w:t>-</w:t>
      </w:r>
      <w:r>
        <w:rPr>
          <w:rFonts w:ascii="Arial" w:cs="Arial" w:eastAsia="Arial" w:hAnsi="Arial"/>
          <w:sz w:val="20"/>
          <w:szCs w:val="20"/>
          <w:u w:val="single" w:color="auto"/>
          <w:color w:val="1C1C1C"/>
        </w:rPr>
        <w:t>lieu.</w:t>
      </w:r>
      <w:r>
        <w:rPr>
          <w:rFonts w:ascii="Arial" w:cs="Arial" w:eastAsia="Arial" w:hAnsi="Arial"/>
          <w:sz w:val="20"/>
          <w:szCs w:val="20"/>
          <w:color w:val="1C1C1C"/>
        </w:rPr>
        <w:t xml:space="preserve"> Upon Buyer's reasonable request after the Closing, each Seller as applicable shall deliver, on forms supplied by Buyer and reasonably acceptable to Sellers, transfer orders or letters in lieu thereof directing all purchasers of production to make payment to Buyer of proceeds attributable to production from the Assets from and after the Effective Time, for delivery by Buyer to the purchasers of production.</w:t>
      </w:r>
    </w:p>
    <w:p>
      <w:pPr>
        <w:spacing w:after="0" w:line="246" w:lineRule="exact"/>
        <w:rPr>
          <w:sz w:val="20"/>
          <w:szCs w:val="20"/>
          <w:color w:val="auto"/>
        </w:rPr>
      </w:pPr>
    </w:p>
    <w:p>
      <w:pPr>
        <w:jc w:val="both"/>
        <w:ind w:left="40" w:firstLine="621"/>
        <w:spacing w:after="0" w:line="258" w:lineRule="auto"/>
        <w:rPr>
          <w:sz w:val="20"/>
          <w:szCs w:val="20"/>
          <w:color w:val="auto"/>
        </w:rPr>
      </w:pPr>
      <w:r>
        <w:rPr>
          <w:rFonts w:ascii="Arial" w:cs="Arial" w:eastAsia="Arial" w:hAnsi="Arial"/>
          <w:sz w:val="19"/>
          <w:szCs w:val="19"/>
          <w:u w:val="single" w:color="auto"/>
          <w:color w:val="212121"/>
        </w:rPr>
        <w:t>Section 2. Confirmation.</w:t>
      </w:r>
      <w:r>
        <w:rPr>
          <w:rFonts w:ascii="Arial" w:cs="Arial" w:eastAsia="Arial" w:hAnsi="Arial"/>
          <w:sz w:val="19"/>
          <w:szCs w:val="19"/>
          <w:color w:val="212121"/>
        </w:rPr>
        <w:t xml:space="preserve"> Except as specifically provided in this Amendment, all terms and provisions of the Purchase and Sale Agreement shall remain unchanged and in full force and effect, and the Purchase and Sale Agreement, as modified by this Amendment, is hereby ratified, acknowledged and reaffirmed by the Parties. The execution of this Amendment shall not directly or indirectly in any way whatsoever either: (a} impair, prejudice or otherwise adversely affect any Party </w:t>
      </w:r>
      <w:r>
        <w:rPr>
          <w:rFonts w:ascii="Arial" w:cs="Arial" w:eastAsia="Arial" w:hAnsi="Arial"/>
          <w:sz w:val="19"/>
          <w:szCs w:val="19"/>
          <w:color w:val="3B3B3B"/>
        </w:rPr>
        <w:t>'</w:t>
      </w:r>
      <w:r>
        <w:rPr>
          <w:rFonts w:ascii="Arial" w:cs="Arial" w:eastAsia="Arial" w:hAnsi="Arial"/>
          <w:sz w:val="19"/>
          <w:szCs w:val="19"/>
          <w:color w:val="212121"/>
        </w:rPr>
        <w:t>s right at any time to exercise any right, privilege or remedy in connection with the Pu</w:t>
      </w:r>
      <w:r>
        <w:rPr>
          <w:rFonts w:ascii="Arial" w:cs="Arial" w:eastAsia="Arial" w:hAnsi="Arial"/>
          <w:sz w:val="19"/>
          <w:szCs w:val="19"/>
          <w:color w:val="3B3B3B"/>
        </w:rPr>
        <w:t>r</w:t>
      </w:r>
      <w:r>
        <w:rPr>
          <w:rFonts w:ascii="Arial" w:cs="Arial" w:eastAsia="Arial" w:hAnsi="Arial"/>
          <w:sz w:val="19"/>
          <w:szCs w:val="19"/>
          <w:color w:val="212121"/>
        </w:rPr>
        <w:t xml:space="preserve">chase and Sale Agreement; (b) amend or alter any provision of the Purchase and Sale Agreement (other than the amendments provided for in this Amendment); or (c) constitute any course of dealing or other basis for altering any obligation of any Party </w:t>
      </w:r>
      <w:r>
        <w:rPr>
          <w:rFonts w:ascii="Arial" w:cs="Arial" w:eastAsia="Arial" w:hAnsi="Arial"/>
          <w:sz w:val="19"/>
          <w:szCs w:val="19"/>
          <w:color w:val="565656"/>
        </w:rPr>
        <w:t>'</w:t>
      </w:r>
      <w:r>
        <w:rPr>
          <w:rFonts w:ascii="Arial" w:cs="Arial" w:eastAsia="Arial" w:hAnsi="Arial"/>
          <w:sz w:val="19"/>
          <w:szCs w:val="19"/>
          <w:color w:val="212121"/>
        </w:rPr>
        <w:t>s or any right</w:t>
      </w:r>
      <w:r>
        <w:rPr>
          <w:rFonts w:ascii="Arial" w:cs="Arial" w:eastAsia="Arial" w:hAnsi="Arial"/>
          <w:sz w:val="19"/>
          <w:szCs w:val="19"/>
          <w:color w:val="3B3B3B"/>
        </w:rPr>
        <w:t>,</w:t>
      </w:r>
      <w:r>
        <w:rPr>
          <w:rFonts w:ascii="Arial" w:cs="Arial" w:eastAsia="Arial" w:hAnsi="Arial"/>
          <w:sz w:val="19"/>
          <w:szCs w:val="19"/>
          <w:color w:val="212121"/>
        </w:rPr>
        <w:t xml:space="preserve"> privilege or remedy of any Party's under the Purchase and Sale Agreement.</w:t>
      </w:r>
    </w:p>
    <w:p>
      <w:pPr>
        <w:sectPr>
          <w:pgSz w:w="11900" w:h="16838" w:orient="portrait"/>
          <w:cols w:equalWidth="0" w:num="1">
            <w:col w:w="11340"/>
          </w:cols>
          <w:pgMar w:left="320" w:top="121" w:right="239" w:bottom="1440" w:gutter="0" w:footer="0" w:header="0"/>
        </w:sectPr>
      </w:pPr>
    </w:p>
    <w:bookmarkStart w:id="120" w:name="page121"/>
    <w:bookmarkEnd w:id="120"/>
    <w:p>
      <w:pPr>
        <w:ind w:left="10400"/>
        <w:spacing w:after="0"/>
        <w:rPr>
          <w:sz w:val="20"/>
          <w:szCs w:val="20"/>
          <w:color w:val="auto"/>
        </w:rPr>
      </w:pPr>
      <w:r>
        <w:rPr>
          <w:rFonts w:ascii="Arial" w:cs="Arial" w:eastAsia="Arial" w:hAnsi="Arial"/>
          <w:sz w:val="16"/>
          <w:szCs w:val="16"/>
          <w:b w:val="1"/>
          <w:bCs w:val="1"/>
          <w:color w:val="auto"/>
        </w:rPr>
        <w:t>Exhibit 10.1</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212121"/>
        </w:rPr>
        <w:t>Section 3. Amendment.</w:t>
      </w:r>
      <w:r>
        <w:rPr>
          <w:rFonts w:ascii="Arial" w:cs="Arial" w:eastAsia="Arial" w:hAnsi="Arial"/>
          <w:sz w:val="20"/>
          <w:szCs w:val="20"/>
          <w:color w:val="212121"/>
        </w:rPr>
        <w:t xml:space="preserve"> This Amendment may be amended only by an instrument in writing executed by all Parties.</w:t>
      </w:r>
    </w:p>
    <w:p>
      <w:pPr>
        <w:spacing w:after="0" w:line="216" w:lineRule="exact"/>
        <w:rPr>
          <w:sz w:val="20"/>
          <w:szCs w:val="20"/>
          <w:color w:val="auto"/>
        </w:rPr>
      </w:pPr>
    </w:p>
    <w:p>
      <w:pPr>
        <w:jc w:val="both"/>
        <w:ind w:left="40" w:firstLine="621"/>
        <w:spacing w:after="0" w:line="246" w:lineRule="auto"/>
        <w:rPr>
          <w:sz w:val="20"/>
          <w:szCs w:val="20"/>
          <w:color w:val="auto"/>
        </w:rPr>
      </w:pPr>
      <w:r>
        <w:rPr>
          <w:rFonts w:ascii="Arial" w:cs="Arial" w:eastAsia="Arial" w:hAnsi="Arial"/>
          <w:sz w:val="20"/>
          <w:szCs w:val="20"/>
          <w:color w:val="212121"/>
        </w:rPr>
        <w:t>Section 4</w:t>
      </w:r>
      <w:r>
        <w:rPr>
          <w:rFonts w:ascii="Arial" w:cs="Arial" w:eastAsia="Arial" w:hAnsi="Arial"/>
          <w:sz w:val="20"/>
          <w:szCs w:val="20"/>
          <w:color w:val="3B3B3B"/>
        </w:rPr>
        <w:t>.</w:t>
      </w:r>
      <w:r>
        <w:rPr>
          <w:rFonts w:ascii="Arial" w:cs="Arial" w:eastAsia="Arial" w:hAnsi="Arial"/>
          <w:sz w:val="20"/>
          <w:szCs w:val="20"/>
          <w:color w:val="212121"/>
        </w:rPr>
        <w:t xml:space="preserve"> </w:t>
      </w:r>
      <w:r>
        <w:rPr>
          <w:rFonts w:ascii="Arial" w:cs="Arial" w:eastAsia="Arial" w:hAnsi="Arial"/>
          <w:sz w:val="20"/>
          <w:szCs w:val="20"/>
          <w:u w:val="single" w:color="auto"/>
          <w:color w:val="212121"/>
        </w:rPr>
        <w:t>Entire Agreement.</w:t>
      </w:r>
      <w:r>
        <w:rPr>
          <w:rFonts w:ascii="Arial" w:cs="Arial" w:eastAsia="Arial" w:hAnsi="Arial"/>
          <w:sz w:val="20"/>
          <w:szCs w:val="20"/>
          <w:color w:val="212121"/>
        </w:rPr>
        <w:t xml:space="preserve"> This Amendment, the Exhibit hereto </w:t>
      </w:r>
      <w:r>
        <w:rPr>
          <w:rFonts w:ascii="Arial" w:cs="Arial" w:eastAsia="Arial" w:hAnsi="Arial"/>
          <w:sz w:val="20"/>
          <w:szCs w:val="20"/>
          <w:color w:val="3B3B3B"/>
        </w:rPr>
        <w:t>,</w:t>
      </w:r>
      <w:r>
        <w:rPr>
          <w:rFonts w:ascii="Arial" w:cs="Arial" w:eastAsia="Arial" w:hAnsi="Arial"/>
          <w:sz w:val="20"/>
          <w:szCs w:val="20"/>
          <w:color w:val="212121"/>
        </w:rPr>
        <w:t xml:space="preserve"> the Purchase and Sale Agreement (together with the annexes, exhibits and schedules thereto), the Transaction Documents and the Confidentiality Agreement collectively constitute the entire agreement between the Parties pertaining to the subject matter hereof and supersede all prior agreements </w:t>
      </w:r>
      <w:r>
        <w:rPr>
          <w:rFonts w:ascii="Arial" w:cs="Arial" w:eastAsia="Arial" w:hAnsi="Arial"/>
          <w:sz w:val="20"/>
          <w:szCs w:val="20"/>
          <w:color w:val="3B3B3B"/>
        </w:rPr>
        <w:t>,</w:t>
      </w:r>
      <w:r>
        <w:rPr>
          <w:rFonts w:ascii="Arial" w:cs="Arial" w:eastAsia="Arial" w:hAnsi="Arial"/>
          <w:sz w:val="20"/>
          <w:szCs w:val="20"/>
          <w:color w:val="212121"/>
        </w:rPr>
        <w:t xml:space="preserve"> understandings, negotiations and discussions, whether oral or written </w:t>
      </w:r>
      <w:r>
        <w:rPr>
          <w:rFonts w:ascii="Arial" w:cs="Arial" w:eastAsia="Arial" w:hAnsi="Arial"/>
          <w:sz w:val="20"/>
          <w:szCs w:val="20"/>
          <w:color w:val="3B3B3B"/>
        </w:rPr>
        <w:t>,</w:t>
      </w:r>
      <w:r>
        <w:rPr>
          <w:rFonts w:ascii="Arial" w:cs="Arial" w:eastAsia="Arial" w:hAnsi="Arial"/>
          <w:sz w:val="20"/>
          <w:szCs w:val="20"/>
          <w:color w:val="212121"/>
        </w:rPr>
        <w:t xml:space="preserve"> of the Parties pertaining to the subject matter hereof.</w:t>
      </w:r>
    </w:p>
    <w:p>
      <w:pPr>
        <w:spacing w:after="0" w:line="192"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u w:val="single" w:color="auto"/>
          <w:color w:val="212121"/>
        </w:rPr>
        <w:t>Section 5. Counterparts.</w:t>
      </w:r>
      <w:r>
        <w:rPr>
          <w:rFonts w:ascii="Arial" w:cs="Arial" w:eastAsia="Arial" w:hAnsi="Arial"/>
          <w:sz w:val="20"/>
          <w:szCs w:val="20"/>
          <w:color w:val="212121"/>
        </w:rPr>
        <w:t xml:space="preserve"> This Amendment may be executed in any number of counterparts and all such counterparts shall be taken together as one document. Signatures on this Amendment transmitted by fax or other electronic means shall constitute and be deemed original signatures and be binding for all purposes.</w:t>
      </w:r>
    </w:p>
    <w:p>
      <w:pPr>
        <w:spacing w:after="0" w:line="186"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u w:val="single" w:color="auto"/>
          <w:color w:val="212121"/>
        </w:rPr>
        <w:t>Section 6. Miscellaneous.</w:t>
      </w:r>
      <w:r>
        <w:rPr>
          <w:rFonts w:ascii="Arial" w:cs="Arial" w:eastAsia="Arial" w:hAnsi="Arial"/>
          <w:sz w:val="20"/>
          <w:szCs w:val="20"/>
          <w:color w:val="212121"/>
        </w:rPr>
        <w:t xml:space="preserve"> Each reference in the Purchase and Sale Agreement to "this Agreement", </w:t>
      </w:r>
      <w:r>
        <w:rPr>
          <w:rFonts w:ascii="Arial" w:cs="Arial" w:eastAsia="Arial" w:hAnsi="Arial"/>
          <w:sz w:val="20"/>
          <w:szCs w:val="20"/>
          <w:color w:val="3B3B3B"/>
        </w:rPr>
        <w:t>"</w:t>
      </w:r>
      <w:r>
        <w:rPr>
          <w:rFonts w:ascii="Arial" w:cs="Arial" w:eastAsia="Arial" w:hAnsi="Arial"/>
          <w:sz w:val="20"/>
          <w:szCs w:val="20"/>
          <w:color w:val="212121"/>
        </w:rPr>
        <w:t xml:space="preserve">hereunder", </w:t>
      </w:r>
      <w:r>
        <w:rPr>
          <w:rFonts w:ascii="Arial" w:cs="Arial" w:eastAsia="Arial" w:hAnsi="Arial"/>
          <w:sz w:val="20"/>
          <w:szCs w:val="20"/>
          <w:color w:val="3B3B3B"/>
        </w:rPr>
        <w:t>"</w:t>
      </w:r>
      <w:r>
        <w:rPr>
          <w:rFonts w:ascii="Arial" w:cs="Arial" w:eastAsia="Arial" w:hAnsi="Arial"/>
          <w:sz w:val="20"/>
          <w:szCs w:val="20"/>
          <w:color w:val="212121"/>
        </w:rPr>
        <w:t xml:space="preserve">hereof ', "herein" or any other word or words of similar import shall mean and be a reference to the Purchase and Sale Agreement as amended hereby. Capitalized terms used, but not defined herein, shall have the meanings given to those terms in the Purchase and Sale Agreement. Sections 15.3 (Assignment), 15.6 (Notices), 15.10 (Parties in Interest) </w:t>
      </w:r>
      <w:r>
        <w:rPr>
          <w:rFonts w:ascii="Arial" w:cs="Arial" w:eastAsia="Arial" w:hAnsi="Arial"/>
          <w:sz w:val="20"/>
          <w:szCs w:val="20"/>
          <w:color w:val="3B3B3B"/>
        </w:rPr>
        <w:t>,</w:t>
      </w:r>
    </w:p>
    <w:p>
      <w:pPr>
        <w:spacing w:after="0" w:line="3" w:lineRule="exact"/>
        <w:rPr>
          <w:sz w:val="20"/>
          <w:szCs w:val="20"/>
          <w:color w:val="auto"/>
        </w:rPr>
      </w:pPr>
    </w:p>
    <w:p>
      <w:pPr>
        <w:jc w:val="both"/>
        <w:ind w:right="20" w:firstLine="14"/>
        <w:spacing w:after="0" w:line="244" w:lineRule="auto"/>
        <w:rPr>
          <w:sz w:val="20"/>
          <w:szCs w:val="20"/>
          <w:color w:val="auto"/>
        </w:rPr>
      </w:pPr>
      <w:r>
        <w:rPr>
          <w:rFonts w:ascii="Arial" w:cs="Arial" w:eastAsia="Arial" w:hAnsi="Arial"/>
          <w:sz w:val="20"/>
          <w:szCs w:val="20"/>
          <w:color w:val="212121"/>
        </w:rPr>
        <w:t>15.13 (Governing Law; Jurisdiction) and 15.14 (Severability) of the Purchase and Sale Agreement shall apply to this Amendment as if set forth in full in this Am</w:t>
      </w:r>
      <w:r>
        <w:rPr>
          <w:rFonts w:ascii="Arial" w:cs="Arial" w:eastAsia="Arial" w:hAnsi="Arial"/>
          <w:sz w:val="20"/>
          <w:szCs w:val="20"/>
          <w:color w:val="3B3B3B"/>
        </w:rPr>
        <w:t>e</w:t>
      </w:r>
      <w:r>
        <w:rPr>
          <w:rFonts w:ascii="Arial" w:cs="Arial" w:eastAsia="Arial" w:hAnsi="Arial"/>
          <w:sz w:val="20"/>
          <w:szCs w:val="20"/>
          <w:color w:val="212121"/>
        </w:rPr>
        <w:t xml:space="preserve">ndment, </w:t>
      </w:r>
      <w:r>
        <w:rPr>
          <w:rFonts w:ascii="Arial" w:cs="Arial" w:eastAsia="Arial" w:hAnsi="Arial"/>
          <w:sz w:val="20"/>
          <w:szCs w:val="20"/>
          <w:i w:val="1"/>
          <w:iCs w:val="1"/>
          <w:color w:val="212121"/>
        </w:rPr>
        <w:t>mutatis mutandis.</w:t>
      </w:r>
    </w:p>
    <w:p>
      <w:pPr>
        <w:spacing w:after="0" w:line="200" w:lineRule="exact"/>
        <w:rPr>
          <w:sz w:val="20"/>
          <w:szCs w:val="20"/>
          <w:color w:val="auto"/>
        </w:rPr>
      </w:pPr>
    </w:p>
    <w:p>
      <w:pPr>
        <w:spacing w:after="0" w:line="208" w:lineRule="exact"/>
        <w:rPr>
          <w:sz w:val="20"/>
          <w:szCs w:val="20"/>
          <w:color w:val="auto"/>
        </w:rPr>
      </w:pPr>
    </w:p>
    <w:p>
      <w:pPr>
        <w:ind w:left="6240"/>
        <w:spacing w:after="0"/>
        <w:rPr>
          <w:sz w:val="20"/>
          <w:szCs w:val="20"/>
          <w:color w:val="auto"/>
        </w:rPr>
      </w:pPr>
      <w:r>
        <w:rPr>
          <w:rFonts w:ascii="Arial" w:cs="Arial" w:eastAsia="Arial" w:hAnsi="Arial"/>
          <w:sz w:val="20"/>
          <w:szCs w:val="20"/>
          <w:i w:val="1"/>
          <w:iCs w:val="1"/>
          <w:color w:val="212121"/>
        </w:rPr>
        <w:t>Signature Pages Follow</w:t>
      </w:r>
    </w:p>
    <w:p>
      <w:pPr>
        <w:sectPr>
          <w:pgSz w:w="11900" w:h="16838" w:orient="portrait"/>
          <w:cols w:equalWidth="0" w:num="1">
            <w:col w:w="11340"/>
          </w:cols>
          <w:pgMar w:left="32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EXECUTED as of the date first written above.</w:t>
      </w:r>
    </w:p>
    <w:p>
      <w:pPr>
        <w:spacing w:after="0" w:line="200" w:lineRule="exact"/>
        <w:rPr>
          <w:sz w:val="20"/>
          <w:szCs w:val="20"/>
          <w:color w:val="auto"/>
        </w:rPr>
      </w:pPr>
    </w:p>
    <w:p>
      <w:pPr>
        <w:spacing w:after="0" w:line="311" w:lineRule="exact"/>
        <w:rPr>
          <w:sz w:val="20"/>
          <w:szCs w:val="20"/>
          <w:color w:val="auto"/>
        </w:rPr>
      </w:pPr>
    </w:p>
    <w:p>
      <w:pPr>
        <w:ind w:left="3240"/>
        <w:spacing w:after="0"/>
        <w:rPr>
          <w:sz w:val="20"/>
          <w:szCs w:val="20"/>
          <w:color w:val="auto"/>
        </w:rPr>
      </w:pPr>
      <w:r>
        <w:rPr>
          <w:rFonts w:ascii="Arial" w:cs="Arial" w:eastAsia="Arial" w:hAnsi="Arial"/>
          <w:sz w:val="22"/>
          <w:szCs w:val="22"/>
          <w:b w:val="1"/>
          <w:bCs w:val="1"/>
          <w:u w:val="single" w:color="auto"/>
          <w:color w:val="auto"/>
        </w:rPr>
        <w:t>SELLERS</w:t>
      </w:r>
      <w:r>
        <w:rPr>
          <w:rFonts w:ascii="Arial" w:cs="Arial" w:eastAsia="Arial" w:hAnsi="Arial"/>
          <w:sz w:val="22"/>
          <w:szCs w:val="22"/>
          <w:u w:val="single" w:color="auto"/>
          <w:color w:val="auto"/>
        </w:rPr>
        <w:t>:</w:t>
      </w:r>
    </w:p>
    <w:p>
      <w:pPr>
        <w:spacing w:after="0" w:line="22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ENERVEST ENERGY INSTITUTIONAL FUND XII-A, L.P.</w:t>
      </w:r>
    </w:p>
    <w:p>
      <w:pPr>
        <w:spacing w:after="0" w:line="17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ENERVEST ENERGY INSTITUTIONAL FUND XII-WIB, 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Ltd.,</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175"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Management GP, L.C.,</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323"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u w:val="single" w:color="auto"/>
          <w:color w:val="auto"/>
        </w:rPr>
        <w:t>By:</w:t>
      </w:r>
      <w:r>
        <w:rPr>
          <w:sz w:val="20"/>
          <w:szCs w:val="20"/>
          <w:color w:val="auto"/>
        </w:rPr>
        <w:tab/>
      </w:r>
      <w:r>
        <w:rPr>
          <w:rFonts w:ascii="Arial" w:cs="Arial" w:eastAsia="Arial" w:hAnsi="Arial"/>
          <w:sz w:val="19"/>
          <w:szCs w:val="19"/>
          <w:u w:val="single" w:color="auto"/>
          <w:color w:val="auto"/>
        </w:rPr>
        <w:t>/s/James M. Vanderhider</w:t>
      </w:r>
    </w:p>
    <w:p>
      <w:pPr>
        <w:spacing w:after="0" w:line="22" w:lineRule="exact"/>
        <w:rPr>
          <w:sz w:val="20"/>
          <w:szCs w:val="20"/>
          <w:color w:val="auto"/>
        </w:rPr>
      </w:pPr>
    </w:p>
    <w:p>
      <w:pPr>
        <w:ind w:left="3240"/>
        <w:spacing w:after="0"/>
        <w:tabs>
          <w:tab w:leader="none" w:pos="4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M. Vanderhider</w:t>
      </w:r>
    </w:p>
    <w:p>
      <w:pPr>
        <w:spacing w:after="0" w:line="17"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Chief Financial Officer</w:t>
      </w:r>
    </w:p>
    <w:p>
      <w:pPr>
        <w:spacing w:after="0" w:line="31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ENERVEST ENERGY INSTITUTIONAL FUND XII-WIC, L.P.</w:t>
      </w:r>
    </w:p>
    <w:p>
      <w:pPr>
        <w:spacing w:after="0" w:line="179"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Holding, LLC,</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22"/>
          <w:szCs w:val="22"/>
          <w:color w:val="auto"/>
        </w:rPr>
        <w:t>By:</w:t>
        <w:tab/>
        <w:t>EnerVest, Ltd.,</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Sole Member</w:t>
      </w:r>
    </w:p>
    <w:p>
      <w:pPr>
        <w:spacing w:after="0" w:line="161"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Management GP, L.C.,</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323"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u w:val="single" w:color="auto"/>
          <w:color w:val="auto"/>
        </w:rPr>
        <w:t>By:</w:t>
        <w:tab/>
        <w:t>/s/James M. Vanderhider</w:t>
      </w:r>
    </w:p>
    <w:p>
      <w:pPr>
        <w:spacing w:after="0" w:line="22" w:lineRule="exact"/>
        <w:rPr>
          <w:sz w:val="20"/>
          <w:szCs w:val="20"/>
          <w:color w:val="auto"/>
        </w:rPr>
      </w:pPr>
    </w:p>
    <w:p>
      <w:pPr>
        <w:ind w:left="3240"/>
        <w:spacing w:after="0"/>
        <w:tabs>
          <w:tab w:leader="none" w:pos="39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M. Vanderhider</w:t>
      </w:r>
    </w:p>
    <w:p>
      <w:pPr>
        <w:spacing w:after="0" w:line="17" w:lineRule="exact"/>
        <w:rPr>
          <w:sz w:val="20"/>
          <w:szCs w:val="20"/>
          <w:color w:val="auto"/>
        </w:rPr>
      </w:pPr>
    </w:p>
    <w:p>
      <w:pPr>
        <w:ind w:left="3240"/>
        <w:spacing w:after="0"/>
        <w:tabs>
          <w:tab w:leader="none" w:pos="3920" w:val="left"/>
        </w:tabs>
        <w:rPr>
          <w:sz w:val="20"/>
          <w:szCs w:val="20"/>
          <w:color w:val="auto"/>
        </w:rPr>
      </w:pPr>
      <w:r>
        <w:rPr>
          <w:rFonts w:ascii="Arial" w:cs="Arial" w:eastAsia="Arial" w:hAnsi="Arial"/>
          <w:sz w:val="22"/>
          <w:szCs w:val="22"/>
          <w:color w:val="auto"/>
        </w:rPr>
        <w:t>Title:</w:t>
        <w:tab/>
        <w:t>Executive Vice President and</w:t>
      </w:r>
    </w:p>
    <w:p>
      <w:pPr>
        <w:spacing w:after="0" w:line="1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Signature Page to First Amendment to PSA</w:t>
      </w:r>
    </w:p>
    <w:p>
      <w:pPr>
        <w:sectPr>
          <w:pgSz w:w="11900" w:h="16838" w:orient="portrait"/>
          <w:cols w:equalWidth="0" w:num="1">
            <w:col w:w="10760"/>
          </w:cols>
          <w:pgMar w:left="90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ENERVEST HOLDING, L.P.</w:t>
      </w:r>
    </w:p>
    <w:p>
      <w:pPr>
        <w:spacing w:after="0" w:line="179"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Operating L.L.C,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2700"/>
        <w:spacing w:after="0"/>
        <w:tabs>
          <w:tab w:leader="none" w:pos="3220" w:val="left"/>
        </w:tabs>
        <w:rPr>
          <w:sz w:val="20"/>
          <w:szCs w:val="20"/>
          <w:color w:val="auto"/>
        </w:rPr>
      </w:pPr>
      <w:r>
        <w:rPr>
          <w:rFonts w:ascii="Arial" w:cs="Arial" w:eastAsia="Arial" w:hAnsi="Arial"/>
          <w:sz w:val="22"/>
          <w:szCs w:val="22"/>
          <w:u w:val="single" w:color="auto"/>
          <w:color w:val="auto"/>
        </w:rPr>
        <w:t>By:</w:t>
        <w:tab/>
        <w:t>/s/James M. Vanderhider</w:t>
      </w:r>
    </w:p>
    <w:p>
      <w:pPr>
        <w:spacing w:after="0" w:line="22" w:lineRule="exact"/>
        <w:rPr>
          <w:sz w:val="20"/>
          <w:szCs w:val="20"/>
          <w:color w:val="auto"/>
        </w:rPr>
      </w:pPr>
    </w:p>
    <w:p>
      <w:pPr>
        <w:ind w:left="270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M. Vanderhider</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w:t>
      </w:r>
    </w:p>
    <w:p>
      <w:pPr>
        <w:spacing w:after="0" w:line="17"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93"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22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QEP Energy Company</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i w:val="1"/>
          <w:iCs w:val="1"/>
          <w:u w:val="single" w:color="auto"/>
          <w:color w:val="auto"/>
        </w:rPr>
        <w:t xml:space="preserve">By: </w:t>
      </w:r>
      <w:r>
        <w:rPr>
          <w:rFonts w:ascii="Arial" w:cs="Arial" w:eastAsia="Arial" w:hAnsi="Arial"/>
          <w:sz w:val="18"/>
          <w:szCs w:val="18"/>
          <w:i w:val="1"/>
          <w:iCs w:val="1"/>
          <w:u w:val="single" w:color="auto"/>
          <w:color w:val="auto"/>
        </w:rPr>
        <w:t>/s/</w:t>
      </w:r>
      <w:r>
        <w:rPr>
          <w:rFonts w:ascii="Arial" w:cs="Arial" w:eastAsia="Arial" w:hAnsi="Arial"/>
          <w:sz w:val="22"/>
          <w:szCs w:val="22"/>
          <w:i w:val="1"/>
          <w:iCs w:val="1"/>
          <w:u w:val="single" w:color="auto"/>
          <w:color w:val="auto"/>
        </w:rPr>
        <w:t xml:space="preserve"> Austin S. Murr</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Austin S. Murr</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Land and</w:t>
      </w:r>
    </w:p>
    <w:p>
      <w:pPr>
        <w:spacing w:after="0" w:line="17"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Business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Signature Page to First Amendment to PSA</w:t>
      </w:r>
    </w:p>
    <w:p>
      <w:pPr>
        <w:sectPr>
          <w:pgSz w:w="11900" w:h="16838" w:orient="portrait"/>
          <w:cols w:equalWidth="0" w:num="1">
            <w:col w:w="10220"/>
          </w:cols>
          <w:pgMar w:left="14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10.1</w:t>
      </w:r>
    </w:p>
    <w:p>
      <w:pPr>
        <w:spacing w:after="0" w:line="28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SECOND AMENDMENT TO PURCHA SE AND SALE AGREEMENT</w:t>
      </w:r>
    </w:p>
    <w:p>
      <w:pPr>
        <w:spacing w:after="0" w:line="235" w:lineRule="exact"/>
        <w:rPr>
          <w:sz w:val="20"/>
          <w:szCs w:val="20"/>
          <w:color w:val="auto"/>
        </w:rPr>
      </w:pPr>
    </w:p>
    <w:p>
      <w:pPr>
        <w:jc w:val="both"/>
        <w:ind w:left="40" w:firstLine="621"/>
        <w:spacing w:after="0" w:line="243" w:lineRule="auto"/>
        <w:rPr>
          <w:sz w:val="20"/>
          <w:szCs w:val="20"/>
          <w:color w:val="auto"/>
        </w:rPr>
      </w:pPr>
      <w:r>
        <w:rPr>
          <w:rFonts w:ascii="Arial" w:cs="Arial" w:eastAsia="Arial" w:hAnsi="Arial"/>
          <w:sz w:val="20"/>
          <w:szCs w:val="20"/>
          <w:color w:val="auto"/>
        </w:rPr>
        <w:t xml:space="preserve">This Second Amendment to Purchase and Sale Agreement (this </w:t>
      </w:r>
      <w:r>
        <w:rPr>
          <w:rFonts w:ascii="Arial" w:cs="Arial" w:eastAsia="Arial" w:hAnsi="Arial"/>
          <w:sz w:val="20"/>
          <w:szCs w:val="20"/>
          <w:b w:val="1"/>
          <w:bCs w:val="1"/>
          <w:i w:val="1"/>
          <w:iCs w:val="1"/>
          <w:color w:val="auto"/>
        </w:rPr>
        <w:t>"Amendment' ),</w:t>
      </w:r>
      <w:r>
        <w:rPr>
          <w:rFonts w:ascii="Arial" w:cs="Arial" w:eastAsia="Arial" w:hAnsi="Arial"/>
          <w:sz w:val="20"/>
          <w:szCs w:val="20"/>
          <w:color w:val="auto"/>
        </w:rPr>
        <w:t xml:space="preserve"> dated as of February 15, 2014, is by and among EnerVest Holding, L.P., a Texas limited partnership, EnerVest Energy Institutional Fund XTT-A, L.P., a Delaware limited partnership, EnerVest Energy Institutional Fund XI I-WIB, L.P., a Delaware limited partnership , and EnerVest Energy Institutional Fund XII-WIC, L.P., a Delaware limited partnership (collectively </w:t>
      </w:r>
      <w:r>
        <w:rPr>
          <w:rFonts w:ascii="Arial" w:cs="Arial" w:eastAsia="Arial" w:hAnsi="Arial"/>
          <w:sz w:val="20"/>
          <w:szCs w:val="20"/>
          <w:b w:val="1"/>
          <w:bCs w:val="1"/>
          <w:i w:val="1"/>
          <w:iCs w:val="1"/>
          <w:color w:val="auto"/>
        </w:rPr>
        <w:t>"Sellers"</w:t>
      </w:r>
      <w:r>
        <w:rPr>
          <w:rFonts w:ascii="Arial" w:cs="Arial" w:eastAsia="Arial" w:hAnsi="Arial"/>
          <w:sz w:val="20"/>
          <w:szCs w:val="20"/>
          <w:color w:val="auto"/>
        </w:rPr>
        <w:t xml:space="preserve"> and each individually a </w:t>
      </w:r>
      <w:r>
        <w:rPr>
          <w:rFonts w:ascii="Arial" w:cs="Arial" w:eastAsia="Arial" w:hAnsi="Arial"/>
          <w:sz w:val="20"/>
          <w:szCs w:val="20"/>
          <w:b w:val="1"/>
          <w:bCs w:val="1"/>
          <w:i w:val="1"/>
          <w:iCs w:val="1"/>
          <w:color w:val="auto"/>
        </w:rPr>
        <w:t>"Seller") ,</w:t>
      </w:r>
      <w:r>
        <w:rPr>
          <w:rFonts w:ascii="Arial" w:cs="Arial" w:eastAsia="Arial" w:hAnsi="Arial"/>
          <w:sz w:val="20"/>
          <w:szCs w:val="20"/>
          <w:color w:val="auto"/>
        </w:rPr>
        <w:t xml:space="preserve"> and QEP Energy Company, a Texas corporation </w:t>
      </w:r>
      <w:r>
        <w:rPr>
          <w:rFonts w:ascii="Arial" w:cs="Arial" w:eastAsia="Arial" w:hAnsi="Arial"/>
          <w:sz w:val="20"/>
          <w:szCs w:val="20"/>
          <w:b w:val="1"/>
          <w:bCs w:val="1"/>
          <w:i w:val="1"/>
          <w:iCs w:val="1"/>
          <w:color w:val="auto"/>
        </w:rPr>
        <w:t xml:space="preserve">(''Buyer"). </w:t>
      </w:r>
      <w:r>
        <w:rPr>
          <w:rFonts w:ascii="Arial" w:cs="Arial" w:eastAsia="Arial" w:hAnsi="Arial"/>
          <w:sz w:val="20"/>
          <w:szCs w:val="20"/>
          <w:color w:val="auto"/>
        </w:rPr>
        <w:t>Sellers and Buyer are collectively referred to herein as the</w:t>
      </w:r>
      <w:r>
        <w:rPr>
          <w:rFonts w:ascii="Arial" w:cs="Arial" w:eastAsia="Arial" w:hAnsi="Arial"/>
          <w:sz w:val="20"/>
          <w:szCs w:val="20"/>
          <w:b w:val="1"/>
          <w:bCs w:val="1"/>
          <w:i w:val="1"/>
          <w:iCs w:val="1"/>
          <w:color w:val="auto"/>
        </w:rPr>
        <w:t xml:space="preserve"> "Parties," </w:t>
      </w:r>
      <w:r>
        <w:rPr>
          <w:rFonts w:ascii="Arial" w:cs="Arial" w:eastAsia="Arial" w:hAnsi="Arial"/>
          <w:sz w:val="20"/>
          <w:szCs w:val="20"/>
          <w:color w:val="auto"/>
        </w:rPr>
        <w:t>and are sometimes referred to individually as a</w:t>
      </w:r>
      <w:r>
        <w:rPr>
          <w:rFonts w:ascii="Arial" w:cs="Arial" w:eastAsia="Arial" w:hAnsi="Arial"/>
          <w:sz w:val="20"/>
          <w:szCs w:val="20"/>
          <w:b w:val="1"/>
          <w:bCs w:val="1"/>
          <w:i w:val="1"/>
          <w:iCs w:val="1"/>
          <w:color w:val="auto"/>
        </w:rPr>
        <w:t xml:space="preserve"> "Party." </w:t>
      </w:r>
      <w:r>
        <w:rPr>
          <w:rFonts w:ascii="Arial" w:cs="Arial" w:eastAsia="Arial" w:hAnsi="Arial"/>
          <w:sz w:val="20"/>
          <w:szCs w:val="20"/>
          <w:color w:val="auto"/>
        </w:rPr>
        <w:t>Capitalized terms used but not defined herein shall have the meanings ascribed to such terms in the Purchase and Sale Agreement (as defined below).</w:t>
      </w:r>
    </w:p>
    <w:p>
      <w:pPr>
        <w:spacing w:after="0" w:line="207" w:lineRule="exact"/>
        <w:rPr>
          <w:sz w:val="20"/>
          <w:szCs w:val="20"/>
          <w:color w:val="auto"/>
        </w:rPr>
      </w:pPr>
    </w:p>
    <w:p>
      <w:pPr>
        <w:jc w:val="center"/>
        <w:ind w:left="1000"/>
        <w:spacing w:after="0"/>
        <w:rPr>
          <w:sz w:val="20"/>
          <w:szCs w:val="20"/>
          <w:color w:val="auto"/>
        </w:rPr>
      </w:pPr>
      <w:r>
        <w:rPr>
          <w:rFonts w:ascii="Arial" w:cs="Arial" w:eastAsia="Arial" w:hAnsi="Arial"/>
          <w:sz w:val="20"/>
          <w:szCs w:val="20"/>
          <w:u w:val="single" w:color="auto"/>
          <w:color w:val="auto"/>
        </w:rPr>
        <w:t>RECITALS</w:t>
      </w:r>
    </w:p>
    <w:p>
      <w:pPr>
        <w:spacing w:after="0" w:line="229" w:lineRule="exact"/>
        <w:rPr>
          <w:sz w:val="20"/>
          <w:szCs w:val="20"/>
          <w:color w:val="auto"/>
        </w:rPr>
      </w:pPr>
    </w:p>
    <w:p>
      <w:pPr>
        <w:jc w:val="both"/>
        <w:ind w:left="40" w:firstLine="648"/>
        <w:spacing w:after="0" w:line="316" w:lineRule="auto"/>
        <w:rPr>
          <w:sz w:val="20"/>
          <w:szCs w:val="20"/>
          <w:color w:val="auto"/>
        </w:rPr>
      </w:pPr>
      <w:r>
        <w:rPr>
          <w:rFonts w:ascii="Arial" w:cs="Arial" w:eastAsia="Arial" w:hAnsi="Arial"/>
          <w:sz w:val="18"/>
          <w:szCs w:val="18"/>
          <w:color w:val="auto"/>
        </w:rPr>
        <w:t xml:space="preserve">WHEREAS, Sellers and Buyer are parties to that certain Purchase and Sale Agreement dated December 6, 2013, as amended by that certain First Amendment to Purchase and Sale Agreement dated January 31, 20 14 (the </w:t>
      </w:r>
      <w:r>
        <w:rPr>
          <w:rFonts w:ascii="Arial" w:cs="Arial" w:eastAsia="Arial" w:hAnsi="Arial"/>
          <w:sz w:val="18"/>
          <w:szCs w:val="18"/>
          <w:b w:val="1"/>
          <w:bCs w:val="1"/>
          <w:i w:val="1"/>
          <w:iCs w:val="1"/>
          <w:color w:val="auto"/>
        </w:rPr>
        <w:t>"Purchase and Sale Agreement'");</w:t>
      </w:r>
      <w:r>
        <w:rPr>
          <w:rFonts w:ascii="Arial" w:cs="Arial" w:eastAsia="Arial" w:hAnsi="Arial"/>
          <w:sz w:val="18"/>
          <w:szCs w:val="18"/>
          <w:color w:val="auto"/>
        </w:rPr>
        <w:t xml:space="preserve"> 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 the Parties wish to amend the Purchase and Sale Agreement in accordance with the provisions of this Amendment.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 for and in consideration of the mutual agreements contained in the Purchase and Sale Agreement and this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20"/>
          <w:szCs w:val="20"/>
          <w:color w:val="auto"/>
        </w:rPr>
        <w:t>Amendment and other good and valuable consideration, Sellers and Buyer agree as follows:</w:t>
      </w:r>
    </w:p>
    <w:p>
      <w:pPr>
        <w:spacing w:after="0" w:line="213" w:lineRule="exact"/>
        <w:rPr>
          <w:sz w:val="20"/>
          <w:szCs w:val="20"/>
          <w:color w:val="auto"/>
        </w:rPr>
      </w:pPr>
    </w:p>
    <w:p>
      <w:pPr>
        <w:ind w:left="5520"/>
        <w:spacing w:after="0"/>
        <w:rPr>
          <w:sz w:val="20"/>
          <w:szCs w:val="20"/>
          <w:color w:val="auto"/>
        </w:rPr>
      </w:pPr>
      <w:r>
        <w:rPr>
          <w:rFonts w:ascii="Arial" w:cs="Arial" w:eastAsia="Arial" w:hAnsi="Arial"/>
          <w:sz w:val="20"/>
          <w:szCs w:val="20"/>
          <w:u w:val="single" w:color="auto"/>
          <w:color w:val="auto"/>
        </w:rPr>
        <w:t>AGREEMENT</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20"/>
          <w:szCs w:val="20"/>
          <w:u w:val="single" w:color="auto"/>
          <w:color w:val="auto"/>
        </w:rPr>
        <w:t>Section 1. Amendments to the Purchase and Sale Agreement.</w:t>
      </w:r>
    </w:p>
    <w:p>
      <w:pPr>
        <w:spacing w:after="0" w:line="229" w:lineRule="exact"/>
        <w:rPr>
          <w:sz w:val="20"/>
          <w:szCs w:val="20"/>
          <w:color w:val="auto"/>
        </w:rPr>
      </w:pPr>
    </w:p>
    <w:p>
      <w:pPr>
        <w:ind w:left="1340" w:hanging="656"/>
        <w:spacing w:after="0"/>
        <w:tabs>
          <w:tab w:leader="none" w:pos="13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Section 9.1 of the Purchase and Sale Agreement is amended by replacing "February 19" with "February 25".</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u w:val="single" w:color="auto"/>
          <w:color w:val="auto"/>
        </w:rPr>
        <w:t>Section 2. Confirmation.</w:t>
      </w:r>
      <w:r>
        <w:rPr>
          <w:rFonts w:ascii="Arial" w:cs="Arial" w:eastAsia="Arial" w:hAnsi="Arial"/>
          <w:sz w:val="19"/>
          <w:szCs w:val="19"/>
          <w:color w:val="auto"/>
        </w:rPr>
        <w:t xml:space="preserve"> Except as specifically provided in this Amendment , all terms and provisions of the Purchase and Sale Agreement shall remain unchanged and in full force and effect, and the Purchase and Sale Agreement , as modified by this Amendment, is hereby ratified, acknowledged and reaffirmed by the Parties. The execution of this Amendment shall not directly or indirectly in any way whatsoever either: (a) impair, prejudice or otherwise adversely affect any Party's right at any time to exercise any right , privilege or remedy in connection with the Purchase and Sale Agreement; (b) amend or alter any provision of the Purchase and Sale Agreement (other than the amendments provided for in this Amendment); or (c) constitute any course of dealing or other basis for altering any obligation of any Party's or any right, privilege or remedy of any Party's under the Purchase and Sale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 Amendment.</w:t>
      </w:r>
      <w:r>
        <w:rPr>
          <w:rFonts w:ascii="Arial" w:cs="Arial" w:eastAsia="Arial" w:hAnsi="Arial"/>
          <w:sz w:val="20"/>
          <w:szCs w:val="20"/>
          <w:color w:val="auto"/>
        </w:rPr>
        <w:t xml:space="preserve"> This Amendment may be amended only by an instrument in writing executed by all Parties.</w:t>
      </w:r>
    </w:p>
    <w:p>
      <w:pPr>
        <w:spacing w:after="0" w:line="2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4. Entire Agreement.</w:t>
      </w:r>
      <w:r>
        <w:rPr>
          <w:rFonts w:ascii="Arial" w:cs="Arial" w:eastAsia="Arial" w:hAnsi="Arial"/>
          <w:sz w:val="20"/>
          <w:szCs w:val="20"/>
          <w:color w:val="auto"/>
        </w:rPr>
        <w:t xml:space="preserve"> This Amendment , the Exhibit hereto, the Purchase and Sale Agreement (together with the annexes, exhibits and schedules thereto) , the Transaction Documents and the Confidentiality Agreement collectively constitute the entire agreement between the Parties pertaining to the subject matter hereof and supersede all prior agreements, understandings , negotiations and discussions, whether oral or written , of the Parties pertaining to the subject matter hereof.</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5. Counterparts.</w:t>
      </w:r>
      <w:r>
        <w:rPr>
          <w:rFonts w:ascii="Arial" w:cs="Arial" w:eastAsia="Arial" w:hAnsi="Arial"/>
          <w:sz w:val="20"/>
          <w:szCs w:val="20"/>
          <w:color w:val="auto"/>
        </w:rPr>
        <w:t xml:space="preserve"> This Amendment may be executed i n any number of counterparts and all such counterparts shall be taken together as one document. Signatures on this Amendment transmitted by fax or other electronic means shall constitute and be deemed original signatures and be binding for all purposes.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6. Miscellaneous.</w:t>
      </w:r>
      <w:r>
        <w:rPr>
          <w:rFonts w:ascii="Arial" w:cs="Arial" w:eastAsia="Arial" w:hAnsi="Arial"/>
          <w:sz w:val="20"/>
          <w:szCs w:val="20"/>
          <w:color w:val="auto"/>
        </w:rPr>
        <w:t xml:space="preserve"> Each reference in the Purchase and Sale Agreement to "this Agreement" ,</w:t>
      </w:r>
    </w:p>
    <w:p>
      <w:pPr>
        <w:sectPr>
          <w:pgSz w:w="11900" w:h="16838" w:orient="portrait"/>
          <w:cols w:equalWidth="0" w:num="1">
            <w:col w:w="11340"/>
          </w:cols>
          <w:pgMar w:left="320" w:top="121" w:right="239" w:bottom="1440" w:gutter="0" w:footer="0" w:header="0"/>
        </w:sectPr>
      </w:pPr>
    </w:p>
    <w:bookmarkStart w:id="124" w:name="page125"/>
    <w:bookmarkEnd w:id="124"/>
    <w:p>
      <w:pPr>
        <w:ind w:left="10400"/>
        <w:spacing w:after="0"/>
        <w:rPr>
          <w:sz w:val="20"/>
          <w:szCs w:val="20"/>
          <w:color w:val="auto"/>
        </w:rPr>
      </w:pPr>
      <w:r>
        <w:rPr>
          <w:rFonts w:ascii="Arial" w:cs="Arial" w:eastAsia="Arial" w:hAnsi="Arial"/>
          <w:sz w:val="16"/>
          <w:szCs w:val="16"/>
          <w:b w:val="1"/>
          <w:bCs w:val="1"/>
          <w:color w:val="auto"/>
        </w:rPr>
        <w:t>Exhibit 10.1</w:t>
      </w:r>
    </w:p>
    <w:p>
      <w:pPr>
        <w:spacing w:after="0" w:line="27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''hereunder", ..hereof ', ''herein" or any other word or words of similar import shall mean and be a reference to the Purchase and Sale Agreement as amended hereby. Capitalized terms used , but not defined herein, shall have the meanings given to those terms in the Purchase and Sale Agreement. Sections 15.3 (Assignment). 15.6 (Notices), 15.l 0 (Parties in Interest),</w:t>
      </w:r>
    </w:p>
    <w:p>
      <w:pPr>
        <w:jc w:val="both"/>
        <w:ind w:right="20" w:firstLine="14"/>
        <w:spacing w:after="0" w:line="244" w:lineRule="auto"/>
        <w:rPr>
          <w:sz w:val="20"/>
          <w:szCs w:val="20"/>
          <w:color w:val="auto"/>
        </w:rPr>
      </w:pPr>
      <w:r>
        <w:rPr>
          <w:rFonts w:ascii="Arial" w:cs="Arial" w:eastAsia="Arial" w:hAnsi="Arial"/>
          <w:sz w:val="20"/>
          <w:szCs w:val="20"/>
          <w:color w:val="auto"/>
        </w:rPr>
        <w:t xml:space="preserve">15.13 (Governing Law; Jurisdiction) and 15.14 (Severability) of the Purchase and Sale Agreement shall apply to this Amendment as if set forth in full in this Amendment , </w:t>
      </w:r>
      <w:r>
        <w:rPr>
          <w:rFonts w:ascii="Arial" w:cs="Arial" w:eastAsia="Arial" w:hAnsi="Arial"/>
          <w:sz w:val="20"/>
          <w:szCs w:val="20"/>
          <w:i w:val="1"/>
          <w:iCs w:val="1"/>
          <w:color w:val="auto"/>
        </w:rPr>
        <w:t>mutatis mutandis.</w:t>
      </w:r>
    </w:p>
    <w:p>
      <w:pPr>
        <w:spacing w:after="0" w:line="200" w:lineRule="exact"/>
        <w:rPr>
          <w:sz w:val="20"/>
          <w:szCs w:val="20"/>
          <w:color w:val="auto"/>
        </w:rPr>
      </w:pPr>
    </w:p>
    <w:p>
      <w:pPr>
        <w:spacing w:after="0" w:line="248" w:lineRule="exact"/>
        <w:rPr>
          <w:sz w:val="20"/>
          <w:szCs w:val="20"/>
          <w:color w:val="auto"/>
        </w:rPr>
      </w:pPr>
    </w:p>
    <w:p>
      <w:pPr>
        <w:ind w:left="6300"/>
        <w:spacing w:after="0"/>
        <w:rPr>
          <w:sz w:val="20"/>
          <w:szCs w:val="20"/>
          <w:color w:val="auto"/>
        </w:rPr>
      </w:pPr>
      <w:r>
        <w:rPr>
          <w:rFonts w:ascii="Arial" w:cs="Arial" w:eastAsia="Arial" w:hAnsi="Arial"/>
          <w:sz w:val="20"/>
          <w:szCs w:val="20"/>
          <w:i w:val="1"/>
          <w:iCs w:val="1"/>
          <w:color w:val="auto"/>
        </w:rPr>
        <w:t>Signature Pages Follow</w:t>
      </w:r>
    </w:p>
    <w:p>
      <w:pPr>
        <w:sectPr>
          <w:pgSz w:w="11900" w:h="16838" w:orient="portrait"/>
          <w:cols w:equalWidth="0" w:num="1">
            <w:col w:w="11340"/>
          </w:cols>
          <w:pgMar w:left="320" w:top="12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EXECUTED as of the date first written above.</w:t>
      </w:r>
    </w:p>
    <w:p>
      <w:pPr>
        <w:spacing w:after="0" w:line="200" w:lineRule="exact"/>
        <w:rPr>
          <w:sz w:val="20"/>
          <w:szCs w:val="20"/>
          <w:color w:val="auto"/>
        </w:rPr>
      </w:pPr>
    </w:p>
    <w:p>
      <w:pPr>
        <w:spacing w:after="0" w:line="311" w:lineRule="exact"/>
        <w:rPr>
          <w:sz w:val="20"/>
          <w:szCs w:val="20"/>
          <w:color w:val="auto"/>
        </w:rPr>
      </w:pPr>
    </w:p>
    <w:p>
      <w:pPr>
        <w:ind w:left="3240"/>
        <w:spacing w:after="0"/>
        <w:rPr>
          <w:sz w:val="20"/>
          <w:szCs w:val="20"/>
          <w:color w:val="auto"/>
        </w:rPr>
      </w:pPr>
      <w:r>
        <w:rPr>
          <w:rFonts w:ascii="Arial" w:cs="Arial" w:eastAsia="Arial" w:hAnsi="Arial"/>
          <w:sz w:val="22"/>
          <w:szCs w:val="22"/>
          <w:b w:val="1"/>
          <w:bCs w:val="1"/>
          <w:u w:val="single" w:color="auto"/>
          <w:color w:val="auto"/>
        </w:rPr>
        <w:t>SELLERS</w:t>
      </w:r>
      <w:r>
        <w:rPr>
          <w:rFonts w:ascii="Arial" w:cs="Arial" w:eastAsia="Arial" w:hAnsi="Arial"/>
          <w:sz w:val="22"/>
          <w:szCs w:val="22"/>
          <w:u w:val="single" w:color="auto"/>
          <w:color w:val="auto"/>
        </w:rPr>
        <w:t>:</w:t>
      </w:r>
    </w:p>
    <w:p>
      <w:pPr>
        <w:spacing w:after="0" w:line="22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ENERVEST ENERGY INSTITUTIONAL FUND XII-A, L.P.</w:t>
      </w:r>
    </w:p>
    <w:p>
      <w:pPr>
        <w:spacing w:after="0" w:line="17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ENERVEST ENERGY INSTITUTIONAL FUND XII-WIB, 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Ltd.,</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175"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Management GP, L.C.,</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323"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u w:val="single" w:color="auto"/>
          <w:color w:val="auto"/>
        </w:rPr>
        <w:t>By:</w:t>
      </w:r>
      <w:r>
        <w:rPr>
          <w:sz w:val="20"/>
          <w:szCs w:val="20"/>
          <w:color w:val="auto"/>
        </w:rPr>
        <w:tab/>
      </w:r>
      <w:r>
        <w:rPr>
          <w:rFonts w:ascii="Arial" w:cs="Arial" w:eastAsia="Arial" w:hAnsi="Arial"/>
          <w:sz w:val="19"/>
          <w:szCs w:val="19"/>
          <w:u w:val="single" w:color="auto"/>
          <w:color w:val="auto"/>
        </w:rPr>
        <w:t>/s/James M. Vanderhider</w:t>
      </w:r>
    </w:p>
    <w:p>
      <w:pPr>
        <w:spacing w:after="0" w:line="22" w:lineRule="exact"/>
        <w:rPr>
          <w:sz w:val="20"/>
          <w:szCs w:val="20"/>
          <w:color w:val="auto"/>
        </w:rPr>
      </w:pPr>
    </w:p>
    <w:p>
      <w:pPr>
        <w:ind w:left="3240"/>
        <w:spacing w:after="0"/>
        <w:tabs>
          <w:tab w:leader="none" w:pos="4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M. Vanderhider</w:t>
      </w:r>
    </w:p>
    <w:p>
      <w:pPr>
        <w:spacing w:after="0" w:line="17"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Chief Financial Officer</w:t>
      </w:r>
    </w:p>
    <w:p>
      <w:pPr>
        <w:spacing w:after="0" w:line="31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ENERVEST ENERGY INSTITUTIONAL FUND XII-WIC, L.P.</w:t>
      </w:r>
    </w:p>
    <w:p>
      <w:pPr>
        <w:spacing w:after="0" w:line="179"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Holding, LLC,</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22"/>
          <w:szCs w:val="22"/>
          <w:color w:val="auto"/>
        </w:rPr>
        <w:t>By:</w:t>
        <w:tab/>
        <w:t>EnerVest, Ltd.,</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Sole Member</w:t>
      </w:r>
    </w:p>
    <w:p>
      <w:pPr>
        <w:spacing w:after="0" w:line="161"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Management GP, L.C.,</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323"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u w:val="single" w:color="auto"/>
          <w:color w:val="auto"/>
        </w:rPr>
        <w:t>By:</w:t>
        <w:tab/>
        <w:t>/s/James M. Vanderhider</w:t>
      </w:r>
    </w:p>
    <w:p>
      <w:pPr>
        <w:spacing w:after="0" w:line="22" w:lineRule="exact"/>
        <w:rPr>
          <w:sz w:val="20"/>
          <w:szCs w:val="20"/>
          <w:color w:val="auto"/>
        </w:rPr>
      </w:pPr>
    </w:p>
    <w:p>
      <w:pPr>
        <w:ind w:left="3240"/>
        <w:spacing w:after="0"/>
        <w:tabs>
          <w:tab w:leader="none" w:pos="39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M. Vanderhider</w:t>
      </w:r>
    </w:p>
    <w:p>
      <w:pPr>
        <w:spacing w:after="0" w:line="17" w:lineRule="exact"/>
        <w:rPr>
          <w:sz w:val="20"/>
          <w:szCs w:val="20"/>
          <w:color w:val="auto"/>
        </w:rPr>
      </w:pPr>
    </w:p>
    <w:p>
      <w:pPr>
        <w:ind w:left="3240"/>
        <w:spacing w:after="0"/>
        <w:tabs>
          <w:tab w:leader="none" w:pos="3920" w:val="left"/>
        </w:tabs>
        <w:rPr>
          <w:sz w:val="20"/>
          <w:szCs w:val="20"/>
          <w:color w:val="auto"/>
        </w:rPr>
      </w:pPr>
      <w:r>
        <w:rPr>
          <w:rFonts w:ascii="Arial" w:cs="Arial" w:eastAsia="Arial" w:hAnsi="Arial"/>
          <w:sz w:val="22"/>
          <w:szCs w:val="22"/>
          <w:color w:val="auto"/>
        </w:rPr>
        <w:t>Title:</w:t>
        <w:tab/>
        <w:t>Executive Vice President and</w:t>
      </w:r>
    </w:p>
    <w:p>
      <w:pPr>
        <w:spacing w:after="0" w:line="1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Signature Page to Second Amendment to PSA</w:t>
      </w:r>
    </w:p>
    <w:p>
      <w:pPr>
        <w:sectPr>
          <w:pgSz w:w="11900" w:h="16838" w:orient="portrait"/>
          <w:cols w:equalWidth="0" w:num="1">
            <w:col w:w="10760"/>
          </w:cols>
          <w:pgMar w:left="90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10.1</w:t>
      </w:r>
    </w:p>
    <w:p>
      <w:pPr>
        <w:spacing w:after="0" w:line="26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ENERVEST HOLDING, L.P.</w:t>
      </w:r>
    </w:p>
    <w:p>
      <w:pPr>
        <w:spacing w:after="0" w:line="179"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EnerVest Operating L.L.C,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2700"/>
        <w:spacing w:after="0"/>
        <w:tabs>
          <w:tab w:leader="none" w:pos="3220" w:val="left"/>
        </w:tabs>
        <w:rPr>
          <w:sz w:val="20"/>
          <w:szCs w:val="20"/>
          <w:color w:val="auto"/>
        </w:rPr>
      </w:pPr>
      <w:r>
        <w:rPr>
          <w:rFonts w:ascii="Arial" w:cs="Arial" w:eastAsia="Arial" w:hAnsi="Arial"/>
          <w:sz w:val="22"/>
          <w:szCs w:val="22"/>
          <w:u w:val="single" w:color="auto"/>
          <w:color w:val="auto"/>
        </w:rPr>
        <w:t>By:</w:t>
        <w:tab/>
        <w:t>/s/James M. Vanderhider</w:t>
      </w:r>
    </w:p>
    <w:p>
      <w:pPr>
        <w:spacing w:after="0" w:line="22" w:lineRule="exact"/>
        <w:rPr>
          <w:sz w:val="20"/>
          <w:szCs w:val="20"/>
          <w:color w:val="auto"/>
        </w:rPr>
      </w:pPr>
    </w:p>
    <w:p>
      <w:pPr>
        <w:ind w:left="270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M. Vanderhider</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22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QEP Energy Company</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i w:val="1"/>
          <w:iCs w:val="1"/>
          <w:u w:val="single" w:color="auto"/>
          <w:color w:val="auto"/>
        </w:rPr>
        <w:t xml:space="preserve">By: </w:t>
      </w:r>
      <w:r>
        <w:rPr>
          <w:rFonts w:ascii="Arial" w:cs="Arial" w:eastAsia="Arial" w:hAnsi="Arial"/>
          <w:sz w:val="18"/>
          <w:szCs w:val="18"/>
          <w:i w:val="1"/>
          <w:iCs w:val="1"/>
          <w:u w:val="single" w:color="auto"/>
          <w:color w:val="auto"/>
        </w:rPr>
        <w:t>/s/</w:t>
      </w:r>
      <w:r>
        <w:rPr>
          <w:rFonts w:ascii="Arial" w:cs="Arial" w:eastAsia="Arial" w:hAnsi="Arial"/>
          <w:sz w:val="22"/>
          <w:szCs w:val="22"/>
          <w:i w:val="1"/>
          <w:iCs w:val="1"/>
          <w:u w:val="single" w:color="auto"/>
          <w:color w:val="auto"/>
        </w:rPr>
        <w:t xml:space="preserve"> Austin S. Murr</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Austin S. Murr</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Land and</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Business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Signature Page to Second Amendment to PSA</w:t>
      </w:r>
    </w:p>
    <w:p>
      <w:pPr>
        <w:sectPr>
          <w:pgSz w:w="11900" w:h="16838" w:orient="portrait"/>
          <w:cols w:equalWidth="0" w:num="1">
            <w:col w:w="10220"/>
          </w:cols>
          <w:pgMar w:left="14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TERM LOAN AGREEMENT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COMMITMENT INCREASE AGREEMENT</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SECOND AMENDMENT TO TERM LOAN AGREEMENT AND COMMITMENT INCREASE AGREEMENT</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is made and entered into as of January 31, 2014, by and among </w:t>
      </w:r>
      <w:r>
        <w:rPr>
          <w:rFonts w:ascii="Arial" w:cs="Arial" w:eastAsia="Arial" w:hAnsi="Arial"/>
          <w:sz w:val="20"/>
          <w:szCs w:val="20"/>
          <w:b w:val="1"/>
          <w:bCs w:val="1"/>
          <w:color w:val="auto"/>
        </w:rPr>
        <w:t>QEP RESOURCES, INC.</w:t>
      </w:r>
      <w:r>
        <w:rPr>
          <w:rFonts w:ascii="Arial" w:cs="Arial" w:eastAsia="Arial" w:hAnsi="Arial"/>
          <w:sz w:val="20"/>
          <w:szCs w:val="20"/>
          <w:color w:val="auto"/>
        </w:rPr>
        <w:t>,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named on the signature pages hereto, and WELLS FARGO BANK, NATIONAL ASSOCIATION, as Administrative Agent for the Lenders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 I T N E S S E T H:</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the Lenders and the Administrative Agent are parties to that certain Term Loan Agreement dated as of</w:t>
      </w:r>
      <w:r>
        <w:rPr>
          <w:rFonts w:ascii="Arial" w:cs="Arial" w:eastAsia="Arial" w:hAnsi="Arial"/>
          <w:sz w:val="20"/>
          <w:szCs w:val="20"/>
          <w:b w:val="1"/>
          <w:bCs w:val="1"/>
          <w:color w:val="auto"/>
        </w:rPr>
        <w:t xml:space="preserve"> </w:t>
      </w:r>
      <w:r>
        <w:rPr>
          <w:rFonts w:ascii="Arial" w:cs="Arial" w:eastAsia="Arial" w:hAnsi="Arial"/>
          <w:sz w:val="20"/>
          <w:szCs w:val="20"/>
          <w:color w:val="auto"/>
        </w:rPr>
        <w:t>April 18, 2012, as amended by that certain First Amendment to Term Loan Agreement dated as of August 13, 2013 (the “</w:t>
      </w:r>
      <w:r>
        <w:rPr>
          <w:rFonts w:ascii="Arial" w:cs="Arial" w:eastAsia="Arial" w:hAnsi="Arial"/>
          <w:sz w:val="20"/>
          <w:szCs w:val="20"/>
          <w:u w:val="single" w:color="auto"/>
          <w:color w:val="auto"/>
        </w:rPr>
        <w:t>Existing Loan</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 as amended by this Amendment, the “</w:t>
      </w:r>
      <w:r>
        <w:rPr>
          <w:rFonts w:ascii="Arial" w:cs="Arial" w:eastAsia="Arial" w:hAnsi="Arial"/>
          <w:sz w:val="20"/>
          <w:szCs w:val="20"/>
          <w:u w:val="single" w:color="auto"/>
          <w:color w:val="auto"/>
        </w:rPr>
        <w:t>Loan Agreement</w:t>
      </w:r>
      <w:r>
        <w:rPr>
          <w:rFonts w:ascii="Arial" w:cs="Arial" w:eastAsia="Arial" w:hAnsi="Arial"/>
          <w:sz w:val="20"/>
          <w:szCs w:val="20"/>
          <w:color w:val="auto"/>
        </w:rPr>
        <w:t>”);</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has requested that the Existing Loan Agreement be amended to increase the aggregate amount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Commitments by $300,000,000 to an aggregate total amount of $600,000,000 (the “</w:t>
      </w:r>
      <w:r>
        <w:rPr>
          <w:rFonts w:ascii="Arial" w:cs="Arial" w:eastAsia="Arial" w:hAnsi="Arial"/>
          <w:sz w:val="20"/>
          <w:szCs w:val="20"/>
          <w:u w:val="single" w:color="auto"/>
          <w:color w:val="auto"/>
        </w:rPr>
        <w:t>Commitment Increase</w:t>
      </w:r>
      <w:r>
        <w:rPr>
          <w:rFonts w:ascii="Arial" w:cs="Arial" w:eastAsia="Arial" w:hAnsi="Arial"/>
          <w:sz w:val="20"/>
          <w:szCs w:val="20"/>
          <w:color w:val="auto"/>
        </w:rPr>
        <w:t>”), and to make certain other amendments to the Existing Loan Agreement as set forth herein;</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 through its wholly-owned subsidiary, QEP Energy Company, as buyer, and EnerVest Holding, L.P.,</w:t>
      </w:r>
      <w:r>
        <w:rPr>
          <w:rFonts w:ascii="Arial" w:cs="Arial" w:eastAsia="Arial" w:hAnsi="Arial"/>
          <w:sz w:val="19"/>
          <w:szCs w:val="19"/>
          <w:b w:val="1"/>
          <w:bCs w:val="1"/>
          <w:color w:val="auto"/>
        </w:rPr>
        <w:t xml:space="preserve"> </w:t>
      </w:r>
      <w:r>
        <w:rPr>
          <w:rFonts w:ascii="Arial" w:cs="Arial" w:eastAsia="Arial" w:hAnsi="Arial"/>
          <w:sz w:val="19"/>
          <w:szCs w:val="19"/>
          <w:color w:val="auto"/>
        </w:rPr>
        <w:t>EnerVest Energy Institutional Fund XII-A, L.P., EnerVest Energy Institutional Fund XII-WIB, L.P., and EnerVest Energy Institutional Fund XII-WIC, L.P. as sellers (collectively, the “</w:t>
      </w:r>
      <w:r>
        <w:rPr>
          <w:rFonts w:ascii="Arial" w:cs="Arial" w:eastAsia="Arial" w:hAnsi="Arial"/>
          <w:sz w:val="19"/>
          <w:szCs w:val="19"/>
          <w:u w:val="single" w:color="auto"/>
          <w:color w:val="auto"/>
        </w:rPr>
        <w:t>Seller</w:t>
      </w:r>
      <w:r>
        <w:rPr>
          <w:rFonts w:ascii="Arial" w:cs="Arial" w:eastAsia="Arial" w:hAnsi="Arial"/>
          <w:sz w:val="19"/>
          <w:szCs w:val="19"/>
          <w:color w:val="auto"/>
        </w:rPr>
        <w:t>”), have entered into that certain Purchase and Sale Agreement dated as of December 6, 2013, as it may be amended (the “</w:t>
      </w:r>
      <w:r>
        <w:rPr>
          <w:rFonts w:ascii="Arial" w:cs="Arial" w:eastAsia="Arial" w:hAnsi="Arial"/>
          <w:sz w:val="19"/>
          <w:szCs w:val="19"/>
          <w:u w:val="single" w:color="auto"/>
          <w:color w:val="auto"/>
        </w:rPr>
        <w:t>Permian Acquisition Agreement</w:t>
      </w:r>
      <w:r>
        <w:rPr>
          <w:rFonts w:ascii="Arial" w:cs="Arial" w:eastAsia="Arial" w:hAnsi="Arial"/>
          <w:sz w:val="19"/>
          <w:szCs w:val="19"/>
          <w:color w:val="auto"/>
        </w:rPr>
        <w:t>”), pursuant to which the Borrower, through QEP Energy Company, has agreed to purchase certain oil and natural gas interests in the Midland sub-basin of the Permian Basin in Martin and Andrews Counties, Texas as more particularly described therein (such acquisition, the “</w:t>
      </w:r>
      <w:r>
        <w:rPr>
          <w:rFonts w:ascii="Arial" w:cs="Arial" w:eastAsia="Arial" w:hAnsi="Arial"/>
          <w:sz w:val="19"/>
          <w:szCs w:val="19"/>
          <w:u w:val="single" w:color="auto"/>
          <w:color w:val="auto"/>
        </w:rPr>
        <w:t>Permian Acquisition</w:t>
      </w:r>
      <w:r>
        <w:rPr>
          <w:rFonts w:ascii="Arial" w:cs="Arial" w:eastAsia="Arial" w:hAnsi="Arial"/>
          <w:sz w:val="19"/>
          <w:szCs w:val="19"/>
          <w:color w:val="auto"/>
        </w:rPr>
        <w:t>”);</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intends to structure the Permian Acquisition to qualify for reverse like-kind exchange treatment under</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1031 of the Internal Revenue Code and the regulations and revenue procedures promulgated thereunder; and</w:t>
      </w:r>
    </w:p>
    <w:p>
      <w:pPr>
        <w:spacing w:after="0" w:line="16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terms of this Amendment, the Existing Lenders whose signatures appear below, collectively constituting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Required Lenders, each New Lender and the Administrative Agent have agreed to the Commitment Increase and to amend the Existing Loan Agreement as set forth in </w:t>
      </w:r>
      <w:r>
        <w:rPr>
          <w:rFonts w:ascii="Arial" w:cs="Arial" w:eastAsia="Arial" w:hAnsi="Arial"/>
          <w:sz w:val="18"/>
          <w:szCs w:val="18"/>
          <w:b w:val="1"/>
          <w:bCs w:val="1"/>
          <w:i w:val="1"/>
          <w:iCs w:val="1"/>
          <w:color w:val="auto"/>
        </w:rPr>
        <w:t>Section 3</w:t>
      </w:r>
      <w:r>
        <w:rPr>
          <w:rFonts w:ascii="Arial" w:cs="Arial" w:eastAsia="Arial" w:hAnsi="Arial"/>
          <w:sz w:val="18"/>
          <w:szCs w:val="18"/>
          <w:color w:val="auto"/>
        </w:rPr>
        <w:t xml:space="preserve"> below, such amendments to be effective on the Second Amendment Effective Date as hereinafter defined.</w:t>
      </w:r>
    </w:p>
    <w:p>
      <w:pPr>
        <w:spacing w:after="0" w:line="14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the receipt and sufficiency of which are hereby acknowledged,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hereto hereby agree as follows:</w:t>
      </w:r>
    </w:p>
    <w:p>
      <w:pPr>
        <w:spacing w:after="0" w:line="177" w:lineRule="exact"/>
        <w:rPr>
          <w:sz w:val="20"/>
          <w:szCs w:val="20"/>
          <w:color w:val="auto"/>
        </w:rPr>
      </w:pPr>
    </w:p>
    <w:p>
      <w:pPr>
        <w:ind w:left="1440" w:hanging="784"/>
        <w:spacing w:after="0"/>
        <w:tabs>
          <w:tab w:leader="none" w:pos="1440" w:val="left"/>
        </w:tabs>
        <w:numPr>
          <w:ilvl w:val="0"/>
          <w:numId w:val="92"/>
        </w:numPr>
        <w:rPr>
          <w:rFonts w:ascii="Arial" w:cs="Arial" w:eastAsia="Arial" w:hAnsi="Arial"/>
          <w:sz w:val="18"/>
          <w:szCs w:val="18"/>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62" w:lineRule="exact"/>
        <w:rPr>
          <w:sz w:val="20"/>
          <w:szCs w:val="20"/>
          <w:color w:val="auto"/>
        </w:rPr>
      </w:pPr>
    </w:p>
    <w:p>
      <w:pPr>
        <w:jc w:val="both"/>
        <w:ind w:firstLine="656"/>
        <w:spacing w:after="0" w:line="267" w:lineRule="auto"/>
        <w:tabs>
          <w:tab w:leader="none" w:pos="1496" w:val="left"/>
        </w:tabs>
        <w:numPr>
          <w:ilvl w:val="0"/>
          <w:numId w:val="93"/>
        </w:numPr>
        <w:rPr>
          <w:rFonts w:ascii="Arial" w:cs="Arial" w:eastAsia="Arial" w:hAnsi="Arial"/>
          <w:sz w:val="18"/>
          <w:szCs w:val="18"/>
          <w:color w:val="auto"/>
        </w:rPr>
      </w:pPr>
      <w:r>
        <w:rPr>
          <w:rFonts w:ascii="Arial" w:cs="Arial" w:eastAsia="Arial" w:hAnsi="Arial"/>
          <w:sz w:val="20"/>
          <w:szCs w:val="20"/>
          <w:color w:val="auto"/>
        </w:rPr>
        <w:t>As used herein: “</w:t>
      </w:r>
      <w:r>
        <w:rPr>
          <w:rFonts w:ascii="Arial" w:cs="Arial" w:eastAsia="Arial" w:hAnsi="Arial"/>
          <w:sz w:val="20"/>
          <w:szCs w:val="20"/>
          <w:u w:val="single" w:color="auto"/>
          <w:color w:val="auto"/>
        </w:rPr>
        <w:t>Existing Lender</w:t>
      </w:r>
      <w:r>
        <w:rPr>
          <w:rFonts w:ascii="Arial" w:cs="Arial" w:eastAsia="Arial" w:hAnsi="Arial"/>
          <w:sz w:val="20"/>
          <w:szCs w:val="20"/>
          <w:color w:val="auto"/>
        </w:rPr>
        <w:t>” means each Lender who is a party to the Existing Loan Agreement; “</w:t>
      </w:r>
      <w:r>
        <w:rPr>
          <w:rFonts w:ascii="Arial" w:cs="Arial" w:eastAsia="Arial" w:hAnsi="Arial"/>
          <w:sz w:val="20"/>
          <w:szCs w:val="20"/>
          <w:u w:val="single" w:color="auto"/>
          <w:color w:val="auto"/>
        </w:rPr>
        <w:t>Increasing Lender</w:t>
      </w:r>
      <w:r>
        <w:rPr>
          <w:rFonts w:ascii="Arial" w:cs="Arial" w:eastAsia="Arial" w:hAnsi="Arial"/>
          <w:sz w:val="20"/>
          <w:szCs w:val="20"/>
          <w:color w:val="auto"/>
        </w:rPr>
        <w:t xml:space="preserve">” means each Existing Lender whose Commitment shown on </w:t>
      </w:r>
      <w:r>
        <w:rPr>
          <w:rFonts w:ascii="Arial" w:cs="Arial" w:eastAsia="Arial" w:hAnsi="Arial"/>
          <w:sz w:val="20"/>
          <w:szCs w:val="20"/>
          <w:b w:val="1"/>
          <w:bCs w:val="1"/>
          <w:i w:val="1"/>
          <w:iCs w:val="1"/>
          <w:color w:val="auto"/>
        </w:rPr>
        <w:t>Schedule 2.01</w:t>
      </w:r>
      <w:r>
        <w:rPr>
          <w:rFonts w:ascii="Arial" w:cs="Arial" w:eastAsia="Arial" w:hAnsi="Arial"/>
          <w:sz w:val="20"/>
          <w:szCs w:val="20"/>
          <w:color w:val="auto"/>
        </w:rPr>
        <w:t xml:space="preserve"> attached hereto is greater than its Commitment set forth in </w:t>
      </w:r>
      <w:r>
        <w:rPr>
          <w:rFonts w:ascii="Arial" w:cs="Arial" w:eastAsia="Arial" w:hAnsi="Arial"/>
          <w:sz w:val="20"/>
          <w:szCs w:val="20"/>
          <w:b w:val="1"/>
          <w:bCs w:val="1"/>
          <w:i w:val="1"/>
          <w:iCs w:val="1"/>
          <w:color w:val="auto"/>
        </w:rPr>
        <w:t>Schedule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2.01 </w:t>
      </w:r>
      <w:r>
        <w:rPr>
          <w:rFonts w:ascii="Arial" w:cs="Arial" w:eastAsia="Arial" w:hAnsi="Arial"/>
          <w:sz w:val="20"/>
          <w:szCs w:val="20"/>
          <w:color w:val="auto"/>
        </w:rPr>
        <w:t>attached to the Existing Loan Agreement; and “</w:t>
      </w:r>
      <w:r>
        <w:rPr>
          <w:rFonts w:ascii="Arial" w:cs="Arial" w:eastAsia="Arial" w:hAnsi="Arial"/>
          <w:sz w:val="20"/>
          <w:szCs w:val="20"/>
          <w:u w:val="single" w:color="auto"/>
          <w:color w:val="auto"/>
        </w:rPr>
        <w:t>New Lender</w:t>
      </w:r>
      <w:r>
        <w:rPr>
          <w:rFonts w:ascii="Arial" w:cs="Arial" w:eastAsia="Arial" w:hAnsi="Arial"/>
          <w:sz w:val="20"/>
          <w:szCs w:val="20"/>
          <w:color w:val="auto"/>
        </w:rPr>
        <w:t>” means each institution named on</w:t>
      </w:r>
      <w:r>
        <w:rPr>
          <w:rFonts w:ascii="Arial" w:cs="Arial" w:eastAsia="Arial" w:hAnsi="Arial"/>
          <w:sz w:val="20"/>
          <w:szCs w:val="20"/>
          <w:b w:val="1"/>
          <w:bCs w:val="1"/>
          <w:i w:val="1"/>
          <w:iCs w:val="1"/>
          <w:color w:val="auto"/>
        </w:rPr>
        <w:t xml:space="preserve"> Schedule 2.01 </w:t>
      </w:r>
      <w:r>
        <w:rPr>
          <w:rFonts w:ascii="Arial" w:cs="Arial" w:eastAsia="Arial" w:hAnsi="Arial"/>
          <w:sz w:val="20"/>
          <w:szCs w:val="20"/>
          <w:color w:val="auto"/>
        </w:rPr>
        <w:t>attached hereto as a Lender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is not an Existing Lender. “</w:t>
      </w:r>
      <w:r>
        <w:rPr>
          <w:rFonts w:ascii="Arial" w:cs="Arial" w:eastAsia="Arial" w:hAnsi="Arial"/>
          <w:sz w:val="20"/>
          <w:szCs w:val="20"/>
          <w:u w:val="single" w:color="auto"/>
          <w:color w:val="auto"/>
        </w:rPr>
        <w:t>Transactions</w:t>
      </w:r>
      <w:r>
        <w:rPr>
          <w:rFonts w:ascii="Arial" w:cs="Arial" w:eastAsia="Arial" w:hAnsi="Arial"/>
          <w:sz w:val="20"/>
          <w:szCs w:val="20"/>
          <w:color w:val="auto"/>
        </w:rPr>
        <w:t>” means collectively, the Permian Acquisition, the execution of this Amendment, the Borrowing of Loans on the Second Amendment Effective Date and the incurrence of Indebtedness by the Borrower or its Subsidiaries on the Second Amendment Effective Date or in connection with the Permian Acquisition. “</w:t>
      </w:r>
      <w:r>
        <w:rPr>
          <w:rFonts w:ascii="Arial" w:cs="Arial" w:eastAsia="Arial" w:hAnsi="Arial"/>
          <w:sz w:val="20"/>
          <w:szCs w:val="20"/>
          <w:u w:val="single" w:color="auto"/>
          <w:color w:val="auto"/>
        </w:rPr>
        <w:t>Arrangers</w:t>
      </w:r>
      <w:r>
        <w:rPr>
          <w:rFonts w:ascii="Arial" w:cs="Arial" w:eastAsia="Arial" w:hAnsi="Arial"/>
          <w:sz w:val="20"/>
          <w:szCs w:val="20"/>
          <w:color w:val="auto"/>
        </w:rPr>
        <w:t>” means Wells Fargo Securities, LLC and BMO Capital Markets, Inc.</w:t>
      </w:r>
    </w:p>
    <w:p>
      <w:pPr>
        <w:spacing w:after="0" w:line="5" w:lineRule="exact"/>
        <w:rPr>
          <w:rFonts w:ascii="Arial" w:cs="Arial" w:eastAsia="Arial" w:hAnsi="Arial"/>
          <w:sz w:val="18"/>
          <w:szCs w:val="18"/>
          <w:color w:val="auto"/>
        </w:rPr>
      </w:pPr>
    </w:p>
    <w:p>
      <w:pPr>
        <w:jc w:val="both"/>
        <w:ind w:firstLine="656"/>
        <w:spacing w:after="0" w:line="278" w:lineRule="auto"/>
        <w:tabs>
          <w:tab w:leader="none" w:pos="1506" w:val="left"/>
        </w:tabs>
        <w:numPr>
          <w:ilvl w:val="0"/>
          <w:numId w:val="93"/>
        </w:numPr>
        <w:rPr>
          <w:rFonts w:ascii="Arial" w:cs="Arial" w:eastAsia="Arial" w:hAnsi="Arial"/>
          <w:sz w:val="18"/>
          <w:szCs w:val="18"/>
          <w:color w:val="auto"/>
        </w:rPr>
      </w:pPr>
      <w:r>
        <w:rPr>
          <w:rFonts w:ascii="Arial" w:cs="Arial" w:eastAsia="Arial" w:hAnsi="Arial"/>
          <w:sz w:val="20"/>
          <w:szCs w:val="20"/>
          <w:color w:val="auto"/>
        </w:rPr>
        <w:t xml:space="preserve">Unless otherwise defined in this Amendment, all other terms used in this Amendment which are defined in the Existing Loan Agreement shall have the meanings assigned to such terms in the Existing Loan Agreement. The interpretive provisions set forth in </w:t>
      </w:r>
      <w:r>
        <w:rPr>
          <w:rFonts w:ascii="Arial" w:cs="Arial" w:eastAsia="Arial" w:hAnsi="Arial"/>
          <w:sz w:val="20"/>
          <w:szCs w:val="20"/>
          <w:i w:val="1"/>
          <w:iCs w:val="1"/>
          <w:color w:val="auto"/>
        </w:rPr>
        <w:t xml:space="preserve">Section 1.02 </w:t>
      </w:r>
      <w:r>
        <w:rPr>
          <w:rFonts w:ascii="Arial" w:cs="Arial" w:eastAsia="Arial" w:hAnsi="Arial"/>
          <w:sz w:val="20"/>
          <w:szCs w:val="20"/>
          <w:color w:val="auto"/>
        </w:rPr>
        <w:t>of the Existing Loan Agreement shall apply to this Amendment.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40" w:hanging="784"/>
        <w:spacing w:after="0"/>
        <w:tabs>
          <w:tab w:leader="none" w:pos="1440" w:val="left"/>
        </w:tabs>
        <w:numPr>
          <w:ilvl w:val="0"/>
          <w:numId w:val="94"/>
        </w:numPr>
        <w:rPr>
          <w:rFonts w:ascii="Arial" w:cs="Arial" w:eastAsia="Arial" w:hAnsi="Arial"/>
          <w:sz w:val="18"/>
          <w:szCs w:val="18"/>
          <w:color w:val="auto"/>
        </w:rPr>
      </w:pPr>
      <w:r>
        <w:rPr>
          <w:rFonts w:ascii="Arial" w:cs="Arial" w:eastAsia="Arial" w:hAnsi="Arial"/>
          <w:sz w:val="20"/>
          <w:szCs w:val="20"/>
          <w:b w:val="1"/>
          <w:bCs w:val="1"/>
          <w:u w:val="single" w:color="auto"/>
          <w:color w:val="auto"/>
        </w:rPr>
        <w:t>Commitment Increase; Amended Schedule 2.01</w:t>
      </w:r>
      <w:r>
        <w:rPr>
          <w:rFonts w:ascii="Arial" w:cs="Arial" w:eastAsia="Arial" w:hAnsi="Arial"/>
          <w:sz w:val="20"/>
          <w:szCs w:val="20"/>
          <w:color w:val="auto"/>
        </w:rPr>
        <w:t>.</w:t>
      </w:r>
    </w:p>
    <w:p>
      <w:pPr>
        <w:spacing w:after="0" w:line="262" w:lineRule="exact"/>
        <w:rPr>
          <w:sz w:val="20"/>
          <w:szCs w:val="20"/>
          <w:color w:val="auto"/>
        </w:rPr>
      </w:pPr>
    </w:p>
    <w:p>
      <w:pPr>
        <w:jc w:val="both"/>
        <w:ind w:firstLine="656"/>
        <w:spacing w:after="0" w:line="286" w:lineRule="auto"/>
        <w:tabs>
          <w:tab w:leader="none" w:pos="1496" w:val="left"/>
        </w:tabs>
        <w:numPr>
          <w:ilvl w:val="0"/>
          <w:numId w:val="95"/>
        </w:numPr>
        <w:rPr>
          <w:rFonts w:ascii="Arial" w:cs="Arial" w:eastAsia="Arial" w:hAnsi="Arial"/>
          <w:sz w:val="17"/>
          <w:szCs w:val="17"/>
          <w:color w:val="auto"/>
        </w:rPr>
      </w:pPr>
      <w:r>
        <w:rPr>
          <w:rFonts w:ascii="Arial" w:cs="Arial" w:eastAsia="Arial" w:hAnsi="Arial"/>
          <w:sz w:val="19"/>
          <w:szCs w:val="19"/>
          <w:u w:val="single" w:color="auto"/>
          <w:color w:val="auto"/>
        </w:rPr>
        <w:t>Commitment Increase.</w:t>
      </w:r>
      <w:r>
        <w:rPr>
          <w:rFonts w:ascii="Arial" w:cs="Arial" w:eastAsia="Arial" w:hAnsi="Arial"/>
          <w:sz w:val="19"/>
          <w:szCs w:val="19"/>
          <w:color w:val="auto"/>
        </w:rPr>
        <w:t xml:space="preserve"> On and as of Second Amendment Effective Date: (a) </w:t>
      </w:r>
      <w:r>
        <w:rPr>
          <w:rFonts w:ascii="Arial" w:cs="Arial" w:eastAsia="Arial" w:hAnsi="Arial"/>
          <w:sz w:val="19"/>
          <w:szCs w:val="19"/>
          <w:b w:val="1"/>
          <w:bCs w:val="1"/>
          <w:i w:val="1"/>
          <w:iCs w:val="1"/>
          <w:color w:val="auto"/>
        </w:rPr>
        <w:t>Schedule 2.01</w:t>
      </w:r>
      <w:r>
        <w:rPr>
          <w:rFonts w:ascii="Arial" w:cs="Arial" w:eastAsia="Arial" w:hAnsi="Arial"/>
          <w:sz w:val="19"/>
          <w:szCs w:val="19"/>
          <w:color w:val="auto"/>
        </w:rPr>
        <w:t xml:space="preserve"> attached to the Existing Loan Agreement shall be amended to read as set forth on </w:t>
      </w:r>
      <w:r>
        <w:rPr>
          <w:rFonts w:ascii="Arial" w:cs="Arial" w:eastAsia="Arial" w:hAnsi="Arial"/>
          <w:sz w:val="19"/>
          <w:szCs w:val="19"/>
          <w:b w:val="1"/>
          <w:bCs w:val="1"/>
          <w:i w:val="1"/>
          <w:iCs w:val="1"/>
          <w:color w:val="auto"/>
        </w:rPr>
        <w:t>Schedule 2.01</w:t>
      </w:r>
      <w:r>
        <w:rPr>
          <w:rFonts w:ascii="Arial" w:cs="Arial" w:eastAsia="Arial" w:hAnsi="Arial"/>
          <w:sz w:val="19"/>
          <w:szCs w:val="19"/>
          <w:color w:val="auto"/>
        </w:rPr>
        <w:t xml:space="preserve"> attached hereto, (b) each Increasing Lender agrees that its Commitment shall increase to the amount set forth opposite its name on </w:t>
      </w:r>
      <w:r>
        <w:rPr>
          <w:rFonts w:ascii="Arial" w:cs="Arial" w:eastAsia="Arial" w:hAnsi="Arial"/>
          <w:sz w:val="19"/>
          <w:szCs w:val="19"/>
          <w:b w:val="1"/>
          <w:bCs w:val="1"/>
          <w:i w:val="1"/>
          <w:iCs w:val="1"/>
          <w:color w:val="auto"/>
        </w:rPr>
        <w:t>Schedule 2.01</w:t>
      </w:r>
      <w:r>
        <w:rPr>
          <w:rFonts w:ascii="Arial" w:cs="Arial" w:eastAsia="Arial" w:hAnsi="Arial"/>
          <w:sz w:val="19"/>
          <w:szCs w:val="19"/>
          <w:color w:val="auto"/>
        </w:rPr>
        <w:t xml:space="preserve"> attached hereto, and (c) each New Lender agrees that it shall be a “Lender” under and as defined in the Loan Agreement and shall have a Commitment in the amount set forth opposite its name on the </w:t>
      </w:r>
      <w:r>
        <w:rPr>
          <w:rFonts w:ascii="Arial" w:cs="Arial" w:eastAsia="Arial" w:hAnsi="Arial"/>
          <w:sz w:val="19"/>
          <w:szCs w:val="19"/>
          <w:b w:val="1"/>
          <w:bCs w:val="1"/>
          <w:i w:val="1"/>
          <w:iCs w:val="1"/>
          <w:color w:val="auto"/>
        </w:rPr>
        <w:t>Schedule 2.01</w:t>
      </w:r>
      <w:r>
        <w:rPr>
          <w:rFonts w:ascii="Arial" w:cs="Arial" w:eastAsia="Arial" w:hAnsi="Arial"/>
          <w:sz w:val="19"/>
          <w:szCs w:val="19"/>
          <w:color w:val="auto"/>
        </w:rPr>
        <w:t xml:space="preserve"> attached hereto. Subject to the conditions to Borrowings set forth herein and in the Loan Agreement, each Increasing Lender and each New Lender agrees to fund Loans on the Second Amendment Effective Date in an amount equal to its Pro Rata Share (as set forth in </w:t>
      </w:r>
      <w:r>
        <w:rPr>
          <w:rFonts w:ascii="Arial" w:cs="Arial" w:eastAsia="Arial" w:hAnsi="Arial"/>
          <w:sz w:val="19"/>
          <w:szCs w:val="19"/>
          <w:b w:val="1"/>
          <w:bCs w:val="1"/>
          <w:i w:val="1"/>
          <w:iCs w:val="1"/>
          <w:color w:val="auto"/>
        </w:rPr>
        <w:t>Schedule 2.01</w:t>
      </w:r>
      <w:r>
        <w:rPr>
          <w:rFonts w:ascii="Arial" w:cs="Arial" w:eastAsia="Arial" w:hAnsi="Arial"/>
          <w:sz w:val="19"/>
          <w:szCs w:val="19"/>
          <w:color w:val="auto"/>
        </w:rPr>
        <w:t xml:space="preserve"> attached hereto) of the Borrowings requested by the Borrower on such date, in each case in an amount up to its Commitment as shown on </w:t>
      </w:r>
      <w:r>
        <w:rPr>
          <w:rFonts w:ascii="Arial" w:cs="Arial" w:eastAsia="Arial" w:hAnsi="Arial"/>
          <w:sz w:val="19"/>
          <w:szCs w:val="19"/>
          <w:b w:val="1"/>
          <w:bCs w:val="1"/>
          <w:i w:val="1"/>
          <w:iCs w:val="1"/>
          <w:color w:val="auto"/>
        </w:rPr>
        <w:t>Schedule 2.01</w:t>
      </w:r>
      <w:r>
        <w:rPr>
          <w:rFonts w:ascii="Arial" w:cs="Arial" w:eastAsia="Arial" w:hAnsi="Arial"/>
          <w:sz w:val="19"/>
          <w:szCs w:val="19"/>
          <w:color w:val="auto"/>
        </w:rPr>
        <w:t>.</w:t>
      </w:r>
    </w:p>
    <w:p>
      <w:pPr>
        <w:spacing w:after="0" w:line="199" w:lineRule="exact"/>
        <w:rPr>
          <w:rFonts w:ascii="Arial" w:cs="Arial" w:eastAsia="Arial" w:hAnsi="Arial"/>
          <w:sz w:val="17"/>
          <w:szCs w:val="17"/>
          <w:color w:val="auto"/>
        </w:rPr>
      </w:pPr>
    </w:p>
    <w:p>
      <w:pPr>
        <w:jc w:val="both"/>
        <w:ind w:firstLine="656"/>
        <w:spacing w:after="0" w:line="314" w:lineRule="auto"/>
        <w:tabs>
          <w:tab w:leader="none" w:pos="1506" w:val="left"/>
        </w:tabs>
        <w:numPr>
          <w:ilvl w:val="0"/>
          <w:numId w:val="95"/>
        </w:numPr>
        <w:rPr>
          <w:rFonts w:ascii="Arial" w:cs="Arial" w:eastAsia="Arial" w:hAnsi="Arial"/>
          <w:sz w:val="16"/>
          <w:szCs w:val="16"/>
          <w:color w:val="auto"/>
        </w:rPr>
      </w:pPr>
      <w:r>
        <w:rPr>
          <w:rFonts w:ascii="Arial" w:cs="Arial" w:eastAsia="Arial" w:hAnsi="Arial"/>
          <w:sz w:val="18"/>
          <w:szCs w:val="18"/>
          <w:u w:val="single" w:color="auto"/>
          <w:color w:val="auto"/>
        </w:rPr>
        <w:t>Break Funding Charges</w:t>
      </w:r>
      <w:r>
        <w:rPr>
          <w:rFonts w:ascii="Arial" w:cs="Arial" w:eastAsia="Arial" w:hAnsi="Arial"/>
          <w:sz w:val="18"/>
          <w:szCs w:val="18"/>
          <w:color w:val="auto"/>
        </w:rPr>
        <w:t xml:space="preserve">. The Borrower acknowledges that if, as a result of the refinancing of existing Loans on the Second Amendment Effective Date, any Existing Lender incurs any loss, cost or expense as a result of any payment of a Eurodollar Rate Loan prior to the last day of the Interest Period applicable thereto and such Lender makes a request for compensation in accordance with </w:t>
      </w:r>
      <w:r>
        <w:rPr>
          <w:rFonts w:ascii="Arial" w:cs="Arial" w:eastAsia="Arial" w:hAnsi="Arial"/>
          <w:sz w:val="18"/>
          <w:szCs w:val="18"/>
          <w:i w:val="1"/>
          <w:iCs w:val="1"/>
          <w:color w:val="auto"/>
        </w:rPr>
        <w:t>Section 3.05</w:t>
      </w:r>
      <w:r>
        <w:rPr>
          <w:rFonts w:ascii="Arial" w:cs="Arial" w:eastAsia="Arial" w:hAnsi="Arial"/>
          <w:sz w:val="18"/>
          <w:szCs w:val="18"/>
          <w:color w:val="auto"/>
        </w:rPr>
        <w:t xml:space="preserve"> of the Loan Agreement, the Borrower shall be obligated to compensate such Lender in accordance with such Section.</w:t>
      </w:r>
    </w:p>
    <w:p>
      <w:pPr>
        <w:spacing w:after="0" w:line="172" w:lineRule="exact"/>
        <w:rPr>
          <w:rFonts w:ascii="Arial" w:cs="Arial" w:eastAsia="Arial" w:hAnsi="Arial"/>
          <w:sz w:val="16"/>
          <w:szCs w:val="16"/>
          <w:color w:val="auto"/>
        </w:rPr>
      </w:pPr>
    </w:p>
    <w:p>
      <w:pPr>
        <w:jc w:val="both"/>
        <w:ind w:firstLine="656"/>
        <w:spacing w:after="0" w:line="287" w:lineRule="auto"/>
        <w:tabs>
          <w:tab w:leader="none" w:pos="1496" w:val="left"/>
        </w:tabs>
        <w:numPr>
          <w:ilvl w:val="0"/>
          <w:numId w:val="95"/>
        </w:numPr>
        <w:rPr>
          <w:rFonts w:ascii="Arial" w:cs="Arial" w:eastAsia="Arial" w:hAnsi="Arial"/>
          <w:sz w:val="17"/>
          <w:szCs w:val="17"/>
          <w:color w:val="auto"/>
        </w:rPr>
      </w:pPr>
      <w:r>
        <w:rPr>
          <w:rFonts w:ascii="Arial" w:cs="Arial" w:eastAsia="Arial" w:hAnsi="Arial"/>
          <w:sz w:val="19"/>
          <w:szCs w:val="19"/>
          <w:u w:val="single" w:color="auto"/>
          <w:color w:val="auto"/>
        </w:rPr>
        <w:t>New Lenders</w:t>
      </w:r>
      <w:r>
        <w:rPr>
          <w:rFonts w:ascii="Arial" w:cs="Arial" w:eastAsia="Arial" w:hAnsi="Arial"/>
          <w:sz w:val="19"/>
          <w:szCs w:val="19"/>
          <w:color w:val="auto"/>
        </w:rPr>
        <w:t xml:space="preserve">. Each New Lender represents and agrees as follows: (i) it has received a copy of the Existing Loan Agreement, and has received or has been accorded the opportunity to receive copies of the most recent financial statements delivered pursuant to </w:t>
      </w:r>
      <w:r>
        <w:rPr>
          <w:rFonts w:ascii="Arial" w:cs="Arial" w:eastAsia="Arial" w:hAnsi="Arial"/>
          <w:sz w:val="19"/>
          <w:szCs w:val="19"/>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6.01 </w:t>
      </w:r>
      <w:r>
        <w:rPr>
          <w:rFonts w:ascii="Arial" w:cs="Arial" w:eastAsia="Arial" w:hAnsi="Arial"/>
          <w:sz w:val="19"/>
          <w:szCs w:val="19"/>
          <w:color w:val="auto"/>
        </w:rPr>
        <w:t>thereof, and such other documents and information as it deems appropriate to make its own credit analysis and decision to enter into this</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 (ii) it has, independently and without reliance upon the Administrative Agent, any other agent, any Lender or any arranger, and based on such documents and information as it has deemed appropriate, made its own credit analysis and decision to enter into this Amendment, and (iii) it will perform in accordance with their terms all of the obligations which by the terms of the Loan Documents are required to be performed by it as a Lender.</w:t>
      </w:r>
    </w:p>
    <w:p>
      <w:pPr>
        <w:spacing w:after="0" w:line="191" w:lineRule="exact"/>
        <w:rPr>
          <w:sz w:val="20"/>
          <w:szCs w:val="20"/>
          <w:color w:val="auto"/>
        </w:rPr>
      </w:pPr>
    </w:p>
    <w:p>
      <w:pPr>
        <w:jc w:val="both"/>
        <w:ind w:firstLine="656"/>
        <w:spacing w:after="0" w:line="281" w:lineRule="auto"/>
        <w:tabs>
          <w:tab w:leader="none" w:pos="1431" w:val="left"/>
        </w:tabs>
        <w:numPr>
          <w:ilvl w:val="0"/>
          <w:numId w:val="96"/>
        </w:numPr>
        <w:rPr>
          <w:rFonts w:ascii="Arial" w:cs="Arial" w:eastAsia="Arial" w:hAnsi="Arial"/>
          <w:sz w:val="18"/>
          <w:szCs w:val="18"/>
          <w:color w:val="auto"/>
        </w:rPr>
      </w:pPr>
      <w:r>
        <w:rPr>
          <w:rFonts w:ascii="Arial" w:cs="Arial" w:eastAsia="Arial" w:hAnsi="Arial"/>
          <w:sz w:val="20"/>
          <w:szCs w:val="20"/>
          <w:b w:val="1"/>
          <w:bCs w:val="1"/>
          <w:u w:val="single" w:color="auto"/>
          <w:color w:val="auto"/>
        </w:rPr>
        <w:t>Amendments to the Existing Loan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amendments to the Existing Loan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on the date (the “</w:t>
      </w:r>
      <w:r>
        <w:rPr>
          <w:rFonts w:ascii="Arial" w:cs="Arial" w:eastAsia="Arial" w:hAnsi="Arial"/>
          <w:sz w:val="20"/>
          <w:szCs w:val="20"/>
          <w:u w:val="single" w:color="auto"/>
          <w:color w:val="auto"/>
        </w:rPr>
        <w:t>Second Amendment Effective Date</w:t>
      </w:r>
      <w:r>
        <w:rPr>
          <w:rFonts w:ascii="Arial" w:cs="Arial" w:eastAsia="Arial" w:hAnsi="Arial"/>
          <w:sz w:val="20"/>
          <w:szCs w:val="20"/>
          <w:color w:val="auto"/>
        </w:rPr>
        <w:t xml:space="preserve">”) that the conditions set forth in </w:t>
      </w:r>
      <w:r>
        <w:rPr>
          <w:rFonts w:ascii="Arial" w:cs="Arial" w:eastAsia="Arial" w:hAnsi="Arial"/>
          <w:sz w:val="20"/>
          <w:szCs w:val="20"/>
          <w:b w:val="1"/>
          <w:bCs w:val="1"/>
          <w:i w:val="1"/>
          <w:iCs w:val="1"/>
          <w:color w:val="auto"/>
        </w:rPr>
        <w:t>Section 4</w:t>
      </w:r>
      <w:r>
        <w:rPr>
          <w:rFonts w:ascii="Arial" w:cs="Arial" w:eastAsia="Arial" w:hAnsi="Arial"/>
          <w:sz w:val="20"/>
          <w:szCs w:val="20"/>
          <w:color w:val="auto"/>
        </w:rPr>
        <w:t xml:space="preserve"> of this Amendment have been satisfied.</w:t>
      </w:r>
    </w:p>
    <w:p>
      <w:pPr>
        <w:spacing w:after="0" w:line="198" w:lineRule="exact"/>
        <w:rPr>
          <w:sz w:val="20"/>
          <w:szCs w:val="20"/>
          <w:color w:val="auto"/>
        </w:rPr>
      </w:pPr>
    </w:p>
    <w:p>
      <w:pPr>
        <w:ind w:firstLine="656"/>
        <w:spacing w:after="0" w:line="289" w:lineRule="auto"/>
        <w:tabs>
          <w:tab w:leader="none" w:pos="1496" w:val="left"/>
        </w:tabs>
        <w:numPr>
          <w:ilvl w:val="0"/>
          <w:numId w:val="97"/>
        </w:numPr>
        <w:rPr>
          <w:rFonts w:ascii="Arial" w:cs="Arial" w:eastAsia="Arial" w:hAnsi="Arial"/>
          <w:sz w:val="18"/>
          <w:szCs w:val="18"/>
          <w:color w:val="auto"/>
        </w:rPr>
      </w:pPr>
      <w:r>
        <w:rPr>
          <w:rFonts w:ascii="Arial" w:cs="Arial" w:eastAsia="Arial" w:hAnsi="Arial"/>
          <w:sz w:val="20"/>
          <w:szCs w:val="20"/>
          <w:u w:val="single" w:color="auto"/>
          <w:color w:val="auto"/>
        </w:rPr>
        <w:t>Certain Amended Definitions</w:t>
      </w:r>
      <w:r>
        <w:rPr>
          <w:rFonts w:ascii="Arial" w:cs="Arial" w:eastAsia="Arial" w:hAnsi="Arial"/>
          <w:sz w:val="20"/>
          <w:szCs w:val="20"/>
          <w:color w:val="auto"/>
        </w:rPr>
        <w:t xml:space="preserve">. The following defined terms appearing in </w:t>
      </w:r>
      <w:r>
        <w:rPr>
          <w:rFonts w:ascii="Arial" w:cs="Arial" w:eastAsia="Arial" w:hAnsi="Arial"/>
          <w:sz w:val="20"/>
          <w:szCs w:val="20"/>
          <w:i w:val="1"/>
          <w:iCs w:val="1"/>
          <w:color w:val="auto"/>
        </w:rPr>
        <w:t>Section 1.01</w:t>
      </w:r>
      <w:r>
        <w:rPr>
          <w:rFonts w:ascii="Arial" w:cs="Arial" w:eastAsia="Arial" w:hAnsi="Arial"/>
          <w:sz w:val="20"/>
          <w:szCs w:val="20"/>
          <w:color w:val="auto"/>
        </w:rPr>
        <w:t xml:space="preserve"> (Defined Terms) of the Existing Loan Agreement are amended as set forth below:</w:t>
      </w:r>
    </w:p>
    <w:p>
      <w:pPr>
        <w:spacing w:after="0" w:line="188" w:lineRule="exact"/>
        <w:rPr>
          <w:rFonts w:ascii="Arial" w:cs="Arial" w:eastAsia="Arial" w:hAnsi="Arial"/>
          <w:sz w:val="18"/>
          <w:szCs w:val="18"/>
          <w:color w:val="auto"/>
        </w:rPr>
      </w:pPr>
    </w:p>
    <w:p>
      <w:pPr>
        <w:ind w:left="2120" w:hanging="815"/>
        <w:spacing w:after="0"/>
        <w:tabs>
          <w:tab w:leader="none" w:pos="2120" w:val="left"/>
        </w:tabs>
        <w:numPr>
          <w:ilvl w:val="1"/>
          <w:numId w:val="97"/>
        </w:numPr>
        <w:rPr>
          <w:rFonts w:ascii="Arial" w:cs="Arial" w:eastAsia="Arial" w:hAnsi="Arial"/>
          <w:sz w:val="17"/>
          <w:szCs w:val="17"/>
          <w:color w:val="auto"/>
        </w:rPr>
      </w:pPr>
      <w:r>
        <w:rPr>
          <w:rFonts w:ascii="Arial" w:cs="Arial" w:eastAsia="Arial" w:hAnsi="Arial"/>
          <w:sz w:val="19"/>
          <w:szCs w:val="19"/>
          <w:color w:val="auto"/>
        </w:rPr>
        <w:t>The definition of “</w:t>
      </w:r>
      <w:r>
        <w:rPr>
          <w:rFonts w:ascii="Arial" w:cs="Arial" w:eastAsia="Arial" w:hAnsi="Arial"/>
          <w:sz w:val="19"/>
          <w:szCs w:val="19"/>
          <w:u w:val="single" w:color="auto"/>
          <w:color w:val="auto"/>
        </w:rPr>
        <w:t>Aggregate Commitments</w:t>
      </w:r>
      <w:r>
        <w:rPr>
          <w:rFonts w:ascii="Arial" w:cs="Arial" w:eastAsia="Arial" w:hAnsi="Arial"/>
          <w:sz w:val="19"/>
          <w:szCs w:val="19"/>
          <w:color w:val="auto"/>
        </w:rPr>
        <w:t>” is amended by replacing the reference to “$300,000,000” with</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“$600,000,000”.</w:t>
      </w:r>
    </w:p>
    <w:p>
      <w:pPr>
        <w:spacing w:after="0" w:line="256" w:lineRule="exact"/>
        <w:rPr>
          <w:rFonts w:ascii="Arial" w:cs="Arial" w:eastAsia="Arial" w:hAnsi="Arial"/>
          <w:sz w:val="17"/>
          <w:szCs w:val="17"/>
          <w:color w:val="auto"/>
        </w:rPr>
      </w:pPr>
    </w:p>
    <w:p>
      <w:pPr>
        <w:jc w:val="both"/>
        <w:ind w:left="660" w:firstLine="645"/>
        <w:spacing w:after="0" w:line="278" w:lineRule="auto"/>
        <w:tabs>
          <w:tab w:leader="none" w:pos="2176" w:val="left"/>
        </w:tabs>
        <w:numPr>
          <w:ilvl w:val="1"/>
          <w:numId w:val="97"/>
        </w:numPr>
        <w:rPr>
          <w:rFonts w:ascii="Arial" w:cs="Arial" w:eastAsia="Arial" w:hAnsi="Arial"/>
          <w:sz w:val="18"/>
          <w:szCs w:val="18"/>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Availability Period</w:t>
      </w:r>
      <w:r>
        <w:rPr>
          <w:rFonts w:ascii="Arial" w:cs="Arial" w:eastAsia="Arial" w:hAnsi="Arial"/>
          <w:sz w:val="20"/>
          <w:szCs w:val="20"/>
          <w:color w:val="auto"/>
        </w:rPr>
        <w:t>” is amended as follows: in clause (a) the reference to “June 30, 2012” is replaced with “the Second Amendment Closing Date”; the word “and” that appears after clause (c) is moved so that it follows the end of clause (b); and clause (d) is deleted.</w:t>
      </w:r>
    </w:p>
    <w:p>
      <w:pPr>
        <w:spacing w:after="0" w:line="200" w:lineRule="exact"/>
        <w:rPr>
          <w:rFonts w:ascii="Arial" w:cs="Arial" w:eastAsia="Arial" w:hAnsi="Arial"/>
          <w:sz w:val="18"/>
          <w:szCs w:val="18"/>
          <w:color w:val="auto"/>
        </w:rPr>
      </w:pPr>
    </w:p>
    <w:p>
      <w:pPr>
        <w:ind w:left="2220" w:hanging="915"/>
        <w:spacing w:after="0"/>
        <w:tabs>
          <w:tab w:leader="none" w:pos="2220" w:val="left"/>
        </w:tabs>
        <w:numPr>
          <w:ilvl w:val="1"/>
          <w:numId w:val="97"/>
        </w:numPr>
        <w:rPr>
          <w:rFonts w:ascii="Arial" w:cs="Arial" w:eastAsia="Arial" w:hAnsi="Arial"/>
          <w:sz w:val="18"/>
          <w:szCs w:val="18"/>
          <w:color w:val="auto"/>
        </w:rPr>
      </w:pPr>
      <w:r>
        <w:rPr>
          <w:rFonts w:ascii="Arial" w:cs="Arial" w:eastAsia="Arial" w:hAnsi="Arial"/>
          <w:sz w:val="20"/>
          <w:szCs w:val="20"/>
          <w:color w:val="auto"/>
        </w:rPr>
        <w:t>The definition of “Eurodollar Rate” is amended to read in its entirety as follows:</w:t>
      </w:r>
    </w:p>
    <w:p>
      <w:pPr>
        <w:spacing w:after="0" w:line="243" w:lineRule="exact"/>
        <w:rPr>
          <w:sz w:val="20"/>
          <w:szCs w:val="20"/>
          <w:color w:val="auto"/>
        </w:rPr>
      </w:pPr>
    </w:p>
    <w:p>
      <w:pPr>
        <w:jc w:val="both"/>
        <w:ind w:left="660"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w:t>
      </w:r>
      <w:r>
        <w:rPr>
          <w:rFonts w:ascii="Arial" w:cs="Arial" w:eastAsia="Arial" w:hAnsi="Arial"/>
          <w:sz w:val="19"/>
          <w:szCs w:val="19"/>
          <w:color w:val="auto"/>
        </w:rPr>
        <w:t>” means, for any interest rate calculation with respect to a Eurodollar Rate Loan, the rate of interest per annum determined on the basis of the rate for deposits in Dollars for a period equal to the applicable Interest Period which appears on Reuters Screen LIBOR01 Page (or any applicable successor page) at approximately 11:00 a.m. (London time) two (2) Business Days prior to the first day of the applicable Interest Period (rounded upward, if necessary, to the nearest 1/100th of 1%). If, for any reason, such rate does not appear on Reuters Screen LIBOR01 Page (or any applicable successor page), then the “Eurodollar Rate” shall be determined by the Administrative Agent to be the arithmetic average of the rate per annum at which deposits in Dollars in minimum amounts of at least $5,000,000 would be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70" w:lineRule="exact"/>
        <w:rPr>
          <w:sz w:val="20"/>
          <w:szCs w:val="20"/>
          <w:color w:val="auto"/>
        </w:rPr>
      </w:pPr>
    </w:p>
    <w:p>
      <w:pPr>
        <w:ind w:left="660"/>
        <w:spacing w:after="0" w:line="287" w:lineRule="auto"/>
        <w:rPr>
          <w:sz w:val="20"/>
          <w:szCs w:val="20"/>
          <w:color w:val="auto"/>
        </w:rPr>
      </w:pPr>
      <w:r>
        <w:rPr>
          <w:rFonts w:ascii="Arial" w:cs="Arial" w:eastAsia="Arial" w:hAnsi="Arial"/>
          <w:sz w:val="19"/>
          <w:szCs w:val="19"/>
          <w:color w:val="auto"/>
        </w:rPr>
        <w:t>offered by first class banks in the London interbank market to the Administrative Agent at approximately 11:00 a.m. (London time) two (2) Business Days prior to the first day of the applicable Interest Period for a period equal to such Interest Period.</w:t>
      </w:r>
    </w:p>
    <w:p>
      <w:pPr>
        <w:spacing w:after="0" w:line="166" w:lineRule="exact"/>
        <w:rPr>
          <w:sz w:val="20"/>
          <w:szCs w:val="20"/>
          <w:color w:val="auto"/>
        </w:rPr>
      </w:pPr>
    </w:p>
    <w:p>
      <w:pPr>
        <w:ind w:left="660" w:right="20" w:hanging="4"/>
        <w:spacing w:after="0" w:line="289" w:lineRule="auto"/>
        <w:tabs>
          <w:tab w:leader="none" w:pos="1518" w:val="left"/>
        </w:tabs>
        <w:numPr>
          <w:ilvl w:val="0"/>
          <w:numId w:val="98"/>
        </w:numPr>
        <w:rPr>
          <w:rFonts w:ascii="Arial" w:cs="Arial" w:eastAsia="Arial" w:hAnsi="Arial"/>
          <w:sz w:val="18"/>
          <w:szCs w:val="18"/>
          <w:color w:val="auto"/>
        </w:rPr>
      </w:pPr>
      <w:r>
        <w:rPr>
          <w:rFonts w:ascii="Arial" w:cs="Arial" w:eastAsia="Arial" w:hAnsi="Arial"/>
          <w:sz w:val="20"/>
          <w:szCs w:val="20"/>
          <w:u w:val="single" w:color="auto"/>
          <w:color w:val="auto"/>
        </w:rPr>
        <w:t>Certain Additional Definitions</w:t>
      </w:r>
      <w:r>
        <w:rPr>
          <w:rFonts w:ascii="Arial" w:cs="Arial" w:eastAsia="Arial" w:hAnsi="Arial"/>
          <w:sz w:val="20"/>
          <w:szCs w:val="20"/>
          <w:color w:val="auto"/>
        </w:rPr>
        <w:t xml:space="preserve">. The following defined terms are hereby added to </w:t>
      </w:r>
      <w:r>
        <w:rPr>
          <w:rFonts w:ascii="Arial" w:cs="Arial" w:eastAsia="Arial" w:hAnsi="Arial"/>
          <w:sz w:val="20"/>
          <w:szCs w:val="20"/>
          <w:i w:val="1"/>
          <w:iCs w:val="1"/>
          <w:color w:val="auto"/>
        </w:rPr>
        <w:t>Section 1.01</w:t>
      </w:r>
      <w:r>
        <w:rPr>
          <w:rFonts w:ascii="Arial" w:cs="Arial" w:eastAsia="Arial" w:hAnsi="Arial"/>
          <w:sz w:val="20"/>
          <w:szCs w:val="20"/>
          <w:color w:val="auto"/>
        </w:rPr>
        <w:t xml:space="preserve"> (Defined Terms) of the Loan Agreement in the appropriate alphabetical order: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Permian Assets</w:t>
      </w:r>
      <w:r>
        <w:rPr>
          <w:rFonts w:ascii="Arial" w:cs="Arial" w:eastAsia="Arial" w:hAnsi="Arial"/>
          <w:sz w:val="20"/>
          <w:szCs w:val="20"/>
          <w:color w:val="auto"/>
        </w:rPr>
        <w:t>” has the meaning set forth in the definition of “Permian Acquisition”.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the Treasury’s Office of Foreign Assets Control.</w:t>
      </w:r>
    </w:p>
    <w:p>
      <w:pPr>
        <w:spacing w:after="0" w:line="216"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Permian Acquisition</w:t>
      </w:r>
      <w:r>
        <w:rPr>
          <w:rFonts w:ascii="Arial" w:cs="Arial" w:eastAsia="Arial" w:hAnsi="Arial"/>
          <w:sz w:val="20"/>
          <w:szCs w:val="20"/>
          <w:color w:val="auto"/>
        </w:rPr>
        <w:t>” means the acquisition by the Borrower, through its wholly-owned subsidiary, QEP Energy Company, of certain oil and natural gas interests in the Midland sub-basin of the Permian Basin, in Martin and Andrews Counties, Texas (the “</w:t>
      </w:r>
      <w:r>
        <w:rPr>
          <w:rFonts w:ascii="Arial" w:cs="Arial" w:eastAsia="Arial" w:hAnsi="Arial"/>
          <w:sz w:val="20"/>
          <w:szCs w:val="20"/>
          <w:u w:val="single" w:color="auto"/>
          <w:color w:val="auto"/>
        </w:rPr>
        <w:t>Acquired Permian Assets</w:t>
      </w:r>
      <w:r>
        <w:rPr>
          <w:rFonts w:ascii="Arial" w:cs="Arial" w:eastAsia="Arial" w:hAnsi="Arial"/>
          <w:sz w:val="20"/>
          <w:szCs w:val="20"/>
          <w:color w:val="auto"/>
        </w:rPr>
        <w:t>”) pursuant to the Permian Acquisition Agreement.</w:t>
      </w:r>
    </w:p>
    <w:p>
      <w:pPr>
        <w:spacing w:after="0" w:line="186"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Permian Acquisition Agreement</w:t>
      </w:r>
      <w:r>
        <w:rPr>
          <w:rFonts w:ascii="Arial" w:cs="Arial" w:eastAsia="Arial" w:hAnsi="Arial"/>
          <w:sz w:val="20"/>
          <w:szCs w:val="20"/>
          <w:color w:val="auto"/>
        </w:rPr>
        <w:t>” means the Purchase and Sale Agreement dated as of December 6, 2013, as it may be amended, among QEP Energy Company as purchaser and EnerVest Holding, L.P., EnerVest Energy Institutional Fund XII-A, L.P., EnerVest Energy Institutional Fund XII-WIB, L.P., and EnerVest Energy Institutional Fund XII-WIC, L.P. as seller (collectively, the “</w:t>
      </w:r>
      <w:r>
        <w:rPr>
          <w:rFonts w:ascii="Arial" w:cs="Arial" w:eastAsia="Arial" w:hAnsi="Arial"/>
          <w:sz w:val="20"/>
          <w:szCs w:val="20"/>
          <w:u w:val="single" w:color="auto"/>
          <w:color w:val="auto"/>
        </w:rPr>
        <w:t>Seller</w:t>
      </w:r>
      <w:r>
        <w:rPr>
          <w:rFonts w:ascii="Arial" w:cs="Arial" w:eastAsia="Arial" w:hAnsi="Arial"/>
          <w:sz w:val="20"/>
          <w:szCs w:val="20"/>
          <w:color w:val="auto"/>
        </w:rPr>
        <w:t>”).</w:t>
      </w:r>
    </w:p>
    <w:p>
      <w:pPr>
        <w:spacing w:after="0" w:line="192"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 country subject to a sanctions program identified on the list maintained by OFAC and available at http://www.treasury.gov/resource-center/sanctions/Programs/ Pages/Programs.aspx, or as otherwise published from time to time.</w:t>
      </w:r>
    </w:p>
    <w:p>
      <w:pPr>
        <w:spacing w:after="0" w:line="130"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xml:space="preserve">” means (a) a Person named on the list of “Specially Designated Nationals and Blocked Persons” maintained by OFAC available at http://www.treasury.gov/resource-center/sanctions /SDN-List/Pages/default.aspx, or as otherwise published from time to time, or (b) (i) an agency of the government of a Sanctioned Country, (ii) an organization controlled by a </w:t>
      </w:r>
      <w:r>
        <w:rPr>
          <w:rFonts w:ascii="Arial" w:cs="Arial" w:eastAsia="Arial" w:hAnsi="Arial"/>
          <w:sz w:val="19"/>
          <w:szCs w:val="19"/>
          <w:u w:val="single" w:color="auto"/>
          <w:color w:val="auto"/>
        </w:rPr>
        <w:t>Sanctioned</w:t>
      </w:r>
      <w:r>
        <w:rPr>
          <w:rFonts w:ascii="Arial" w:cs="Arial" w:eastAsia="Arial" w:hAnsi="Arial"/>
          <w:sz w:val="19"/>
          <w:szCs w:val="19"/>
          <w:color w:val="auto"/>
        </w:rPr>
        <w:t xml:space="preserve"> Country, or (iii) a person resident in a Sanctioned Country, to the extent subject to a sanctions program administered by the U.S. Department of the Treasury’s Office of Foreign Assets Control.</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 Effective Date” means January 31, 2014.</w:t>
      </w:r>
    </w:p>
    <w:p>
      <w:pPr>
        <w:spacing w:after="0" w:line="229" w:lineRule="exact"/>
        <w:rPr>
          <w:sz w:val="20"/>
          <w:szCs w:val="20"/>
          <w:color w:val="auto"/>
        </w:rPr>
      </w:pPr>
    </w:p>
    <w:p>
      <w:pPr>
        <w:jc w:val="both"/>
        <w:ind w:left="660" w:hanging="4"/>
        <w:spacing w:after="0" w:line="274" w:lineRule="auto"/>
        <w:tabs>
          <w:tab w:leader="none" w:pos="1508" w:val="left"/>
        </w:tabs>
        <w:numPr>
          <w:ilvl w:val="0"/>
          <w:numId w:val="99"/>
        </w:numPr>
        <w:rPr>
          <w:rFonts w:ascii="Arial" w:cs="Arial" w:eastAsia="Arial" w:hAnsi="Arial"/>
          <w:sz w:val="18"/>
          <w:szCs w:val="18"/>
          <w:color w:val="auto"/>
        </w:rPr>
      </w:pPr>
      <w:r>
        <w:rPr>
          <w:rFonts w:ascii="Arial" w:cs="Arial" w:eastAsia="Arial" w:hAnsi="Arial"/>
          <w:sz w:val="20"/>
          <w:szCs w:val="20"/>
          <w:u w:val="single" w:color="auto"/>
          <w:color w:val="auto"/>
        </w:rPr>
        <w:t>Amendments to</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Article 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(Taxes, Yield Protection and Illegality) and Certain Definitions Relating Thereto</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3.01</w:t>
      </w:r>
      <w:r>
        <w:rPr>
          <w:rFonts w:ascii="Arial" w:cs="Arial" w:eastAsia="Arial" w:hAnsi="Arial"/>
          <w:sz w:val="20"/>
          <w:szCs w:val="20"/>
          <w:color w:val="auto"/>
        </w:rPr>
        <w:t xml:space="preserve"> (Taxes) of the Existing Loan Agreement, </w:t>
      </w:r>
      <w:r>
        <w:rPr>
          <w:rFonts w:ascii="Arial" w:cs="Arial" w:eastAsia="Arial" w:hAnsi="Arial"/>
          <w:sz w:val="20"/>
          <w:szCs w:val="20"/>
          <w:i w:val="1"/>
          <w:iCs w:val="1"/>
          <w:color w:val="auto"/>
        </w:rPr>
        <w:t>Section 3.04</w:t>
      </w:r>
      <w:r>
        <w:rPr>
          <w:rFonts w:ascii="Arial" w:cs="Arial" w:eastAsia="Arial" w:hAnsi="Arial"/>
          <w:sz w:val="20"/>
          <w:szCs w:val="20"/>
          <w:color w:val="auto"/>
        </w:rPr>
        <w:t xml:space="preserve"> (Increased Cost and Reduced Return; Capital Adequacy; Reserves on Eurodollar Rate Loans) of the Existing Loan Agreement and certain definitions used therein, are amended, and new definitions used therein are added, all as set forth on </w:t>
      </w:r>
      <w:r>
        <w:rPr>
          <w:rFonts w:ascii="Arial" w:cs="Arial" w:eastAsia="Arial" w:hAnsi="Arial"/>
          <w:sz w:val="20"/>
          <w:szCs w:val="20"/>
          <w:b w:val="1"/>
          <w:bCs w:val="1"/>
          <w:i w:val="1"/>
          <w:iCs w:val="1"/>
          <w:color w:val="auto"/>
        </w:rPr>
        <w:t>Annex A</w:t>
      </w:r>
      <w:r>
        <w:rPr>
          <w:rFonts w:ascii="Arial" w:cs="Arial" w:eastAsia="Arial" w:hAnsi="Arial"/>
          <w:sz w:val="20"/>
          <w:szCs w:val="20"/>
          <w:color w:val="auto"/>
        </w:rPr>
        <w:t xml:space="preserve"> attached hereto.</w:t>
      </w:r>
    </w:p>
    <w:p>
      <w:pPr>
        <w:spacing w:after="0" w:line="205" w:lineRule="exact"/>
        <w:rPr>
          <w:rFonts w:ascii="Arial" w:cs="Arial" w:eastAsia="Arial" w:hAnsi="Arial"/>
          <w:sz w:val="18"/>
          <w:szCs w:val="18"/>
          <w:color w:val="auto"/>
        </w:rPr>
      </w:pPr>
    </w:p>
    <w:p>
      <w:pPr>
        <w:jc w:val="both"/>
        <w:ind w:firstLine="656"/>
        <w:spacing w:after="0" w:line="278" w:lineRule="auto"/>
        <w:tabs>
          <w:tab w:leader="none" w:pos="1506" w:val="left"/>
        </w:tabs>
        <w:numPr>
          <w:ilvl w:val="0"/>
          <w:numId w:val="99"/>
        </w:numPr>
        <w:rPr>
          <w:rFonts w:ascii="Arial" w:cs="Arial" w:eastAsia="Arial" w:hAnsi="Arial"/>
          <w:sz w:val="18"/>
          <w:szCs w:val="18"/>
          <w:color w:val="auto"/>
        </w:rPr>
      </w:pPr>
      <w:r>
        <w:rPr>
          <w:rFonts w:ascii="Arial" w:cs="Arial" w:eastAsia="Arial" w:hAnsi="Arial"/>
          <w:sz w:val="20"/>
          <w:szCs w:val="20"/>
          <w:u w:val="single" w:color="auto"/>
          <w:color w:val="auto"/>
        </w:rPr>
        <w:t>Amendment to</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Section 2.01</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2.01</w:t>
      </w:r>
      <w:r>
        <w:rPr>
          <w:rFonts w:ascii="Arial" w:cs="Arial" w:eastAsia="Arial" w:hAnsi="Arial"/>
          <w:sz w:val="20"/>
          <w:szCs w:val="20"/>
          <w:color w:val="auto"/>
        </w:rPr>
        <w:t xml:space="preserve"> (Loans) of the Existing Loan Agreement is amended as follows: in </w:t>
      </w:r>
      <w:r>
        <w:rPr>
          <w:rFonts w:ascii="Arial" w:cs="Arial" w:eastAsia="Arial" w:hAnsi="Arial"/>
          <w:sz w:val="20"/>
          <w:szCs w:val="20"/>
          <w:i w:val="1"/>
          <w:iCs w:val="1"/>
          <w:color w:val="auto"/>
        </w:rPr>
        <w:t>Section 2.01(b)</w:t>
      </w:r>
      <w:r>
        <w:rPr>
          <w:rFonts w:ascii="Arial" w:cs="Arial" w:eastAsia="Arial" w:hAnsi="Arial"/>
          <w:sz w:val="20"/>
          <w:szCs w:val="20"/>
          <w:color w:val="auto"/>
        </w:rPr>
        <w:t xml:space="preserve"> the words “under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are changed to “under Sections </w:t>
      </w:r>
      <w:r>
        <w:rPr>
          <w:rFonts w:ascii="Arial" w:cs="Arial" w:eastAsia="Arial" w:hAnsi="Arial"/>
          <w:sz w:val="20"/>
          <w:szCs w:val="20"/>
          <w:u w:val="single" w:color="auto"/>
          <w:color w:val="auto"/>
        </w:rPr>
        <w:t>2.01(a) and 2.01(b)</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2.01(b)</w:t>
      </w:r>
      <w:r>
        <w:rPr>
          <w:rFonts w:ascii="Arial" w:cs="Arial" w:eastAsia="Arial" w:hAnsi="Arial"/>
          <w:sz w:val="20"/>
          <w:szCs w:val="20"/>
          <w:color w:val="auto"/>
        </w:rPr>
        <w:t xml:space="preserve"> becomes </w:t>
      </w:r>
      <w:r>
        <w:rPr>
          <w:rFonts w:ascii="Arial" w:cs="Arial" w:eastAsia="Arial" w:hAnsi="Arial"/>
          <w:sz w:val="20"/>
          <w:szCs w:val="20"/>
          <w:i w:val="1"/>
          <w:iCs w:val="1"/>
          <w:color w:val="auto"/>
        </w:rPr>
        <w:t>Section 2.01(c)</w:t>
      </w:r>
      <w:r>
        <w:rPr>
          <w:rFonts w:ascii="Arial" w:cs="Arial" w:eastAsia="Arial" w:hAnsi="Arial"/>
          <w:sz w:val="20"/>
          <w:szCs w:val="20"/>
          <w:color w:val="auto"/>
        </w:rPr>
        <w:t xml:space="preserve">; and a new </w:t>
      </w:r>
      <w:r>
        <w:rPr>
          <w:rFonts w:ascii="Arial" w:cs="Arial" w:eastAsia="Arial" w:hAnsi="Arial"/>
          <w:sz w:val="20"/>
          <w:szCs w:val="20"/>
          <w:i w:val="1"/>
          <w:iCs w:val="1"/>
          <w:color w:val="auto"/>
        </w:rPr>
        <w:t xml:space="preserve">Section 2.01(b) </w:t>
      </w:r>
      <w:r>
        <w:rPr>
          <w:rFonts w:ascii="Arial" w:cs="Arial" w:eastAsia="Arial" w:hAnsi="Arial"/>
          <w:sz w:val="20"/>
          <w:szCs w:val="20"/>
          <w:color w:val="auto"/>
        </w:rPr>
        <w:t>is added is added as follows:</w:t>
      </w:r>
    </w:p>
    <w:p>
      <w:pPr>
        <w:spacing w:after="0" w:line="187"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color w:val="auto"/>
        </w:rPr>
        <w:t xml:space="preserve">“(b) The Borrower shall deliver to the Administrative Agent Loan Notice(s) requesting one or more Borrowings to be made on the Second Amendment Effective Date in an aggregate amount not to exceed the Aggregate Commitments. Subject to satisfaction of the conditions to Borrowings set forth in </w:t>
      </w:r>
      <w:r>
        <w:rPr>
          <w:rFonts w:ascii="Arial" w:cs="Arial" w:eastAsia="Arial" w:hAnsi="Arial"/>
          <w:sz w:val="18"/>
          <w:szCs w:val="18"/>
          <w:i w:val="1"/>
          <w:iCs w:val="1"/>
          <w:color w:val="auto"/>
        </w:rPr>
        <w:t>Section 4.02</w:t>
      </w:r>
      <w:r>
        <w:rPr>
          <w:rFonts w:ascii="Arial" w:cs="Arial" w:eastAsia="Arial" w:hAnsi="Arial"/>
          <w:sz w:val="18"/>
          <w:szCs w:val="18"/>
          <w:color w:val="auto"/>
        </w:rPr>
        <w:t>, Borrowings outstanding on the Second Amendment Effective Date shall be refinanced with the proceeds of such Borrowings and the remainder of the requested Borrowings shall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70"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be funded to the Borrower. Any portion of the Aggregate Commitments not utilized on the Second Amendment Effective Date shall terminate.”</w:t>
      </w:r>
    </w:p>
    <w:p>
      <w:pPr>
        <w:spacing w:after="0" w:line="190" w:lineRule="exact"/>
        <w:rPr>
          <w:sz w:val="20"/>
          <w:szCs w:val="20"/>
          <w:color w:val="auto"/>
        </w:rPr>
      </w:pPr>
    </w:p>
    <w:p>
      <w:pPr>
        <w:ind w:left="660" w:hanging="4"/>
        <w:spacing w:after="0" w:line="289" w:lineRule="auto"/>
        <w:tabs>
          <w:tab w:leader="none" w:pos="1508" w:val="left"/>
        </w:tabs>
        <w:numPr>
          <w:ilvl w:val="0"/>
          <w:numId w:val="100"/>
        </w:numPr>
        <w:rPr>
          <w:rFonts w:ascii="Arial" w:cs="Arial" w:eastAsia="Arial" w:hAnsi="Arial"/>
          <w:sz w:val="18"/>
          <w:szCs w:val="18"/>
          <w:color w:val="auto"/>
        </w:rPr>
      </w:pPr>
      <w:r>
        <w:rPr>
          <w:rFonts w:ascii="Arial" w:cs="Arial" w:eastAsia="Arial" w:hAnsi="Arial"/>
          <w:sz w:val="20"/>
          <w:szCs w:val="20"/>
          <w:u w:val="single" w:color="auto"/>
          <w:color w:val="auto"/>
        </w:rPr>
        <w:t>Amendment to</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Section 2.06(b)</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2.06(b)</w:t>
      </w:r>
      <w:r>
        <w:rPr>
          <w:rFonts w:ascii="Arial" w:cs="Arial" w:eastAsia="Arial" w:hAnsi="Arial"/>
          <w:sz w:val="20"/>
          <w:szCs w:val="20"/>
          <w:color w:val="auto"/>
        </w:rPr>
        <w:t xml:space="preserve"> (Termination or Reduction of Commitments) of the Existing Loan Agreement is amended to read “Reserved.”.</w:t>
      </w:r>
    </w:p>
    <w:p>
      <w:pPr>
        <w:spacing w:after="0" w:line="188" w:lineRule="exact"/>
        <w:rPr>
          <w:rFonts w:ascii="Arial" w:cs="Arial" w:eastAsia="Arial" w:hAnsi="Arial"/>
          <w:sz w:val="18"/>
          <w:szCs w:val="18"/>
          <w:color w:val="auto"/>
        </w:rPr>
      </w:pPr>
    </w:p>
    <w:p>
      <w:pPr>
        <w:ind w:firstLine="656"/>
        <w:spacing w:after="0" w:line="289" w:lineRule="auto"/>
        <w:tabs>
          <w:tab w:leader="none" w:pos="1476" w:val="left"/>
        </w:tabs>
        <w:numPr>
          <w:ilvl w:val="0"/>
          <w:numId w:val="100"/>
        </w:numPr>
        <w:rPr>
          <w:rFonts w:ascii="Arial" w:cs="Arial" w:eastAsia="Arial" w:hAnsi="Arial"/>
          <w:sz w:val="18"/>
          <w:szCs w:val="18"/>
          <w:color w:val="auto"/>
        </w:rPr>
      </w:pPr>
      <w:r>
        <w:rPr>
          <w:rFonts w:ascii="Arial" w:cs="Arial" w:eastAsia="Arial" w:hAnsi="Arial"/>
          <w:sz w:val="20"/>
          <w:szCs w:val="20"/>
          <w:u w:val="single" w:color="auto"/>
          <w:color w:val="auto"/>
        </w:rPr>
        <w:t>Addition of</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Section 5.19</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5.19</w:t>
      </w:r>
      <w:r>
        <w:rPr>
          <w:rFonts w:ascii="Arial" w:cs="Arial" w:eastAsia="Arial" w:hAnsi="Arial"/>
          <w:sz w:val="20"/>
          <w:szCs w:val="20"/>
          <w:color w:val="auto"/>
        </w:rPr>
        <w:t xml:space="preserve"> (OFAC) shall be added to the Loan Agreement immediately following Section 5.18 and shall read as follows:</w:t>
      </w:r>
    </w:p>
    <w:p>
      <w:pPr>
        <w:spacing w:after="0" w:line="169" w:lineRule="exact"/>
        <w:rPr>
          <w:sz w:val="20"/>
          <w:szCs w:val="20"/>
          <w:color w:val="auto"/>
        </w:rPr>
      </w:pPr>
    </w:p>
    <w:p>
      <w:pPr>
        <w:jc w:val="both"/>
        <w:ind w:left="1300"/>
        <w:spacing w:after="0" w:line="259" w:lineRule="auto"/>
        <w:rPr>
          <w:sz w:val="20"/>
          <w:szCs w:val="20"/>
          <w:color w:val="auto"/>
        </w:rPr>
      </w:pPr>
      <w:r>
        <w:rPr>
          <w:rFonts w:ascii="Arial" w:cs="Arial" w:eastAsia="Arial" w:hAnsi="Arial"/>
          <w:sz w:val="19"/>
          <w:szCs w:val="19"/>
          <w:color w:val="auto"/>
        </w:rPr>
        <w:t xml:space="preserve">“Section 5.19 </w:t>
      </w:r>
      <w:r>
        <w:rPr>
          <w:rFonts w:ascii="Arial" w:cs="Arial" w:eastAsia="Arial" w:hAnsi="Arial"/>
          <w:sz w:val="19"/>
          <w:szCs w:val="19"/>
          <w:b w:val="1"/>
          <w:bCs w:val="1"/>
          <w:color w:val="auto"/>
        </w:rPr>
        <w:t>OFAC</w:t>
      </w:r>
      <w:r>
        <w:rPr>
          <w:rFonts w:ascii="Arial" w:cs="Arial" w:eastAsia="Arial" w:hAnsi="Arial"/>
          <w:sz w:val="19"/>
          <w:szCs w:val="19"/>
          <w:color w:val="auto"/>
        </w:rPr>
        <w:t>. Neither the Borrower nor any Restricted Subsidiary (i) is an “enemy” or an “ally of the enemy” within the meaning of Section 2 of the Trading with the Enemy Act of the United States (50 U.S.C. App. §§ 1 et seq.), (ii) is in violation of (A) the Trading with the Enemy Act, (B) any of the foreign assets control regulations of the United States Treasury Department (31 CFR, Subtitle B, Chapter V) or any enabling legislation or executive order relating thereto or (C) the PATRIOT Act, (iii) is a Sanctioned Person or (iv) has more than 10% of its assets in Sanctioned Countries. No part of the proceeds of any Loan will be used directly or indirectly to fund any operations in, finance any investments or activities in or make any payments to, a Sanctioned Person or a Sanctioned Country.”.</w:t>
      </w:r>
    </w:p>
    <w:p>
      <w:pPr>
        <w:spacing w:after="0" w:line="192" w:lineRule="exact"/>
        <w:rPr>
          <w:sz w:val="20"/>
          <w:szCs w:val="20"/>
          <w:color w:val="auto"/>
        </w:rPr>
      </w:pPr>
    </w:p>
    <w:p>
      <w:pPr>
        <w:jc w:val="both"/>
        <w:ind w:left="660" w:firstLine="77"/>
        <w:spacing w:after="0" w:line="278" w:lineRule="auto"/>
        <w:tabs>
          <w:tab w:leader="none" w:pos="1518" w:val="left"/>
        </w:tabs>
        <w:numPr>
          <w:ilvl w:val="0"/>
          <w:numId w:val="101"/>
        </w:numPr>
        <w:rPr>
          <w:rFonts w:ascii="Arial" w:cs="Arial" w:eastAsia="Arial" w:hAnsi="Arial"/>
          <w:sz w:val="18"/>
          <w:szCs w:val="18"/>
          <w:color w:val="auto"/>
        </w:rPr>
      </w:pPr>
      <w:r>
        <w:rPr>
          <w:rFonts w:ascii="Arial" w:cs="Arial" w:eastAsia="Arial" w:hAnsi="Arial"/>
          <w:sz w:val="20"/>
          <w:szCs w:val="20"/>
          <w:u w:val="single" w:color="auto"/>
          <w:color w:val="auto"/>
        </w:rPr>
        <w:t>Amendment to</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Section 7.09</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7.09</w:t>
      </w:r>
      <w:r>
        <w:rPr>
          <w:rFonts w:ascii="Arial" w:cs="Arial" w:eastAsia="Arial" w:hAnsi="Arial"/>
          <w:sz w:val="20"/>
          <w:szCs w:val="20"/>
          <w:color w:val="auto"/>
        </w:rPr>
        <w:t xml:space="preserve"> (Dispositions of Property) of the Existing Loan Agreement is amended by deleting the word “and” at the end of </w:t>
      </w:r>
      <w:r>
        <w:rPr>
          <w:rFonts w:ascii="Arial" w:cs="Arial" w:eastAsia="Arial" w:hAnsi="Arial"/>
          <w:sz w:val="20"/>
          <w:szCs w:val="20"/>
          <w:i w:val="1"/>
          <w:iCs w:val="1"/>
          <w:color w:val="auto"/>
        </w:rPr>
        <w:t>Section 7.09(l)</w:t>
      </w:r>
      <w:r>
        <w:rPr>
          <w:rFonts w:ascii="Arial" w:cs="Arial" w:eastAsia="Arial" w:hAnsi="Arial"/>
          <w:sz w:val="20"/>
          <w:szCs w:val="20"/>
          <w:color w:val="auto"/>
        </w:rPr>
        <w:t xml:space="preserve"> and adding the following new subsection </w:t>
      </w:r>
      <w:r>
        <w:rPr>
          <w:rFonts w:ascii="Arial" w:cs="Arial" w:eastAsia="Arial" w:hAnsi="Arial"/>
          <w:sz w:val="20"/>
          <w:szCs w:val="20"/>
          <w:i w:val="1"/>
          <w:iCs w:val="1"/>
          <w:color w:val="auto"/>
        </w:rPr>
        <w:t>(m)</w:t>
      </w:r>
      <w:r>
        <w:rPr>
          <w:rFonts w:ascii="Arial" w:cs="Arial" w:eastAsia="Arial" w:hAnsi="Arial"/>
          <w:sz w:val="20"/>
          <w:szCs w:val="20"/>
          <w:color w:val="auto"/>
        </w:rPr>
        <w:t xml:space="preserve"> after </w:t>
      </w:r>
      <w:r>
        <w:rPr>
          <w:rFonts w:ascii="Arial" w:cs="Arial" w:eastAsia="Arial" w:hAnsi="Arial"/>
          <w:sz w:val="20"/>
          <w:szCs w:val="20"/>
          <w:i w:val="1"/>
          <w:iCs w:val="1"/>
          <w:color w:val="auto"/>
        </w:rPr>
        <w:t>Section 7.09(l)</w:t>
      </w:r>
      <w:r>
        <w:rPr>
          <w:rFonts w:ascii="Arial" w:cs="Arial" w:eastAsia="Arial" w:hAnsi="Arial"/>
          <w:sz w:val="20"/>
          <w:szCs w:val="20"/>
          <w:color w:val="auto"/>
        </w:rPr>
        <w:t>, which shall read in its entirety as follows:</w:t>
      </w:r>
    </w:p>
    <w:p>
      <w:pPr>
        <w:spacing w:after="0" w:line="200" w:lineRule="exact"/>
        <w:rPr>
          <w:sz w:val="20"/>
          <w:szCs w:val="20"/>
          <w:color w:val="auto"/>
        </w:rPr>
      </w:pPr>
    </w:p>
    <w:p>
      <w:pPr>
        <w:spacing w:after="0" w:line="203"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color w:val="auto"/>
        </w:rPr>
        <w:t>“(m) assignments, made in order to structure and consummate the Permian Acquisition and a qualifying asset sale as a reverse like kind exchange under Section 1031 of the Code, that are to exchange intermediaries, title holders and/or similar entities that are parties to such reverse like kind exchange transaction, including the assignments of the Permian Acquisition Agreement and other purchase agreements and loan receivables created in connection with such like kind exchange.”</w:t>
      </w:r>
    </w:p>
    <w:p>
      <w:pPr>
        <w:spacing w:after="0" w:line="175" w:lineRule="exact"/>
        <w:rPr>
          <w:sz w:val="20"/>
          <w:szCs w:val="20"/>
          <w:color w:val="auto"/>
        </w:rPr>
      </w:pPr>
    </w:p>
    <w:p>
      <w:pPr>
        <w:ind w:left="660" w:firstLine="77"/>
        <w:spacing w:after="0" w:line="289" w:lineRule="auto"/>
        <w:tabs>
          <w:tab w:leader="none" w:pos="1518" w:val="left"/>
        </w:tabs>
        <w:numPr>
          <w:ilvl w:val="1"/>
          <w:numId w:val="102"/>
        </w:numPr>
        <w:rPr>
          <w:rFonts w:ascii="Arial" w:cs="Arial" w:eastAsia="Arial" w:hAnsi="Arial"/>
          <w:sz w:val="18"/>
          <w:szCs w:val="18"/>
          <w:color w:val="auto"/>
        </w:rPr>
      </w:pPr>
      <w:r>
        <w:rPr>
          <w:rFonts w:ascii="Arial" w:cs="Arial" w:eastAsia="Arial" w:hAnsi="Arial"/>
          <w:sz w:val="20"/>
          <w:szCs w:val="20"/>
          <w:u w:val="single" w:color="auto"/>
          <w:color w:val="auto"/>
        </w:rPr>
        <w:t>Addition of Exhibits</w:t>
      </w:r>
      <w:r>
        <w:rPr>
          <w:rFonts w:ascii="Arial" w:cs="Arial" w:eastAsia="Arial" w:hAnsi="Arial"/>
          <w:sz w:val="20"/>
          <w:szCs w:val="20"/>
          <w:color w:val="auto"/>
        </w:rPr>
        <w:t xml:space="preserve">. </w:t>
      </w:r>
      <w:r>
        <w:rPr>
          <w:rFonts w:ascii="Arial" w:cs="Arial" w:eastAsia="Arial" w:hAnsi="Arial"/>
          <w:sz w:val="20"/>
          <w:szCs w:val="20"/>
          <w:i w:val="1"/>
          <w:iCs w:val="1"/>
          <w:color w:val="auto"/>
        </w:rPr>
        <w:t>Exhibit E-1</w:t>
      </w:r>
      <w:r>
        <w:rPr>
          <w:rFonts w:ascii="Arial" w:cs="Arial" w:eastAsia="Arial" w:hAnsi="Arial"/>
          <w:sz w:val="20"/>
          <w:szCs w:val="20"/>
          <w:color w:val="auto"/>
        </w:rPr>
        <w:t xml:space="preserve">, </w:t>
      </w:r>
      <w:r>
        <w:rPr>
          <w:rFonts w:ascii="Arial" w:cs="Arial" w:eastAsia="Arial" w:hAnsi="Arial"/>
          <w:sz w:val="20"/>
          <w:szCs w:val="20"/>
          <w:i w:val="1"/>
          <w:iCs w:val="1"/>
          <w:color w:val="auto"/>
        </w:rPr>
        <w:t>Exhibit E-2</w:t>
      </w:r>
      <w:r>
        <w:rPr>
          <w:rFonts w:ascii="Arial" w:cs="Arial" w:eastAsia="Arial" w:hAnsi="Arial"/>
          <w:sz w:val="20"/>
          <w:szCs w:val="20"/>
          <w:color w:val="auto"/>
        </w:rPr>
        <w:t xml:space="preserve">, </w:t>
      </w:r>
      <w:r>
        <w:rPr>
          <w:rFonts w:ascii="Arial" w:cs="Arial" w:eastAsia="Arial" w:hAnsi="Arial"/>
          <w:sz w:val="20"/>
          <w:szCs w:val="20"/>
          <w:i w:val="1"/>
          <w:iCs w:val="1"/>
          <w:color w:val="auto"/>
        </w:rPr>
        <w:t>Exhibit E-3</w:t>
      </w:r>
      <w:r>
        <w:rPr>
          <w:rFonts w:ascii="Arial" w:cs="Arial" w:eastAsia="Arial" w:hAnsi="Arial"/>
          <w:sz w:val="20"/>
          <w:szCs w:val="20"/>
          <w:color w:val="auto"/>
        </w:rPr>
        <w:t xml:space="preserve"> and </w:t>
      </w:r>
      <w:r>
        <w:rPr>
          <w:rFonts w:ascii="Arial" w:cs="Arial" w:eastAsia="Arial" w:hAnsi="Arial"/>
          <w:sz w:val="20"/>
          <w:szCs w:val="20"/>
          <w:i w:val="1"/>
          <w:iCs w:val="1"/>
          <w:color w:val="auto"/>
        </w:rPr>
        <w:t>Exhibit E-4</w:t>
      </w:r>
      <w:r>
        <w:rPr>
          <w:rFonts w:ascii="Arial" w:cs="Arial" w:eastAsia="Arial" w:hAnsi="Arial"/>
          <w:sz w:val="20"/>
          <w:szCs w:val="20"/>
          <w:color w:val="auto"/>
        </w:rPr>
        <w:t xml:space="preserve"> attached hereto are added as </w:t>
      </w:r>
      <w:r>
        <w:rPr>
          <w:rFonts w:ascii="Arial" w:cs="Arial" w:eastAsia="Arial" w:hAnsi="Arial"/>
          <w:sz w:val="20"/>
          <w:szCs w:val="20"/>
          <w:i w:val="1"/>
          <w:iCs w:val="1"/>
          <w:color w:val="auto"/>
        </w:rPr>
        <w:t>Exhibit E-1</w:t>
      </w:r>
      <w:r>
        <w:rPr>
          <w:rFonts w:ascii="Arial" w:cs="Arial" w:eastAsia="Arial" w:hAnsi="Arial"/>
          <w:sz w:val="20"/>
          <w:szCs w:val="20"/>
          <w:color w:val="auto"/>
        </w:rPr>
        <w:t xml:space="preserve">, </w:t>
      </w:r>
      <w:r>
        <w:rPr>
          <w:rFonts w:ascii="Arial" w:cs="Arial" w:eastAsia="Arial" w:hAnsi="Arial"/>
          <w:sz w:val="20"/>
          <w:szCs w:val="20"/>
          <w:i w:val="1"/>
          <w:iCs w:val="1"/>
          <w:color w:val="auto"/>
        </w:rPr>
        <w:t>Exhibit</w:t>
      </w:r>
      <w:r>
        <w:rPr>
          <w:rFonts w:ascii="Arial" w:cs="Arial" w:eastAsia="Arial" w:hAnsi="Arial"/>
          <w:sz w:val="20"/>
          <w:szCs w:val="20"/>
          <w:color w:val="auto"/>
        </w:rPr>
        <w:t xml:space="preserve"> </w:t>
      </w:r>
      <w:r>
        <w:rPr>
          <w:rFonts w:ascii="Arial" w:cs="Arial" w:eastAsia="Arial" w:hAnsi="Arial"/>
          <w:sz w:val="20"/>
          <w:szCs w:val="20"/>
          <w:i w:val="1"/>
          <w:iCs w:val="1"/>
          <w:color w:val="auto"/>
        </w:rPr>
        <w:t>E-2</w:t>
      </w:r>
      <w:r>
        <w:rPr>
          <w:rFonts w:ascii="Arial" w:cs="Arial" w:eastAsia="Arial" w:hAnsi="Arial"/>
          <w:sz w:val="20"/>
          <w:szCs w:val="20"/>
          <w:color w:val="auto"/>
        </w:rPr>
        <w:t>,</w:t>
      </w:r>
      <w:r>
        <w:rPr>
          <w:rFonts w:ascii="Arial" w:cs="Arial" w:eastAsia="Arial" w:hAnsi="Arial"/>
          <w:sz w:val="20"/>
          <w:szCs w:val="20"/>
          <w:i w:val="1"/>
          <w:iCs w:val="1"/>
          <w:color w:val="auto"/>
        </w:rPr>
        <w:t xml:space="preserve"> Exhibit E-3 </w:t>
      </w:r>
      <w:r>
        <w:rPr>
          <w:rFonts w:ascii="Arial" w:cs="Arial" w:eastAsia="Arial" w:hAnsi="Arial"/>
          <w:sz w:val="20"/>
          <w:szCs w:val="20"/>
          <w:color w:val="auto"/>
        </w:rPr>
        <w:t>and</w:t>
      </w:r>
      <w:r>
        <w:rPr>
          <w:rFonts w:ascii="Arial" w:cs="Arial" w:eastAsia="Arial" w:hAnsi="Arial"/>
          <w:sz w:val="20"/>
          <w:szCs w:val="20"/>
          <w:i w:val="1"/>
          <w:iCs w:val="1"/>
          <w:color w:val="auto"/>
        </w:rPr>
        <w:t xml:space="preserve"> Exhibit E-4 </w:t>
      </w:r>
      <w:r>
        <w:rPr>
          <w:rFonts w:ascii="Arial" w:cs="Arial" w:eastAsia="Arial" w:hAnsi="Arial"/>
          <w:sz w:val="20"/>
          <w:szCs w:val="20"/>
          <w:color w:val="auto"/>
        </w:rPr>
        <w:t>to the Loan Agreement.</w:t>
      </w:r>
    </w:p>
    <w:p>
      <w:pPr>
        <w:spacing w:after="0" w:line="182" w:lineRule="exact"/>
        <w:rPr>
          <w:rFonts w:ascii="Arial" w:cs="Arial" w:eastAsia="Arial" w:hAnsi="Arial"/>
          <w:sz w:val="18"/>
          <w:szCs w:val="18"/>
          <w:color w:val="auto"/>
        </w:rPr>
      </w:pPr>
    </w:p>
    <w:p>
      <w:pPr>
        <w:ind w:left="1440" w:hanging="784"/>
        <w:spacing w:after="0"/>
        <w:tabs>
          <w:tab w:leader="none" w:pos="1440" w:val="left"/>
        </w:tabs>
        <w:numPr>
          <w:ilvl w:val="0"/>
          <w:numId w:val="103"/>
        </w:numPr>
        <w:rPr>
          <w:rFonts w:ascii="Arial" w:cs="Arial" w:eastAsia="Arial" w:hAnsi="Arial"/>
          <w:sz w:val="16"/>
          <w:szCs w:val="16"/>
          <w:color w:val="auto"/>
        </w:rPr>
      </w:pPr>
      <w:r>
        <w:rPr>
          <w:rFonts w:ascii="Arial" w:cs="Arial" w:eastAsia="Arial" w:hAnsi="Arial"/>
          <w:sz w:val="18"/>
          <w:szCs w:val="18"/>
          <w:b w:val="1"/>
          <w:bCs w:val="1"/>
          <w:u w:val="single" w:color="auto"/>
          <w:color w:val="auto"/>
        </w:rPr>
        <w:t>Conditions of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effectiveness of this Amendment is subject to the satisfaction of the following conditions</w:t>
      </w:r>
    </w:p>
    <w:p>
      <w:pPr>
        <w:spacing w:after="0" w:line="5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precedent.</w:t>
      </w:r>
    </w:p>
    <w:p>
      <w:pPr>
        <w:spacing w:after="0" w:line="256" w:lineRule="exact"/>
        <w:rPr>
          <w:sz w:val="20"/>
          <w:szCs w:val="20"/>
          <w:color w:val="auto"/>
        </w:rPr>
      </w:pPr>
    </w:p>
    <w:p>
      <w:pPr>
        <w:ind w:left="1500" w:hanging="844"/>
        <w:spacing w:after="0"/>
        <w:tabs>
          <w:tab w:leader="none" w:pos="1500" w:val="left"/>
        </w:tabs>
        <w:numPr>
          <w:ilvl w:val="0"/>
          <w:numId w:val="104"/>
        </w:numPr>
        <w:rPr>
          <w:rFonts w:ascii="Arial" w:cs="Arial" w:eastAsia="Arial" w:hAnsi="Arial"/>
          <w:sz w:val="18"/>
          <w:szCs w:val="18"/>
          <w:color w:val="auto"/>
        </w:rPr>
      </w:pPr>
      <w:r>
        <w:rPr>
          <w:rFonts w:ascii="Arial" w:cs="Arial" w:eastAsia="Arial" w:hAnsi="Arial"/>
          <w:sz w:val="20"/>
          <w:szCs w:val="20"/>
          <w:color w:val="auto"/>
        </w:rPr>
        <w:t>The Administrative Agent shall have received each of the following:</w:t>
      </w:r>
    </w:p>
    <w:p>
      <w:pPr>
        <w:spacing w:after="0" w:line="26" w:lineRule="exact"/>
        <w:rPr>
          <w:rFonts w:ascii="Arial" w:cs="Arial" w:eastAsia="Arial" w:hAnsi="Arial"/>
          <w:sz w:val="18"/>
          <w:szCs w:val="18"/>
          <w:color w:val="auto"/>
        </w:rPr>
      </w:pPr>
    </w:p>
    <w:p>
      <w:pPr>
        <w:ind w:left="660" w:firstLine="645"/>
        <w:spacing w:after="0" w:line="289" w:lineRule="auto"/>
        <w:tabs>
          <w:tab w:leader="none" w:pos="2126" w:val="left"/>
        </w:tabs>
        <w:numPr>
          <w:ilvl w:val="1"/>
          <w:numId w:val="104"/>
        </w:numPr>
        <w:rPr>
          <w:rFonts w:ascii="Arial" w:cs="Arial" w:eastAsia="Arial" w:hAnsi="Arial"/>
          <w:sz w:val="18"/>
          <w:szCs w:val="18"/>
          <w:color w:val="auto"/>
        </w:rPr>
      </w:pPr>
      <w:r>
        <w:rPr>
          <w:rFonts w:ascii="Arial" w:cs="Arial" w:eastAsia="Arial" w:hAnsi="Arial"/>
          <w:sz w:val="20"/>
          <w:szCs w:val="20"/>
          <w:color w:val="auto"/>
        </w:rPr>
        <w:t>counterparts of this Amendment executed by the Borrower, the Administrative Agent, Existing Lenders constituting Required Lenders (including all Increasing Lenders), and each New Lender;</w:t>
      </w:r>
    </w:p>
    <w:p>
      <w:pPr>
        <w:spacing w:after="0" w:line="188" w:lineRule="exact"/>
        <w:rPr>
          <w:rFonts w:ascii="Arial" w:cs="Arial" w:eastAsia="Arial" w:hAnsi="Arial"/>
          <w:sz w:val="18"/>
          <w:szCs w:val="18"/>
          <w:color w:val="auto"/>
        </w:rPr>
      </w:pPr>
    </w:p>
    <w:p>
      <w:pPr>
        <w:ind w:left="2180" w:hanging="875"/>
        <w:spacing w:after="0"/>
        <w:tabs>
          <w:tab w:leader="none" w:pos="2180" w:val="left"/>
        </w:tabs>
        <w:numPr>
          <w:ilvl w:val="1"/>
          <w:numId w:val="104"/>
        </w:numPr>
        <w:rPr>
          <w:rFonts w:ascii="Arial" w:cs="Arial" w:eastAsia="Arial" w:hAnsi="Arial"/>
          <w:sz w:val="18"/>
          <w:szCs w:val="18"/>
          <w:color w:val="auto"/>
        </w:rPr>
      </w:pPr>
      <w:r>
        <w:rPr>
          <w:rFonts w:ascii="Arial" w:cs="Arial" w:eastAsia="Arial" w:hAnsi="Arial"/>
          <w:sz w:val="20"/>
          <w:szCs w:val="20"/>
          <w:color w:val="auto"/>
        </w:rPr>
        <w:t>a Note executed by the Borrower in favor of each New Lender requesting a Note;</w:t>
      </w:r>
    </w:p>
    <w:p>
      <w:pPr>
        <w:spacing w:after="0" w:line="256" w:lineRule="exact"/>
        <w:rPr>
          <w:rFonts w:ascii="Arial" w:cs="Arial" w:eastAsia="Arial" w:hAnsi="Arial"/>
          <w:sz w:val="18"/>
          <w:szCs w:val="18"/>
          <w:color w:val="auto"/>
        </w:rPr>
      </w:pPr>
    </w:p>
    <w:p>
      <w:pPr>
        <w:jc w:val="both"/>
        <w:ind w:left="660" w:firstLine="645"/>
        <w:spacing w:after="0" w:line="281" w:lineRule="auto"/>
        <w:tabs>
          <w:tab w:leader="none" w:pos="2226" w:val="left"/>
        </w:tabs>
        <w:numPr>
          <w:ilvl w:val="1"/>
          <w:numId w:val="104"/>
        </w:numPr>
        <w:rPr>
          <w:rFonts w:ascii="Arial" w:cs="Arial" w:eastAsia="Arial" w:hAnsi="Arial"/>
          <w:sz w:val="17"/>
          <w:szCs w:val="17"/>
          <w:color w:val="auto"/>
        </w:rPr>
      </w:pPr>
      <w:r>
        <w:rPr>
          <w:rFonts w:ascii="Arial" w:cs="Arial" w:eastAsia="Arial" w:hAnsi="Arial"/>
          <w:sz w:val="19"/>
          <w:szCs w:val="19"/>
          <w:color w:val="auto"/>
        </w:rPr>
        <w:t>a certificate of a secretary or assistant secretary of the Borrower (A) certifying as to the incumbency and genuineness of the signature of each officer of the Borrower executing this Amendment, (B) certifying that attached thereto is a true, correct and complete copy of the Organization Documents of the Borrower, or certifying that such Organization Documents were delivered on the Closing Date and certifying that since such date there have been no changes thereto, and (C) attaching resolutions adopted by the board of directors (or other governing body) of the Borrower authorizing and approving the transactions contemplated hereunder and the execution, delivery and performance of this Amendment;</w:t>
      </w:r>
    </w:p>
    <w:p>
      <w:pPr>
        <w:spacing w:after="0" w:line="4" w:lineRule="exact"/>
        <w:rPr>
          <w:rFonts w:ascii="Arial" w:cs="Arial" w:eastAsia="Arial" w:hAnsi="Arial"/>
          <w:sz w:val="17"/>
          <w:szCs w:val="17"/>
          <w:color w:val="auto"/>
        </w:rPr>
      </w:pPr>
    </w:p>
    <w:p>
      <w:pPr>
        <w:ind w:left="660" w:firstLine="645"/>
        <w:spacing w:after="0" w:line="289" w:lineRule="auto"/>
        <w:tabs>
          <w:tab w:leader="none" w:pos="2216" w:val="left"/>
        </w:tabs>
        <w:numPr>
          <w:ilvl w:val="1"/>
          <w:numId w:val="104"/>
        </w:numPr>
        <w:rPr>
          <w:rFonts w:ascii="Arial" w:cs="Arial" w:eastAsia="Arial" w:hAnsi="Arial"/>
          <w:sz w:val="18"/>
          <w:szCs w:val="18"/>
          <w:color w:val="auto"/>
        </w:rPr>
      </w:pPr>
      <w:r>
        <w:rPr>
          <w:rFonts w:ascii="Arial" w:cs="Arial" w:eastAsia="Arial" w:hAnsi="Arial"/>
          <w:sz w:val="20"/>
          <w:szCs w:val="20"/>
          <w:color w:val="auto"/>
        </w:rPr>
        <w:t>certificates evidencing the existence and good standing of the Borrower, issued by the applicable Governmental Authority of its jurisdiction of organization;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83" w:lineRule="exact"/>
        <w:rPr>
          <w:sz w:val="20"/>
          <w:szCs w:val="20"/>
          <w:color w:val="auto"/>
        </w:rPr>
      </w:pPr>
    </w:p>
    <w:p>
      <w:pPr>
        <w:jc w:val="both"/>
        <w:ind w:left="660" w:firstLine="645"/>
        <w:spacing w:after="0" w:line="307" w:lineRule="auto"/>
        <w:tabs>
          <w:tab w:leader="none" w:pos="2166" w:val="left"/>
        </w:tabs>
        <w:numPr>
          <w:ilvl w:val="1"/>
          <w:numId w:val="105"/>
        </w:numPr>
        <w:rPr>
          <w:rFonts w:ascii="Arial" w:cs="Arial" w:eastAsia="Arial" w:hAnsi="Arial"/>
          <w:sz w:val="16"/>
          <w:szCs w:val="16"/>
          <w:color w:val="auto"/>
        </w:rPr>
      </w:pPr>
      <w:r>
        <w:rPr>
          <w:rFonts w:ascii="Arial" w:cs="Arial" w:eastAsia="Arial" w:hAnsi="Arial"/>
          <w:sz w:val="18"/>
          <w:szCs w:val="18"/>
          <w:color w:val="auto"/>
        </w:rPr>
        <w:t xml:space="preserve">a certificate of a Responsible Officer of the Borrower (A) attaching and certifying as to a true, correct and complete copy of the Permian Acquisition Agreement or certifying as to a copy that has been filed publicly or previously delivered, (B) demonstrating compliance on a pro forma basis with the financial covenants contained in </w:t>
      </w:r>
      <w:r>
        <w:rPr>
          <w:rFonts w:ascii="Arial" w:cs="Arial" w:eastAsia="Arial" w:hAnsi="Arial"/>
          <w:sz w:val="18"/>
          <w:szCs w:val="18"/>
          <w:i w:val="1"/>
          <w:iCs w:val="1"/>
          <w:color w:val="auto"/>
        </w:rPr>
        <w:t>Section 7.11</w:t>
      </w:r>
      <w:r>
        <w:rPr>
          <w:rFonts w:ascii="Arial" w:cs="Arial" w:eastAsia="Arial" w:hAnsi="Arial"/>
          <w:sz w:val="18"/>
          <w:szCs w:val="18"/>
          <w:color w:val="auto"/>
        </w:rPr>
        <w:t xml:space="preserve"> of the Existing Loan Agreement, after giving effect to the Transactions (hereinafter defined), as of the end of the most recent fiscal quarter, (C) certifying that, after giving effect to the Transactions, the Borrower and its Subsidiaries, on a consolidated basis, are solvent on such date, and (D) certifying as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as to the representations and warranties set forth in </w:t>
      </w:r>
      <w:r>
        <w:rPr>
          <w:rFonts w:ascii="Arial" w:cs="Arial" w:eastAsia="Arial" w:hAnsi="Arial"/>
          <w:sz w:val="18"/>
          <w:szCs w:val="18"/>
          <w:b w:val="1"/>
          <w:bCs w:val="1"/>
          <w:i w:val="1"/>
          <w:iCs w:val="1"/>
          <w:color w:val="auto"/>
        </w:rPr>
        <w:t>Section 5</w:t>
      </w:r>
      <w:r>
        <w:rPr>
          <w:rFonts w:ascii="Arial" w:cs="Arial" w:eastAsia="Arial" w:hAnsi="Arial"/>
          <w:sz w:val="18"/>
          <w:szCs w:val="18"/>
          <w:color w:val="auto"/>
        </w:rPr>
        <w:t xml:space="preserve"> below;</w:t>
      </w:r>
    </w:p>
    <w:p>
      <w:pPr>
        <w:spacing w:after="0" w:line="180" w:lineRule="exact"/>
        <w:rPr>
          <w:rFonts w:ascii="Arial" w:cs="Arial" w:eastAsia="Arial" w:hAnsi="Arial"/>
          <w:sz w:val="16"/>
          <w:szCs w:val="16"/>
          <w:color w:val="auto"/>
        </w:rPr>
      </w:pPr>
    </w:p>
    <w:p>
      <w:pPr>
        <w:jc w:val="both"/>
        <w:ind w:left="660" w:firstLine="645"/>
        <w:spacing w:after="0" w:line="278" w:lineRule="auto"/>
        <w:tabs>
          <w:tab w:leader="none" w:pos="2216" w:val="left"/>
        </w:tabs>
        <w:numPr>
          <w:ilvl w:val="1"/>
          <w:numId w:val="105"/>
        </w:numPr>
        <w:rPr>
          <w:rFonts w:ascii="Arial" w:cs="Arial" w:eastAsia="Arial" w:hAnsi="Arial"/>
          <w:sz w:val="18"/>
          <w:szCs w:val="18"/>
          <w:color w:val="auto"/>
        </w:rPr>
      </w:pPr>
      <w:r>
        <w:rPr>
          <w:rFonts w:ascii="Arial" w:cs="Arial" w:eastAsia="Arial" w:hAnsi="Arial"/>
          <w:sz w:val="20"/>
          <w:szCs w:val="20"/>
          <w:color w:val="auto"/>
        </w:rPr>
        <w:t>a favorable opinion of Latham &amp; Watkins, LLP, covering such matters concerning the Borrower and this Amendment as the Arrangers may reasonably request, in form and substance reasonably satisfactory to the Arrangers, such opinion to be addressed to the Administrative Agent and each Lender;</w:t>
      </w:r>
    </w:p>
    <w:p>
      <w:pPr>
        <w:spacing w:after="0" w:line="200" w:lineRule="exact"/>
        <w:rPr>
          <w:rFonts w:ascii="Arial" w:cs="Arial" w:eastAsia="Arial" w:hAnsi="Arial"/>
          <w:sz w:val="18"/>
          <w:szCs w:val="18"/>
          <w:color w:val="auto"/>
        </w:rPr>
      </w:pPr>
    </w:p>
    <w:p>
      <w:pPr>
        <w:jc w:val="both"/>
        <w:ind w:left="660" w:firstLine="645"/>
        <w:spacing w:after="0" w:line="272" w:lineRule="auto"/>
        <w:tabs>
          <w:tab w:leader="none" w:pos="2266" w:val="left"/>
        </w:tabs>
        <w:numPr>
          <w:ilvl w:val="1"/>
          <w:numId w:val="105"/>
        </w:numPr>
        <w:rPr>
          <w:rFonts w:ascii="Arial" w:cs="Arial" w:eastAsia="Arial" w:hAnsi="Arial"/>
          <w:sz w:val="18"/>
          <w:szCs w:val="18"/>
          <w:color w:val="auto"/>
        </w:rPr>
      </w:pPr>
      <w:r>
        <w:rPr>
          <w:rFonts w:ascii="Arial" w:cs="Arial" w:eastAsia="Arial" w:hAnsi="Arial"/>
          <w:sz w:val="20"/>
          <w:szCs w:val="20"/>
          <w:color w:val="auto"/>
        </w:rPr>
        <w:t>(A) pro forma consolidated financial statements for the Borrower and its Subsidiaries for the four-quarter period most recently ended prior to the Second Amendment Effective Date for which financial statements are available, consisting of a consolidated statements of earnings, cash flows, and shareholders’ equity and (B) a pro forma balance sheet of the Borrower and its Subsidiaries as of December 31, 2013, in each case giving pro forma effect to the Transactions as if the Transactions had occurred as of such date (in the case of such balance sheet) or at the beginning of such period (in the case of the financial statements referenced in clause (A));</w:t>
      </w:r>
    </w:p>
    <w:p>
      <w:pPr>
        <w:spacing w:after="0" w:line="205" w:lineRule="exact"/>
        <w:rPr>
          <w:rFonts w:ascii="Arial" w:cs="Arial" w:eastAsia="Arial" w:hAnsi="Arial"/>
          <w:sz w:val="18"/>
          <w:szCs w:val="18"/>
          <w:color w:val="auto"/>
        </w:rPr>
      </w:pPr>
    </w:p>
    <w:p>
      <w:pPr>
        <w:jc w:val="both"/>
        <w:ind w:left="660" w:firstLine="645"/>
        <w:spacing w:after="0" w:line="278" w:lineRule="auto"/>
        <w:tabs>
          <w:tab w:leader="none" w:pos="2316" w:val="left"/>
        </w:tabs>
        <w:numPr>
          <w:ilvl w:val="1"/>
          <w:numId w:val="105"/>
        </w:numPr>
        <w:rPr>
          <w:rFonts w:ascii="Arial" w:cs="Arial" w:eastAsia="Arial" w:hAnsi="Arial"/>
          <w:sz w:val="18"/>
          <w:szCs w:val="18"/>
          <w:color w:val="auto"/>
        </w:rPr>
      </w:pPr>
      <w:r>
        <w:rPr>
          <w:rFonts w:ascii="Arial" w:cs="Arial" w:eastAsia="Arial" w:hAnsi="Arial"/>
          <w:sz w:val="20"/>
          <w:szCs w:val="20"/>
          <w:color w:val="auto"/>
        </w:rPr>
        <w:t>(A) copies of any environmental reviews and/or reports relating to the Acquired Assets prepared by or for, or provided to, the Borrower in connection with the Permian Acquisition, and (B) in the event that work is required in order to remedy environmental defects, copies of information related to such work; and</w:t>
      </w:r>
    </w:p>
    <w:p>
      <w:pPr>
        <w:spacing w:after="0" w:line="200" w:lineRule="exact"/>
        <w:rPr>
          <w:rFonts w:ascii="Arial" w:cs="Arial" w:eastAsia="Arial" w:hAnsi="Arial"/>
          <w:sz w:val="18"/>
          <w:szCs w:val="18"/>
          <w:color w:val="auto"/>
        </w:rPr>
      </w:pPr>
    </w:p>
    <w:p>
      <w:pPr>
        <w:jc w:val="both"/>
        <w:ind w:left="660" w:firstLine="645"/>
        <w:spacing w:after="0" w:line="278" w:lineRule="auto"/>
        <w:tabs>
          <w:tab w:leader="none" w:pos="2216" w:val="left"/>
        </w:tabs>
        <w:numPr>
          <w:ilvl w:val="1"/>
          <w:numId w:val="105"/>
        </w:numPr>
        <w:rPr>
          <w:rFonts w:ascii="Arial" w:cs="Arial" w:eastAsia="Arial" w:hAnsi="Arial"/>
          <w:sz w:val="18"/>
          <w:szCs w:val="18"/>
          <w:color w:val="auto"/>
        </w:rPr>
      </w:pPr>
      <w:r>
        <w:rPr>
          <w:rFonts w:ascii="Arial" w:cs="Arial" w:eastAsia="Arial" w:hAnsi="Arial"/>
          <w:sz w:val="20"/>
          <w:szCs w:val="20"/>
          <w:color w:val="auto"/>
        </w:rPr>
        <w:t xml:space="preserve">A Loan Notice in an amount equal to the Loans outstanding on the Second Amendment Effective Date plus the additional amounts requested to be borrowed on such date, in an aggregate amount not to exceed the Aggregate Commitments as set forth on </w:t>
      </w:r>
      <w:r>
        <w:rPr>
          <w:rFonts w:ascii="Arial" w:cs="Arial" w:eastAsia="Arial" w:hAnsi="Arial"/>
          <w:sz w:val="20"/>
          <w:szCs w:val="20"/>
          <w:b w:val="1"/>
          <w:bCs w:val="1"/>
          <w:i w:val="1"/>
          <w:iCs w:val="1"/>
          <w:color w:val="auto"/>
        </w:rPr>
        <w:t>Schedule 2.01</w:t>
      </w:r>
      <w:r>
        <w:rPr>
          <w:rFonts w:ascii="Arial" w:cs="Arial" w:eastAsia="Arial" w:hAnsi="Arial"/>
          <w:sz w:val="20"/>
          <w:szCs w:val="20"/>
          <w:color w:val="auto"/>
        </w:rPr>
        <w:t xml:space="preserve"> attached hereto.</w:t>
      </w:r>
    </w:p>
    <w:p>
      <w:pPr>
        <w:spacing w:after="0" w:line="200" w:lineRule="exact"/>
        <w:rPr>
          <w:rFonts w:ascii="Arial" w:cs="Arial" w:eastAsia="Arial" w:hAnsi="Arial"/>
          <w:sz w:val="18"/>
          <w:szCs w:val="18"/>
          <w:color w:val="auto"/>
        </w:rPr>
      </w:pPr>
    </w:p>
    <w:p>
      <w:pPr>
        <w:jc w:val="both"/>
        <w:ind w:right="20" w:firstLine="656"/>
        <w:spacing w:after="0" w:line="278" w:lineRule="auto"/>
        <w:tabs>
          <w:tab w:leader="none" w:pos="1506" w:val="left"/>
        </w:tabs>
        <w:numPr>
          <w:ilvl w:val="0"/>
          <w:numId w:val="106"/>
        </w:numPr>
        <w:rPr>
          <w:rFonts w:ascii="Arial" w:cs="Arial" w:eastAsia="Arial" w:hAnsi="Arial"/>
          <w:sz w:val="18"/>
          <w:szCs w:val="18"/>
          <w:color w:val="auto"/>
        </w:rPr>
      </w:pPr>
      <w:r>
        <w:rPr>
          <w:rFonts w:ascii="Arial" w:cs="Arial" w:eastAsia="Arial" w:hAnsi="Arial"/>
          <w:sz w:val="20"/>
          <w:szCs w:val="20"/>
          <w:color w:val="auto"/>
        </w:rPr>
        <w:t>Before and after taking into account the Transactions, since December 31, 2012, there shall not have occurred any event, development or circumstance that has or could reasonably be expected to, either individually or in the aggregate, result in a Material Adverse Effect.</w:t>
      </w:r>
    </w:p>
    <w:p>
      <w:pPr>
        <w:spacing w:after="0" w:line="200" w:lineRule="exact"/>
        <w:rPr>
          <w:rFonts w:ascii="Arial" w:cs="Arial" w:eastAsia="Arial" w:hAnsi="Arial"/>
          <w:sz w:val="18"/>
          <w:szCs w:val="18"/>
          <w:color w:val="auto"/>
        </w:rPr>
      </w:pPr>
    </w:p>
    <w:p>
      <w:pPr>
        <w:ind w:right="20" w:firstLine="656"/>
        <w:spacing w:after="0" w:line="289" w:lineRule="auto"/>
        <w:tabs>
          <w:tab w:leader="none" w:pos="1496" w:val="left"/>
        </w:tabs>
        <w:numPr>
          <w:ilvl w:val="0"/>
          <w:numId w:val="106"/>
        </w:numPr>
        <w:rPr>
          <w:rFonts w:ascii="Arial" w:cs="Arial" w:eastAsia="Arial" w:hAnsi="Arial"/>
          <w:sz w:val="18"/>
          <w:szCs w:val="18"/>
          <w:color w:val="auto"/>
        </w:rPr>
      </w:pPr>
      <w:r>
        <w:rPr>
          <w:rFonts w:ascii="Arial" w:cs="Arial" w:eastAsia="Arial" w:hAnsi="Arial"/>
          <w:sz w:val="20"/>
          <w:szCs w:val="20"/>
          <w:color w:val="auto"/>
        </w:rPr>
        <w:t>There shall be no action, suit, investigation or proceeding pending or, to the knowledge of the Borrower, threatened in any court or before any arbitrator or Governmental Authority with respect to the Permian Acquisition.</w:t>
      </w:r>
    </w:p>
    <w:p>
      <w:pPr>
        <w:spacing w:after="0" w:line="188" w:lineRule="exact"/>
        <w:rPr>
          <w:rFonts w:ascii="Arial" w:cs="Arial" w:eastAsia="Arial" w:hAnsi="Arial"/>
          <w:sz w:val="18"/>
          <w:szCs w:val="18"/>
          <w:color w:val="auto"/>
        </w:rPr>
      </w:pPr>
    </w:p>
    <w:p>
      <w:pPr>
        <w:ind w:firstLine="656"/>
        <w:spacing w:after="0" w:line="316" w:lineRule="auto"/>
        <w:tabs>
          <w:tab w:leader="none" w:pos="1506" w:val="left"/>
        </w:tabs>
        <w:numPr>
          <w:ilvl w:val="0"/>
          <w:numId w:val="106"/>
        </w:numPr>
        <w:rPr>
          <w:rFonts w:ascii="Arial" w:cs="Arial" w:eastAsia="Arial" w:hAnsi="Arial"/>
          <w:sz w:val="17"/>
          <w:szCs w:val="17"/>
          <w:color w:val="auto"/>
        </w:rPr>
      </w:pPr>
      <w:r>
        <w:rPr>
          <w:rFonts w:ascii="Arial" w:cs="Arial" w:eastAsia="Arial" w:hAnsi="Arial"/>
          <w:sz w:val="19"/>
          <w:szCs w:val="19"/>
          <w:color w:val="auto"/>
        </w:rPr>
        <w:t>All material consents and approvals of any Governmental Authority or third party necessary in order to borrow under the Loan Agreement and to consummate the Permian Acquisition shall have been obtained and shall be in full force and effect.</w:t>
      </w:r>
    </w:p>
    <w:p>
      <w:pPr>
        <w:spacing w:after="0" w:line="167" w:lineRule="exact"/>
        <w:rPr>
          <w:rFonts w:ascii="Arial" w:cs="Arial" w:eastAsia="Arial" w:hAnsi="Arial"/>
          <w:sz w:val="17"/>
          <w:szCs w:val="17"/>
          <w:color w:val="auto"/>
        </w:rPr>
      </w:pPr>
    </w:p>
    <w:p>
      <w:pPr>
        <w:jc w:val="both"/>
        <w:ind w:firstLine="656"/>
        <w:spacing w:after="0" w:line="272" w:lineRule="auto"/>
        <w:tabs>
          <w:tab w:leader="none" w:pos="1496" w:val="left"/>
        </w:tabs>
        <w:numPr>
          <w:ilvl w:val="0"/>
          <w:numId w:val="106"/>
        </w:numPr>
        <w:rPr>
          <w:rFonts w:ascii="Arial" w:cs="Arial" w:eastAsia="Arial" w:hAnsi="Arial"/>
          <w:sz w:val="18"/>
          <w:szCs w:val="18"/>
          <w:color w:val="auto"/>
        </w:rPr>
      </w:pPr>
      <w:r>
        <w:rPr>
          <w:rFonts w:ascii="Arial" w:cs="Arial" w:eastAsia="Arial" w:hAnsi="Arial"/>
          <w:sz w:val="20"/>
          <w:szCs w:val="20"/>
          <w:color w:val="auto"/>
        </w:rPr>
        <w:t>(i) The Permian Acquisition shall have been, or concurrently with the funding of Loans on the Second Amendment Effective Date, shall be, consummated in accordance in all material respects with the terms of the Permian Acquisition Agreement, and (ii) no provision of the Permian Acquisition Agreement, in the form of the Permian Acquisition Agreement as in effect on January 7, 2014 and provided to the Arrangers, shall have been waived, amended, supplemented or otherwise modified, and no consent or request by the Borrower or any of its Subsidiaries shall have been provided thereunder, in each case in a manner which is materially adverse to the interests of the Lenders without the Arrangers’ written consent.</w:t>
      </w:r>
    </w:p>
    <w:p>
      <w:pPr>
        <w:spacing w:after="0" w:line="205" w:lineRule="exact"/>
        <w:rPr>
          <w:rFonts w:ascii="Arial" w:cs="Arial" w:eastAsia="Arial" w:hAnsi="Arial"/>
          <w:sz w:val="18"/>
          <w:szCs w:val="18"/>
          <w:color w:val="auto"/>
        </w:rPr>
      </w:pPr>
    </w:p>
    <w:p>
      <w:pPr>
        <w:ind w:left="1480" w:hanging="824"/>
        <w:spacing w:after="0"/>
        <w:tabs>
          <w:tab w:leader="none" w:pos="1480" w:val="left"/>
        </w:tabs>
        <w:numPr>
          <w:ilvl w:val="0"/>
          <w:numId w:val="106"/>
        </w:numPr>
        <w:rPr>
          <w:rFonts w:ascii="Arial" w:cs="Arial" w:eastAsia="Arial" w:hAnsi="Arial"/>
          <w:sz w:val="18"/>
          <w:szCs w:val="18"/>
          <w:color w:val="auto"/>
        </w:rPr>
      </w:pPr>
      <w:r>
        <w:rPr>
          <w:rFonts w:ascii="Arial" w:cs="Arial" w:eastAsia="Arial" w:hAnsi="Arial"/>
          <w:sz w:val="20"/>
          <w:szCs w:val="20"/>
          <w:color w:val="auto"/>
        </w:rPr>
        <w:t>Both before and immediately after giving effect to the Transactions, no Default shall exist.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83" w:lineRule="exact"/>
        <w:rPr>
          <w:sz w:val="20"/>
          <w:szCs w:val="20"/>
          <w:color w:val="auto"/>
        </w:rPr>
      </w:pPr>
    </w:p>
    <w:p>
      <w:pPr>
        <w:jc w:val="both"/>
        <w:ind w:firstLine="656"/>
        <w:spacing w:after="0" w:line="278" w:lineRule="auto"/>
        <w:tabs>
          <w:tab w:leader="none" w:pos="1506" w:val="left"/>
        </w:tabs>
        <w:numPr>
          <w:ilvl w:val="0"/>
          <w:numId w:val="107"/>
        </w:numPr>
        <w:rPr>
          <w:rFonts w:ascii="Arial" w:cs="Arial" w:eastAsia="Arial" w:hAnsi="Arial"/>
          <w:sz w:val="18"/>
          <w:szCs w:val="18"/>
          <w:color w:val="auto"/>
        </w:rPr>
      </w:pPr>
      <w:r>
        <w:rPr>
          <w:rFonts w:ascii="Arial" w:cs="Arial" w:eastAsia="Arial" w:hAnsi="Arial"/>
          <w:sz w:val="20"/>
          <w:szCs w:val="20"/>
          <w:color w:val="auto"/>
        </w:rPr>
        <w:t>The Administrative Agent shall have received, to the extent not previously delivered and to the extent requested all documentation and other information required by regulatory authorities under applicable “know your customer” and anti-money laundering rules and regulations, including the USA Patriot Act.</w:t>
      </w:r>
    </w:p>
    <w:p>
      <w:pPr>
        <w:spacing w:after="0" w:line="200" w:lineRule="exact"/>
        <w:rPr>
          <w:rFonts w:ascii="Arial" w:cs="Arial" w:eastAsia="Arial" w:hAnsi="Arial"/>
          <w:sz w:val="18"/>
          <w:szCs w:val="18"/>
          <w:color w:val="auto"/>
        </w:rPr>
      </w:pPr>
    </w:p>
    <w:p>
      <w:pPr>
        <w:ind w:firstLine="656"/>
        <w:spacing w:after="0" w:line="289" w:lineRule="auto"/>
        <w:tabs>
          <w:tab w:leader="none" w:pos="1506" w:val="left"/>
        </w:tabs>
        <w:numPr>
          <w:ilvl w:val="0"/>
          <w:numId w:val="107"/>
        </w:numPr>
        <w:rPr>
          <w:rFonts w:ascii="Arial" w:cs="Arial" w:eastAsia="Arial" w:hAnsi="Arial"/>
          <w:sz w:val="18"/>
          <w:szCs w:val="18"/>
          <w:color w:val="auto"/>
        </w:rPr>
      </w:pPr>
      <w:r>
        <w:rPr>
          <w:rFonts w:ascii="Arial" w:cs="Arial" w:eastAsia="Arial" w:hAnsi="Arial"/>
          <w:sz w:val="20"/>
          <w:szCs w:val="20"/>
          <w:color w:val="auto"/>
        </w:rPr>
        <w:t>The Borrower shall have paid all Lender upfront fees, Arranger fees and the Administrative Agent and Arranger expenses, including Attorney Costs of one counsel to the Administrative Agent and Wells Fargo Securities, LLC.</w:t>
      </w:r>
    </w:p>
    <w:p>
      <w:pPr>
        <w:spacing w:after="0" w:line="188" w:lineRule="exact"/>
        <w:rPr>
          <w:rFonts w:ascii="Arial" w:cs="Arial" w:eastAsia="Arial" w:hAnsi="Arial"/>
          <w:sz w:val="18"/>
          <w:szCs w:val="18"/>
          <w:color w:val="auto"/>
        </w:rPr>
      </w:pPr>
    </w:p>
    <w:p>
      <w:pPr>
        <w:ind w:left="1480" w:hanging="824"/>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20"/>
          <w:szCs w:val="20"/>
          <w:color w:val="auto"/>
        </w:rPr>
        <w:t>The Second Amendment Effective Date shall occur on or prior to February 28, 2014.</w:t>
      </w:r>
    </w:p>
    <w:p>
      <w:pPr>
        <w:spacing w:after="0" w:line="250" w:lineRule="exact"/>
        <w:rPr>
          <w:sz w:val="20"/>
          <w:szCs w:val="20"/>
          <w:color w:val="auto"/>
        </w:rPr>
      </w:pPr>
    </w:p>
    <w:p>
      <w:pPr>
        <w:ind w:firstLine="656"/>
        <w:spacing w:after="0" w:line="295" w:lineRule="auto"/>
        <w:tabs>
          <w:tab w:leader="none" w:pos="1431" w:val="left"/>
        </w:tabs>
        <w:numPr>
          <w:ilvl w:val="0"/>
          <w:numId w:val="108"/>
        </w:numPr>
        <w:rPr>
          <w:rFonts w:ascii="Arial" w:cs="Arial" w:eastAsia="Arial" w:hAnsi="Arial"/>
          <w:sz w:val="18"/>
          <w:szCs w:val="18"/>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represents and warrants that on the Second Amendment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both before and after giving effect to the Transactions:</w:t>
      </w:r>
    </w:p>
    <w:p>
      <w:pPr>
        <w:spacing w:after="0" w:line="183" w:lineRule="exact"/>
        <w:rPr>
          <w:sz w:val="20"/>
          <w:szCs w:val="20"/>
          <w:color w:val="auto"/>
        </w:rPr>
      </w:pPr>
    </w:p>
    <w:p>
      <w:pPr>
        <w:jc w:val="both"/>
        <w:ind w:firstLine="656"/>
        <w:spacing w:after="0" w:line="314" w:lineRule="auto"/>
        <w:tabs>
          <w:tab w:leader="none" w:pos="1496" w:val="left"/>
        </w:tabs>
        <w:numPr>
          <w:ilvl w:val="0"/>
          <w:numId w:val="109"/>
        </w:numPr>
        <w:rPr>
          <w:rFonts w:ascii="Arial" w:cs="Arial" w:eastAsia="Arial" w:hAnsi="Arial"/>
          <w:sz w:val="16"/>
          <w:szCs w:val="16"/>
          <w:color w:val="auto"/>
        </w:rPr>
      </w:pPr>
      <w:r>
        <w:rPr>
          <w:rFonts w:ascii="Arial" w:cs="Arial" w:eastAsia="Arial" w:hAnsi="Arial"/>
          <w:sz w:val="18"/>
          <w:szCs w:val="18"/>
          <w:color w:val="auto"/>
        </w:rPr>
        <w:t>This Amendment has been duly authorized, executed and delivered by the Borrower, and this Amendment and the Loan Agreement as modified hereby each constitutes a legal, valid and binding obligation of the Borrower enforceable in accordance with its respective terms, except as such enforcement may be limited by bankruptcy, insolvency or similar Laws of general application relating to the enforcement of creditors’ rights or by general principles of equity, regardless of whether considered in a proceeding in equity or at law.</w:t>
      </w:r>
    </w:p>
    <w:p>
      <w:pPr>
        <w:spacing w:after="0" w:line="172" w:lineRule="exact"/>
        <w:rPr>
          <w:rFonts w:ascii="Arial" w:cs="Arial" w:eastAsia="Arial" w:hAnsi="Arial"/>
          <w:sz w:val="16"/>
          <w:szCs w:val="16"/>
          <w:color w:val="auto"/>
        </w:rPr>
      </w:pPr>
    </w:p>
    <w:p>
      <w:pPr>
        <w:jc w:val="both"/>
        <w:ind w:firstLine="656"/>
        <w:spacing w:after="0" w:line="271" w:lineRule="auto"/>
        <w:tabs>
          <w:tab w:leader="none" w:pos="1506" w:val="left"/>
        </w:tabs>
        <w:numPr>
          <w:ilvl w:val="0"/>
          <w:numId w:val="109"/>
        </w:numPr>
        <w:rPr>
          <w:rFonts w:ascii="Arial" w:cs="Arial" w:eastAsia="Arial" w:hAnsi="Arial"/>
          <w:sz w:val="18"/>
          <w:szCs w:val="18"/>
          <w:color w:val="auto"/>
        </w:rPr>
      </w:pPr>
      <w:r>
        <w:rPr>
          <w:rFonts w:ascii="Arial" w:cs="Arial" w:eastAsia="Arial" w:hAnsi="Arial"/>
          <w:sz w:val="20"/>
          <w:szCs w:val="20"/>
          <w:color w:val="auto"/>
        </w:rPr>
        <w:t>The Specified Representations (hereinafter defined) are true and correct in all material respects (except that such materiality qualifier shall not be applicable to representations and warranties that already are qualified or modified by materiality in the text thereof), except to the extent that such representations and warranties specifically refer to an earlier date, in which case they shall be true and correct in all material respects (except that such materiality qualifier shall not be applicable to representations and warranties that already are qualified or modified by materiality in the text thereof) as of such earlier date. “</w:t>
      </w:r>
      <w:r>
        <w:rPr>
          <w:rFonts w:ascii="Arial" w:cs="Arial" w:eastAsia="Arial" w:hAnsi="Arial"/>
          <w:sz w:val="20"/>
          <w:szCs w:val="20"/>
          <w:u w:val="single" w:color="auto"/>
          <w:color w:val="auto"/>
        </w:rPr>
        <w:t>Specified Representations</w:t>
      </w:r>
      <w:r>
        <w:rPr>
          <w:rFonts w:ascii="Arial" w:cs="Arial" w:eastAsia="Arial" w:hAnsi="Arial"/>
          <w:sz w:val="20"/>
          <w:szCs w:val="20"/>
          <w:color w:val="auto"/>
        </w:rPr>
        <w:t xml:space="preserve">” means the representations and warranties of the Borrower set forth in </w:t>
      </w:r>
      <w:r>
        <w:rPr>
          <w:rFonts w:ascii="Arial" w:cs="Arial" w:eastAsia="Arial" w:hAnsi="Arial"/>
          <w:sz w:val="20"/>
          <w:szCs w:val="20"/>
          <w:i w:val="1"/>
          <w:iCs w:val="1"/>
          <w:color w:val="auto"/>
        </w:rPr>
        <w:t>Section 5.02</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5.03</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5.04</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5.05</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5.15</w:t>
      </w:r>
      <w:r>
        <w:rPr>
          <w:rFonts w:ascii="Arial" w:cs="Arial" w:eastAsia="Arial" w:hAnsi="Arial"/>
          <w:sz w:val="20"/>
          <w:szCs w:val="20"/>
          <w:color w:val="auto"/>
        </w:rPr>
        <w:t xml:space="preserve"> and </w:t>
      </w:r>
      <w:r>
        <w:rPr>
          <w:rFonts w:ascii="Arial" w:cs="Arial" w:eastAsia="Arial" w:hAnsi="Arial"/>
          <w:sz w:val="20"/>
          <w:szCs w:val="20"/>
          <w:i w:val="1"/>
          <w:iCs w:val="1"/>
          <w:color w:val="auto"/>
        </w:rPr>
        <w:t>Section 5.16</w:t>
      </w:r>
      <w:r>
        <w:rPr>
          <w:rFonts w:ascii="Arial" w:cs="Arial" w:eastAsia="Arial" w:hAnsi="Arial"/>
          <w:sz w:val="20"/>
          <w:szCs w:val="20"/>
          <w:color w:val="auto"/>
        </w:rPr>
        <w:t xml:space="preserve"> (after giving effect to the Transactions) of the Loan Agreement.</w:t>
      </w:r>
    </w:p>
    <w:p>
      <w:pPr>
        <w:spacing w:after="0" w:line="207" w:lineRule="exact"/>
        <w:rPr>
          <w:rFonts w:ascii="Arial" w:cs="Arial" w:eastAsia="Arial" w:hAnsi="Arial"/>
          <w:sz w:val="18"/>
          <w:szCs w:val="18"/>
          <w:color w:val="auto"/>
        </w:rPr>
      </w:pPr>
    </w:p>
    <w:p>
      <w:pPr>
        <w:jc w:val="both"/>
        <w:ind w:firstLine="656"/>
        <w:spacing w:after="0" w:line="270" w:lineRule="auto"/>
        <w:tabs>
          <w:tab w:leader="none" w:pos="1496" w:val="left"/>
        </w:tabs>
        <w:numPr>
          <w:ilvl w:val="0"/>
          <w:numId w:val="109"/>
        </w:numPr>
        <w:rPr>
          <w:rFonts w:ascii="Arial" w:cs="Arial" w:eastAsia="Arial" w:hAnsi="Arial"/>
          <w:sz w:val="18"/>
          <w:szCs w:val="18"/>
          <w:color w:val="auto"/>
        </w:rPr>
      </w:pPr>
      <w:r>
        <w:rPr>
          <w:rFonts w:ascii="Arial" w:cs="Arial" w:eastAsia="Arial" w:hAnsi="Arial"/>
          <w:sz w:val="20"/>
          <w:szCs w:val="20"/>
          <w:color w:val="auto"/>
        </w:rPr>
        <w:t>The Permian Acquisition Agreement Representations (hereinafter defined) are true and correct in all material respects (except that such materiality qualifier shall not be applicable to representations and warranties that already are qualified or modified by materiality in the text thereof), except to the extent that such representations and warranties specifically refer to an earlier date, in which case they shall be true and correct in all material respects (except that such materiality qualifier shall not be applicable to representations and warranties that already are qualified or modified by materiality in the text thereof) as of such earlier date. “</w:t>
      </w:r>
      <w:r>
        <w:rPr>
          <w:rFonts w:ascii="Arial" w:cs="Arial" w:eastAsia="Arial" w:hAnsi="Arial"/>
          <w:sz w:val="20"/>
          <w:szCs w:val="20"/>
          <w:u w:val="single" w:color="auto"/>
          <w:color w:val="auto"/>
        </w:rPr>
        <w:t>Permian Acquisition Agreement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Representations</w:t>
      </w:r>
      <w:r>
        <w:rPr>
          <w:rFonts w:ascii="Arial" w:cs="Arial" w:eastAsia="Arial" w:hAnsi="Arial"/>
          <w:sz w:val="20"/>
          <w:szCs w:val="20"/>
          <w:color w:val="auto"/>
        </w:rPr>
        <w:t>” means the representations made by or on behalf of the Seller (as defined in the Permian Acquisition Agreement) as are material to the interests of the Lenders, but only to the extent the Borrower has (or its applicable affiliate has) the right to terminate its obligations under the Permian Acquisition Agreement (or the right not to consummate the Permian Acquisition) as a result of a breach of such representations in the Permian Acquisition Agreement.</w:t>
      </w:r>
    </w:p>
    <w:p>
      <w:pPr>
        <w:spacing w:after="0" w:line="210" w:lineRule="exact"/>
        <w:rPr>
          <w:rFonts w:ascii="Arial" w:cs="Arial" w:eastAsia="Arial" w:hAnsi="Arial"/>
          <w:sz w:val="18"/>
          <w:szCs w:val="18"/>
          <w:color w:val="auto"/>
        </w:rPr>
      </w:pPr>
    </w:p>
    <w:p>
      <w:pPr>
        <w:ind w:left="1520" w:hanging="864"/>
        <w:spacing w:after="0"/>
        <w:tabs>
          <w:tab w:leader="none" w:pos="1520" w:val="left"/>
        </w:tabs>
        <w:numPr>
          <w:ilvl w:val="0"/>
          <w:numId w:val="109"/>
        </w:numPr>
        <w:rPr>
          <w:rFonts w:ascii="Arial" w:cs="Arial" w:eastAsia="Arial" w:hAnsi="Arial"/>
          <w:sz w:val="18"/>
          <w:szCs w:val="18"/>
          <w:color w:val="auto"/>
        </w:rPr>
      </w:pPr>
      <w:r>
        <w:rPr>
          <w:rFonts w:ascii="Arial" w:cs="Arial" w:eastAsia="Arial" w:hAnsi="Arial"/>
          <w:sz w:val="20"/>
          <w:szCs w:val="20"/>
          <w:color w:val="auto"/>
        </w:rPr>
        <w:t>No Default exists.</w:t>
      </w:r>
    </w:p>
    <w:p>
      <w:pPr>
        <w:spacing w:after="0" w:line="256" w:lineRule="exact"/>
        <w:rPr>
          <w:rFonts w:ascii="Arial" w:cs="Arial" w:eastAsia="Arial" w:hAnsi="Arial"/>
          <w:sz w:val="18"/>
          <w:szCs w:val="18"/>
          <w:color w:val="auto"/>
        </w:rPr>
      </w:pPr>
    </w:p>
    <w:p>
      <w:pPr>
        <w:jc w:val="both"/>
        <w:ind w:firstLine="656"/>
        <w:spacing w:after="0" w:line="273" w:lineRule="auto"/>
        <w:tabs>
          <w:tab w:leader="none" w:pos="1496" w:val="left"/>
        </w:tabs>
        <w:numPr>
          <w:ilvl w:val="0"/>
          <w:numId w:val="109"/>
        </w:numPr>
        <w:rPr>
          <w:rFonts w:ascii="Arial" w:cs="Arial" w:eastAsia="Arial" w:hAnsi="Arial"/>
          <w:sz w:val="18"/>
          <w:szCs w:val="18"/>
          <w:color w:val="auto"/>
        </w:rPr>
      </w:pPr>
      <w:r>
        <w:rPr>
          <w:rFonts w:ascii="Arial" w:cs="Arial" w:eastAsia="Arial" w:hAnsi="Arial"/>
          <w:sz w:val="20"/>
          <w:szCs w:val="20"/>
          <w:color w:val="auto"/>
        </w:rPr>
        <w:t>The Borrower has received (i) all approvals required by the Organization Documents of the Borrower for the consummation of the Permian Acquisition and (ii) all material consents and approvals of Governmental Authorities required for the consummation of the Permian Acquisition. The Permian Acquisition has been consummated or is being consummated on the Second Amendment Effective Date in accordance in all material respects with the terms of the Permian Acquisition Agreement and in compliance in all material respects with applicable Laws and regulatory approvals.</w:t>
      </w:r>
    </w:p>
    <w:p>
      <w:pPr>
        <w:spacing w:after="0" w:line="199" w:lineRule="exact"/>
        <w:rPr>
          <w:sz w:val="20"/>
          <w:szCs w:val="20"/>
          <w:color w:val="auto"/>
        </w:rPr>
      </w:pPr>
    </w:p>
    <w:p>
      <w:pPr>
        <w:jc w:val="both"/>
        <w:ind w:firstLine="656"/>
        <w:spacing w:after="0" w:line="274" w:lineRule="auto"/>
        <w:tabs>
          <w:tab w:leader="none" w:pos="1431" w:val="left"/>
        </w:tabs>
        <w:numPr>
          <w:ilvl w:val="0"/>
          <w:numId w:val="110"/>
        </w:numPr>
        <w:rPr>
          <w:rFonts w:ascii="Arial" w:cs="Arial" w:eastAsia="Arial" w:hAnsi="Arial"/>
          <w:sz w:val="18"/>
          <w:szCs w:val="18"/>
          <w:color w:val="auto"/>
        </w:rPr>
      </w:pPr>
      <w:r>
        <w:rPr>
          <w:rFonts w:ascii="Arial" w:cs="Arial" w:eastAsia="Arial" w:hAnsi="Arial"/>
          <w:sz w:val="20"/>
          <w:szCs w:val="20"/>
          <w:b w:val="1"/>
          <w:bCs w:val="1"/>
          <w:u w:val="single" w:color="auto"/>
          <w:color w:val="auto"/>
        </w:rPr>
        <w:t>Effect of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except as expressly provided herein, shall not be deemed to be a consent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modification or waiver of any other term or condition of the Existing Loan Agreement. Except as otherwise expressly provided by this Amendment, all of the terms, conditions and provisions of the Existing Loan Agreement and the other Loan Documents shall remain the same, and are hereby ratified and affirmed, and the Loan Agreement, as amended hereby, and the other Loan Documents shall continue in full force and effect. From and after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8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date hereof, each reference in the Loan Agreement, including the schedules and exhibits thereto and the other documents delivered in connection therewith, to the “Loan Agreement,” “this Amendment,” “hereunder,” “hereof,” “herein,” or words of like import, shall mean and be a reference to the Loan Agreement as amended hereby.</w:t>
      </w:r>
    </w:p>
    <w:p>
      <w:pPr>
        <w:spacing w:after="0" w:line="194" w:lineRule="exact"/>
        <w:rPr>
          <w:sz w:val="20"/>
          <w:szCs w:val="20"/>
          <w:color w:val="auto"/>
        </w:rPr>
      </w:pPr>
    </w:p>
    <w:p>
      <w:pPr>
        <w:jc w:val="both"/>
        <w:ind w:firstLine="656"/>
        <w:spacing w:after="0" w:line="311" w:lineRule="auto"/>
        <w:tabs>
          <w:tab w:leader="none" w:pos="1431" w:val="left"/>
        </w:tabs>
        <w:numPr>
          <w:ilvl w:val="0"/>
          <w:numId w:val="111"/>
        </w:numPr>
        <w:rPr>
          <w:rFonts w:ascii="Arial" w:cs="Arial" w:eastAsia="Arial" w:hAnsi="Arial"/>
          <w:sz w:val="16"/>
          <w:szCs w:val="16"/>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for all purposes be construed in accordance with and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New York. The captions in this Amendment are for convenience of reference only and shall not define or limit the provisions hereof. This Amendment may be executed in one or more counterparts, each of which shall be deemed an original but all of which together shall constitute one and the same instrument. Delivery of an executed counterpart of this Amendment by facsimile or in electronic form shall be effective as the delivery of a manually executed counterpart. This Amendment shall be a “Loan Document” as defined in the Loan Agreement.</w:t>
      </w:r>
    </w:p>
    <w:p>
      <w:pPr>
        <w:spacing w:after="0" w:line="171" w:lineRule="exact"/>
        <w:rPr>
          <w:rFonts w:ascii="Arial" w:cs="Arial" w:eastAsia="Arial" w:hAnsi="Arial"/>
          <w:sz w:val="16"/>
          <w:szCs w:val="16"/>
          <w:color w:val="auto"/>
        </w:rPr>
      </w:pPr>
    </w:p>
    <w:p>
      <w:pPr>
        <w:jc w:val="both"/>
        <w:ind w:firstLine="656"/>
        <w:spacing w:after="0" w:line="267" w:lineRule="auto"/>
        <w:tabs>
          <w:tab w:leader="none" w:pos="1431" w:val="left"/>
        </w:tabs>
        <w:numPr>
          <w:ilvl w:val="0"/>
          <w:numId w:val="111"/>
        </w:numPr>
        <w:rPr>
          <w:rFonts w:ascii="Arial" w:cs="Arial" w:eastAsia="Arial" w:hAnsi="Arial"/>
          <w:sz w:val="18"/>
          <w:szCs w:val="18"/>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LOAN AGREEMENT (AS AMENDED BY THIS AMENDMENT) AND THE OTHER LOAN</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REPRESENT THE FINAL AGREEMENT BETWEEN THE PARTIES AND MAY NOT BE CONTRADICTED BY EVIDENCE OF PRIOR, CONTEMPORANEOUS OR SUBSEQUENT ORAL AGREEMENTS OF THE PARTIES. THERE ARE NO UNWRITTEN ORAL AGREEMENTS BETWEEN THE PARTIES.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proper and duly authorized officers effective as of the date first written above.</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QEP RESOURCES, INC., as the Borrower</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Richard J. Doleshek</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Richard J. Doleshek</w:t>
      </w:r>
    </w:p>
    <w:p>
      <w:pPr>
        <w:ind w:left="3900"/>
        <w:spacing w:after="0"/>
        <w:rPr>
          <w:sz w:val="20"/>
          <w:szCs w:val="20"/>
          <w:color w:val="auto"/>
        </w:rPr>
      </w:pPr>
      <w:r>
        <w:rPr>
          <w:rFonts w:ascii="Arial" w:cs="Arial" w:eastAsia="Arial" w:hAnsi="Arial"/>
          <w:sz w:val="20"/>
          <w:szCs w:val="20"/>
          <w:color w:val="auto"/>
        </w:rPr>
        <w:t>Title: Executive Vice President and Chief Financial Officer</w:t>
      </w:r>
    </w:p>
    <w:p>
      <w:pPr>
        <w:spacing w:after="0" w:line="200" w:lineRule="exact"/>
        <w:rPr>
          <w:sz w:val="20"/>
          <w:szCs w:val="20"/>
          <w:color w:val="auto"/>
        </w:rPr>
      </w:pPr>
    </w:p>
    <w:p>
      <w:pPr>
        <w:ind w:left="3900" w:right="100"/>
        <w:spacing w:after="0" w:line="260" w:lineRule="auto"/>
        <w:rPr>
          <w:sz w:val="20"/>
          <w:szCs w:val="20"/>
          <w:color w:val="auto"/>
        </w:rPr>
      </w:pPr>
      <w:r>
        <w:rPr>
          <w:rFonts w:ascii="Arial" w:cs="Arial" w:eastAsia="Arial" w:hAnsi="Arial"/>
          <w:sz w:val="20"/>
          <w:szCs w:val="20"/>
          <w:color w:val="auto"/>
        </w:rPr>
        <w:t>WELLS FARGO BANK, NATIONAL ASSOCIATION, as Administrative Agent, L/C Issuer, Swing Line Lender and a Lender</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Leanne S. Phillips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Leanne S. Phillips</w:t>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BMO CAPITAL MARKETS FINANCING, INC., as a Lender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Utsey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Kevin Utsey</w:t>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THE BANK OF TOKYO-MITSUBISHI UFJ, LTD., as a Lender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Mark Oberreuter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Mark Oberreuter</w:t>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CITIBANK, N.A., as a Lender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Miller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John Miller</w:t>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COMPASS BANK, as a Lender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Neblett</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James Neblett</w:t>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SUNTRUST BANK,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Shannon Juhan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Shannon Juhan</w:t>
      </w:r>
    </w:p>
    <w:p>
      <w:pPr>
        <w:ind w:left="2700"/>
        <w:spacing w:after="0"/>
        <w:rPr>
          <w:sz w:val="20"/>
          <w:szCs w:val="20"/>
          <w:color w:val="auto"/>
        </w:rPr>
      </w:pPr>
      <w:r>
        <w:rPr>
          <w:rFonts w:ascii="Arial" w:cs="Arial" w:eastAsia="Arial" w:hAnsi="Arial"/>
          <w:sz w:val="20"/>
          <w:szCs w:val="20"/>
          <w:color w:val="auto"/>
        </w:rPr>
        <w:t>Title:Vice President</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U.S. BANK NATIONAL ASSOCIATION,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Justin M. Alexander</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Justin M. Alexander</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BRANCH BANKING AND TRUST COMPANY, as a Lender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Giordano</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James Giordano</w:t>
      </w:r>
    </w:p>
    <w:p>
      <w:pPr>
        <w:ind w:left="27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EXPORT DEVELOPMENT CANADA, as a Lender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Christopher Wilson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Christopher Wilson</w:t>
      </w:r>
    </w:p>
    <w:p>
      <w:pPr>
        <w:ind w:left="2700"/>
        <w:spacing w:after="0"/>
        <w:rPr>
          <w:sz w:val="20"/>
          <w:szCs w:val="20"/>
          <w:color w:val="auto"/>
        </w:rPr>
      </w:pPr>
      <w:r>
        <w:rPr>
          <w:rFonts w:ascii="Arial" w:cs="Arial" w:eastAsia="Arial" w:hAnsi="Arial"/>
          <w:sz w:val="20"/>
          <w:szCs w:val="20"/>
          <w:color w:val="auto"/>
        </w:rPr>
        <w:t>Title: Senior Associate</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Ranya Gabriel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Ranya Gabriel</w:t>
      </w:r>
    </w:p>
    <w:p>
      <w:pPr>
        <w:ind w:left="2700"/>
        <w:spacing w:after="0"/>
        <w:rPr>
          <w:sz w:val="20"/>
          <w:szCs w:val="20"/>
          <w:color w:val="auto"/>
        </w:rPr>
      </w:pPr>
      <w:r>
        <w:rPr>
          <w:rFonts w:ascii="Arial" w:cs="Arial" w:eastAsia="Arial" w:hAnsi="Arial"/>
          <w:sz w:val="20"/>
          <w:szCs w:val="20"/>
          <w:color w:val="auto"/>
        </w:rPr>
        <w:t>Title: Financing Manager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CAPITAL ONE, NATIONAL ASSOCIATION, as a Lender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James</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Robert James</w:t>
      </w:r>
    </w:p>
    <w:p>
      <w:pPr>
        <w:ind w:left="27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CREDIT AGRICOLE CORPORATE AND INVESTMENT</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BANK, as a Lender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Willis</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Michael Willis</w:t>
      </w:r>
    </w:p>
    <w:p>
      <w:pPr>
        <w:ind w:left="27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Sharada Manne</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Sharada Manne</w:t>
      </w:r>
    </w:p>
    <w:p>
      <w:pPr>
        <w:ind w:left="270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PNC BANK, NATIONAL ASSOCIATION, as a Lender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Berry</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John Berry</w:t>
      </w:r>
    </w:p>
    <w:p>
      <w:pPr>
        <w:ind w:left="270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220"/>
          </w:cols>
          <w:pgMar w:left="1440" w:top="121"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20"/>
          </w:cols>
          <w:pgMar w:left="1440" w:top="121" w:right="239"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COMERICA BANK, as a Lender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Mark Fuqua</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Mark Fuqua</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DNB CAPITAL LLC, as a Lender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Joe Hykle</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Joe Hykle</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Asuiv Tvelt</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Asuiv Tvelt</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FIFTH THIRD BANK, as a Lender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Byron L. Cooley</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Byron L. Cooley</w:t>
      </w:r>
    </w:p>
    <w:p>
      <w:pPr>
        <w:ind w:left="2700"/>
        <w:spacing w:after="0"/>
        <w:rPr>
          <w:sz w:val="20"/>
          <w:szCs w:val="20"/>
          <w:color w:val="auto"/>
        </w:rPr>
      </w:pPr>
      <w:r>
        <w:rPr>
          <w:rFonts w:ascii="Arial" w:cs="Arial" w:eastAsia="Arial" w:hAnsi="Arial"/>
          <w:sz w:val="20"/>
          <w:szCs w:val="20"/>
          <w:color w:val="auto"/>
        </w:rPr>
        <w:t>Title: Executive Director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SUMITOMO MITSUI BANKING CORPORATION, NY BRANCH, as a Lender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D. Weinstein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James D. Weinstein</w:t>
      </w:r>
    </w:p>
    <w:p>
      <w:pPr>
        <w:ind w:left="2700"/>
        <w:spacing w:after="0"/>
        <w:rPr>
          <w:sz w:val="20"/>
          <w:szCs w:val="20"/>
          <w:color w:val="auto"/>
        </w:rPr>
      </w:pPr>
      <w:r>
        <w:rPr>
          <w:rFonts w:ascii="Arial" w:cs="Arial" w:eastAsia="Arial" w:hAnsi="Arial"/>
          <w:sz w:val="20"/>
          <w:szCs w:val="20"/>
          <w:color w:val="auto"/>
        </w:rPr>
        <w:t>Title:Managing Director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DEUTSCHE BANK AG NEW YORK BRANCH, as a Lender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Getz</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Michael Getz</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Lisa Wong</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Lisa Wong</w:t>
      </w:r>
    </w:p>
    <w:p>
      <w:pPr>
        <w:ind w:left="270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GOLDMAN SACHS BANK USA, as a Lender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Mark Walton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Mark Walton</w:t>
      </w:r>
    </w:p>
    <w:p>
      <w:pPr>
        <w:ind w:left="270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JPMORGAN CHASE BANK, N.A., as a Lender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Traband</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Robert Traband</w:t>
      </w:r>
    </w:p>
    <w:p>
      <w:pPr>
        <w:ind w:left="2700"/>
        <w:spacing w:after="0"/>
        <w:rPr>
          <w:sz w:val="20"/>
          <w:szCs w:val="20"/>
          <w:color w:val="auto"/>
        </w:rPr>
      </w:pPr>
      <w:r>
        <w:rPr>
          <w:rFonts w:ascii="Arial" w:cs="Arial" w:eastAsia="Arial" w:hAnsi="Arial"/>
          <w:sz w:val="20"/>
          <w:szCs w:val="20"/>
          <w:color w:val="auto"/>
        </w:rPr>
        <w:t>Title: Managing Director</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0"/>
          </w:cols>
          <w:pgMar w:left="14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Annex A</w:t>
      </w:r>
    </w:p>
    <w:p>
      <w:pPr>
        <w:spacing w:after="0" w:line="200" w:lineRule="exact"/>
        <w:rPr>
          <w:sz w:val="20"/>
          <w:szCs w:val="20"/>
          <w:color w:val="auto"/>
        </w:rPr>
      </w:pPr>
    </w:p>
    <w:p>
      <w:pPr>
        <w:spacing w:after="0" w:line="232" w:lineRule="exact"/>
        <w:rPr>
          <w:sz w:val="20"/>
          <w:szCs w:val="20"/>
          <w:color w:val="auto"/>
        </w:rPr>
      </w:pPr>
    </w:p>
    <w:p>
      <w:pPr>
        <w:ind w:left="1840"/>
        <w:spacing w:after="0"/>
        <w:rPr>
          <w:sz w:val="20"/>
          <w:szCs w:val="20"/>
          <w:color w:val="auto"/>
        </w:rPr>
      </w:pPr>
      <w:r>
        <w:rPr>
          <w:rFonts w:ascii="Arial" w:cs="Arial" w:eastAsia="Arial" w:hAnsi="Arial"/>
          <w:sz w:val="20"/>
          <w:szCs w:val="20"/>
          <w:b w:val="1"/>
          <w:bCs w:val="1"/>
          <w:u w:val="single" w:color="auto"/>
          <w:color w:val="auto"/>
        </w:rPr>
        <w:t xml:space="preserve">Certain Amendments to </w:t>
      </w:r>
      <w:r>
        <w:rPr>
          <w:rFonts w:ascii="Arial" w:cs="Arial" w:eastAsia="Arial" w:hAnsi="Arial"/>
          <w:sz w:val="20"/>
          <w:szCs w:val="20"/>
          <w:b w:val="1"/>
          <w:bCs w:val="1"/>
          <w:i w:val="1"/>
          <w:iCs w:val="1"/>
          <w:u w:val="single" w:color="auto"/>
          <w:color w:val="auto"/>
        </w:rPr>
        <w:t>Article III</w:t>
      </w:r>
      <w:r>
        <w:rPr>
          <w:rFonts w:ascii="Arial" w:cs="Arial" w:eastAsia="Arial" w:hAnsi="Arial"/>
          <w:sz w:val="20"/>
          <w:szCs w:val="20"/>
          <w:b w:val="1"/>
          <w:bCs w:val="1"/>
          <w:u w:val="single" w:color="auto"/>
          <w:color w:val="auto"/>
        </w:rPr>
        <w:t xml:space="preserve"> and Certain Definitions Relating Thereto</w:t>
      </w:r>
    </w:p>
    <w:p>
      <w:pPr>
        <w:spacing w:after="0" w:line="200" w:lineRule="exact"/>
        <w:rPr>
          <w:sz w:val="20"/>
          <w:szCs w:val="20"/>
          <w:color w:val="auto"/>
        </w:rPr>
      </w:pPr>
    </w:p>
    <w:p>
      <w:pPr>
        <w:spacing w:after="0" w:line="251" w:lineRule="exact"/>
        <w:rPr>
          <w:sz w:val="20"/>
          <w:szCs w:val="20"/>
          <w:color w:val="auto"/>
        </w:rPr>
      </w:pPr>
    </w:p>
    <w:p>
      <w:pPr>
        <w:ind w:right="700" w:firstLine="645"/>
        <w:spacing w:after="0" w:line="289" w:lineRule="auto"/>
        <w:tabs>
          <w:tab w:leader="none" w:pos="1496" w:val="left"/>
        </w:tabs>
        <w:numPr>
          <w:ilvl w:val="0"/>
          <w:numId w:val="112"/>
        </w:numPr>
        <w:rPr>
          <w:rFonts w:ascii="Arial" w:cs="Arial" w:eastAsia="Arial" w:hAnsi="Arial"/>
          <w:sz w:val="18"/>
          <w:szCs w:val="18"/>
          <w:color w:val="auto"/>
        </w:rPr>
      </w:pPr>
      <w:r>
        <w:rPr>
          <w:rFonts w:ascii="Arial" w:cs="Arial" w:eastAsia="Arial" w:hAnsi="Arial"/>
          <w:sz w:val="20"/>
          <w:szCs w:val="20"/>
          <w:color w:val="auto"/>
        </w:rPr>
        <w:t xml:space="preserve">The following defined terms appearing in </w:t>
      </w:r>
      <w:r>
        <w:rPr>
          <w:rFonts w:ascii="Arial" w:cs="Arial" w:eastAsia="Arial" w:hAnsi="Arial"/>
          <w:sz w:val="20"/>
          <w:szCs w:val="20"/>
          <w:i w:val="1"/>
          <w:iCs w:val="1"/>
          <w:color w:val="auto"/>
        </w:rPr>
        <w:t>Section 1.01</w:t>
      </w:r>
      <w:r>
        <w:rPr>
          <w:rFonts w:ascii="Arial" w:cs="Arial" w:eastAsia="Arial" w:hAnsi="Arial"/>
          <w:sz w:val="20"/>
          <w:szCs w:val="20"/>
          <w:color w:val="auto"/>
        </w:rPr>
        <w:t xml:space="preserve"> (Defined Terms) of the Existing Loan Agreement are amended as set forth below:</w:t>
      </w:r>
    </w:p>
    <w:p>
      <w:pPr>
        <w:spacing w:after="0" w:line="189" w:lineRule="exact"/>
        <w:rPr>
          <w:sz w:val="20"/>
          <w:szCs w:val="20"/>
          <w:color w:val="auto"/>
        </w:rPr>
      </w:pPr>
    </w:p>
    <w:p>
      <w:pPr>
        <w:ind w:left="1460" w:hanging="815"/>
        <w:spacing w:after="0"/>
        <w:tabs>
          <w:tab w:leader="none" w:pos="1460" w:val="left"/>
        </w:tabs>
        <w:numPr>
          <w:ilvl w:val="0"/>
          <w:numId w:val="113"/>
        </w:numPr>
        <w:rPr>
          <w:rFonts w:ascii="Arial" w:cs="Arial" w:eastAsia="Arial" w:hAnsi="Arial"/>
          <w:sz w:val="18"/>
          <w:szCs w:val="18"/>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Excluded Taxes</w:t>
      </w:r>
      <w:r>
        <w:rPr>
          <w:rFonts w:ascii="Arial" w:cs="Arial" w:eastAsia="Arial" w:hAnsi="Arial"/>
          <w:sz w:val="20"/>
          <w:szCs w:val="20"/>
          <w:color w:val="auto"/>
        </w:rPr>
        <w:t>” is amended to read in its entirety as follows:</w:t>
      </w:r>
    </w:p>
    <w:p>
      <w:pPr>
        <w:spacing w:after="0" w:line="20" w:lineRule="exact"/>
        <w:rPr>
          <w:sz w:val="20"/>
          <w:szCs w:val="20"/>
          <w:color w:val="auto"/>
        </w:rPr>
      </w:pPr>
    </w:p>
    <w:p>
      <w:pPr>
        <w:jc w:val="both"/>
        <w:ind w:left="64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and (d) any U.S. federal withholding Taxes imposed under FATCA.</w:t>
      </w:r>
    </w:p>
    <w:p>
      <w:pPr>
        <w:spacing w:after="0" w:line="203" w:lineRule="exact"/>
        <w:rPr>
          <w:sz w:val="20"/>
          <w:szCs w:val="20"/>
          <w:color w:val="auto"/>
        </w:rPr>
      </w:pPr>
    </w:p>
    <w:p>
      <w:pPr>
        <w:ind w:firstLine="645"/>
        <w:spacing w:after="0" w:line="347" w:lineRule="auto"/>
        <w:tabs>
          <w:tab w:leader="none" w:pos="1516" w:val="left"/>
        </w:tabs>
        <w:numPr>
          <w:ilvl w:val="0"/>
          <w:numId w:val="114"/>
        </w:numPr>
        <w:rPr>
          <w:rFonts w:ascii="Arial" w:cs="Arial" w:eastAsia="Arial" w:hAnsi="Arial"/>
          <w:sz w:val="16"/>
          <w:szCs w:val="16"/>
          <w:color w:val="auto"/>
        </w:rPr>
      </w:pPr>
      <w:r>
        <w:rPr>
          <w:rFonts w:ascii="Arial" w:cs="Arial" w:eastAsia="Arial" w:hAnsi="Arial"/>
          <w:sz w:val="18"/>
          <w:szCs w:val="18"/>
          <w:color w:val="auto"/>
        </w:rPr>
        <w:t>The definition “</w:t>
      </w:r>
      <w:r>
        <w:rPr>
          <w:rFonts w:ascii="Arial" w:cs="Arial" w:eastAsia="Arial" w:hAnsi="Arial"/>
          <w:sz w:val="18"/>
          <w:szCs w:val="18"/>
          <w:u w:val="single" w:color="auto"/>
          <w:color w:val="auto"/>
        </w:rPr>
        <w:t>FATCA</w:t>
      </w:r>
      <w:r>
        <w:rPr>
          <w:rFonts w:ascii="Arial" w:cs="Arial" w:eastAsia="Arial" w:hAnsi="Arial"/>
          <w:sz w:val="18"/>
          <w:szCs w:val="18"/>
          <w:color w:val="auto"/>
        </w:rPr>
        <w:t>” is amended by deleting the period at the end of such definition and inserting the following: “and any agreements entered into pursuant to Section 1471(b)(1) of the Code or otherwise pursuant to any of the foregoing.”</w:t>
      </w:r>
    </w:p>
    <w:p>
      <w:pPr>
        <w:spacing w:after="0" w:line="144" w:lineRule="exact"/>
        <w:rPr>
          <w:rFonts w:ascii="Arial" w:cs="Arial" w:eastAsia="Arial" w:hAnsi="Arial"/>
          <w:sz w:val="16"/>
          <w:szCs w:val="16"/>
          <w:color w:val="auto"/>
        </w:rPr>
      </w:pPr>
    </w:p>
    <w:p>
      <w:pPr>
        <w:ind w:left="1560" w:hanging="915"/>
        <w:spacing w:after="0"/>
        <w:tabs>
          <w:tab w:leader="none" w:pos="1560" w:val="left"/>
        </w:tabs>
        <w:numPr>
          <w:ilvl w:val="0"/>
          <w:numId w:val="114"/>
        </w:numPr>
        <w:rPr>
          <w:rFonts w:ascii="Arial" w:cs="Arial" w:eastAsia="Arial" w:hAnsi="Arial"/>
          <w:sz w:val="18"/>
          <w:szCs w:val="18"/>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Foreign Lender</w:t>
      </w:r>
      <w:r>
        <w:rPr>
          <w:rFonts w:ascii="Arial" w:cs="Arial" w:eastAsia="Arial" w:hAnsi="Arial"/>
          <w:sz w:val="20"/>
          <w:szCs w:val="20"/>
          <w:color w:val="auto"/>
        </w:rPr>
        <w:t>” is amended to read in its entirety as follows:</w:t>
      </w:r>
    </w:p>
    <w:p>
      <w:pPr>
        <w:spacing w:after="0" w:line="20"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204" w:lineRule="exact"/>
        <w:rPr>
          <w:sz w:val="20"/>
          <w:szCs w:val="20"/>
          <w:color w:val="auto"/>
        </w:rPr>
      </w:pPr>
    </w:p>
    <w:p>
      <w:pPr>
        <w:jc w:val="both"/>
        <w:ind w:firstLine="645"/>
        <w:spacing w:after="0" w:line="322" w:lineRule="auto"/>
        <w:tabs>
          <w:tab w:leader="none" w:pos="1556" w:val="left"/>
        </w:tabs>
        <w:numPr>
          <w:ilvl w:val="0"/>
          <w:numId w:val="115"/>
        </w:numPr>
        <w:rPr>
          <w:rFonts w:ascii="Arial" w:cs="Arial" w:eastAsia="Arial" w:hAnsi="Arial"/>
          <w:sz w:val="16"/>
          <w:szCs w:val="16"/>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Indemnified Taxes</w:t>
      </w:r>
      <w:r>
        <w:rPr>
          <w:rFonts w:ascii="Arial" w:cs="Arial" w:eastAsia="Arial" w:hAnsi="Arial"/>
          <w:sz w:val="18"/>
          <w:szCs w:val="18"/>
          <w:color w:val="auto"/>
        </w:rPr>
        <w:t>” is amended by inserting “(a)” immediately after “means”, deleting the period at the end of such definition, and inserting the following: “, imposed on or with respect to any payment made by or on account of any obligation of the Borrower under any Loan Document and (b) to the extent not otherwise described in (a), Other Taxes.”</w:t>
      </w:r>
    </w:p>
    <w:p>
      <w:pPr>
        <w:spacing w:after="0" w:line="166" w:lineRule="exact"/>
        <w:rPr>
          <w:rFonts w:ascii="Arial" w:cs="Arial" w:eastAsia="Arial" w:hAnsi="Arial"/>
          <w:sz w:val="16"/>
          <w:szCs w:val="16"/>
          <w:color w:val="auto"/>
        </w:rPr>
      </w:pPr>
    </w:p>
    <w:p>
      <w:pPr>
        <w:ind w:left="1500" w:hanging="855"/>
        <w:spacing w:after="0"/>
        <w:tabs>
          <w:tab w:leader="none" w:pos="1500" w:val="left"/>
        </w:tabs>
        <w:numPr>
          <w:ilvl w:val="0"/>
          <w:numId w:val="115"/>
        </w:numPr>
        <w:rPr>
          <w:rFonts w:ascii="Arial" w:cs="Arial" w:eastAsia="Arial" w:hAnsi="Arial"/>
          <w:sz w:val="18"/>
          <w:szCs w:val="18"/>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Other Taxes</w:t>
      </w:r>
      <w:r>
        <w:rPr>
          <w:rFonts w:ascii="Arial" w:cs="Arial" w:eastAsia="Arial" w:hAnsi="Arial"/>
          <w:sz w:val="20"/>
          <w:szCs w:val="20"/>
          <w:color w:val="auto"/>
        </w:rPr>
        <w:t>” is amended to read in its entirety as follows:</w:t>
      </w:r>
    </w:p>
    <w:p>
      <w:pPr>
        <w:spacing w:after="0" w:line="20" w:lineRule="exact"/>
        <w:rPr>
          <w:sz w:val="20"/>
          <w:szCs w:val="20"/>
          <w:color w:val="auto"/>
        </w:rPr>
      </w:pPr>
    </w:p>
    <w:p>
      <w:pPr>
        <w:jc w:val="both"/>
        <w:ind w:left="64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10.15</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0"/>
          </w:cols>
          <w:pgMar w:left="90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83" w:lineRule="exact"/>
        <w:rPr>
          <w:sz w:val="20"/>
          <w:szCs w:val="20"/>
          <w:color w:val="auto"/>
        </w:rPr>
      </w:pPr>
    </w:p>
    <w:p>
      <w:pPr>
        <w:ind w:left="4" w:firstLine="645"/>
        <w:spacing w:after="0" w:line="264" w:lineRule="auto"/>
        <w:tabs>
          <w:tab w:leader="none" w:pos="1510" w:val="left"/>
        </w:tabs>
        <w:numPr>
          <w:ilvl w:val="0"/>
          <w:numId w:val="116"/>
        </w:numPr>
        <w:rPr>
          <w:rFonts w:ascii="Arial" w:cs="Arial" w:eastAsia="Arial" w:hAnsi="Arial"/>
          <w:sz w:val="18"/>
          <w:szCs w:val="18"/>
          <w:color w:val="auto"/>
        </w:rPr>
      </w:pPr>
      <w:r>
        <w:rPr>
          <w:rFonts w:ascii="Arial" w:cs="Arial" w:eastAsia="Arial" w:hAnsi="Arial"/>
          <w:sz w:val="20"/>
          <w:szCs w:val="20"/>
          <w:color w:val="auto"/>
        </w:rPr>
        <w:t xml:space="preserve">The following defined terms are hereby added to </w:t>
      </w:r>
      <w:r>
        <w:rPr>
          <w:rFonts w:ascii="Arial" w:cs="Arial" w:eastAsia="Arial" w:hAnsi="Arial"/>
          <w:sz w:val="20"/>
          <w:szCs w:val="20"/>
          <w:i w:val="1"/>
          <w:iCs w:val="1"/>
          <w:color w:val="auto"/>
        </w:rPr>
        <w:t>Section 1.01</w:t>
      </w:r>
      <w:r>
        <w:rPr>
          <w:rFonts w:ascii="Arial" w:cs="Arial" w:eastAsia="Arial" w:hAnsi="Arial"/>
          <w:sz w:val="20"/>
          <w:szCs w:val="20"/>
          <w:color w:val="auto"/>
        </w:rPr>
        <w:t xml:space="preserve"> (Defined Terms) of the Existing Loan Agreement in the appropriate alphabetical order:</w:t>
      </w:r>
    </w:p>
    <w:p>
      <w:pPr>
        <w:spacing w:after="0" w:line="1" w:lineRule="exact"/>
        <w:rPr>
          <w:rFonts w:ascii="Arial" w:cs="Arial" w:eastAsia="Arial" w:hAnsi="Arial"/>
          <w:sz w:val="18"/>
          <w:szCs w:val="18"/>
          <w:color w:val="auto"/>
        </w:rPr>
      </w:pPr>
    </w:p>
    <w:p>
      <w:pPr>
        <w:jc w:val="both"/>
        <w:ind w:left="644"/>
        <w:spacing w:after="0" w:line="243"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solely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2" w:lineRule="exact"/>
        <w:rPr>
          <w:sz w:val="20"/>
          <w:szCs w:val="20"/>
          <w:color w:val="auto"/>
        </w:rPr>
      </w:pPr>
    </w:p>
    <w:p>
      <w:pPr>
        <w:ind w:left="64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and (b) any Lender, as applicable.</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the Borrower and the Administrative Agent.</w:t>
      </w:r>
    </w:p>
    <w:p>
      <w:pPr>
        <w:spacing w:after="0" w:line="229" w:lineRule="exact"/>
        <w:rPr>
          <w:sz w:val="20"/>
          <w:szCs w:val="20"/>
          <w:color w:val="auto"/>
        </w:rPr>
      </w:pPr>
    </w:p>
    <w:p>
      <w:pPr>
        <w:ind w:left="1504" w:hanging="855"/>
        <w:spacing w:after="0"/>
        <w:tabs>
          <w:tab w:leader="none" w:pos="1504" w:val="left"/>
        </w:tabs>
        <w:numPr>
          <w:ilvl w:val="0"/>
          <w:numId w:val="117"/>
        </w:numPr>
        <w:rPr>
          <w:rFonts w:ascii="Arial" w:cs="Arial" w:eastAsia="Arial" w:hAnsi="Arial"/>
          <w:sz w:val="18"/>
          <w:szCs w:val="18"/>
          <w:color w:val="auto"/>
        </w:rPr>
      </w:pPr>
      <w:r>
        <w:rPr>
          <w:rFonts w:ascii="Arial" w:cs="Arial" w:eastAsia="Arial" w:hAnsi="Arial"/>
          <w:sz w:val="20"/>
          <w:szCs w:val="20"/>
          <w:i w:val="1"/>
          <w:iCs w:val="1"/>
          <w:color w:val="auto"/>
        </w:rPr>
        <w:t xml:space="preserve">Section 3.01 </w:t>
      </w:r>
      <w:r>
        <w:rPr>
          <w:rFonts w:ascii="Arial" w:cs="Arial" w:eastAsia="Arial" w:hAnsi="Arial"/>
          <w:sz w:val="20"/>
          <w:szCs w:val="20"/>
          <w:color w:val="auto"/>
        </w:rPr>
        <w:t>(Taxes) of the Existing Loan Agreement is amended to read in its entirety as follows:</w:t>
      </w:r>
    </w:p>
    <w:p>
      <w:pPr>
        <w:spacing w:after="0" w:line="200" w:lineRule="exact"/>
        <w:rPr>
          <w:sz w:val="20"/>
          <w:szCs w:val="20"/>
          <w:color w:val="auto"/>
        </w:rPr>
      </w:pPr>
    </w:p>
    <w:p>
      <w:pPr>
        <w:spacing w:after="0" w:line="253"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b w:val="1"/>
          <w:bCs w:val="1"/>
          <w:color w:val="auto"/>
        </w:rPr>
        <w:t>Taxes.</w:t>
      </w:r>
    </w:p>
    <w:p>
      <w:pPr>
        <w:spacing w:after="0" w:line="222" w:lineRule="exact"/>
        <w:rPr>
          <w:sz w:val="20"/>
          <w:szCs w:val="20"/>
          <w:color w:val="auto"/>
        </w:rPr>
      </w:pPr>
    </w:p>
    <w:p>
      <w:pPr>
        <w:ind w:left="1044" w:hanging="395"/>
        <w:spacing w:after="0"/>
        <w:tabs>
          <w:tab w:leader="none" w:pos="1044"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term “applicable law” includes FATCA.</w:t>
      </w:r>
    </w:p>
    <w:p>
      <w:pPr>
        <w:spacing w:after="0" w:line="215" w:lineRule="exact"/>
        <w:rPr>
          <w:rFonts w:ascii="Arial" w:cs="Arial" w:eastAsia="Arial" w:hAnsi="Arial"/>
          <w:sz w:val="20"/>
          <w:szCs w:val="20"/>
          <w:color w:val="auto"/>
        </w:rPr>
      </w:pPr>
    </w:p>
    <w:p>
      <w:pPr>
        <w:jc w:val="both"/>
        <w:ind w:left="4" w:firstLine="645"/>
        <w:spacing w:after="0" w:line="272" w:lineRule="auto"/>
        <w:tabs>
          <w:tab w:leader="none" w:pos="1157"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the Borrower under any Loan Document shall to the extent permitted by applicable Laws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1" w:lineRule="exact"/>
        <w:rPr>
          <w:rFonts w:ascii="Arial" w:cs="Arial" w:eastAsia="Arial" w:hAnsi="Arial"/>
          <w:sz w:val="18"/>
          <w:szCs w:val="18"/>
          <w:color w:val="auto"/>
        </w:rPr>
      </w:pPr>
    </w:p>
    <w:p>
      <w:pPr>
        <w:ind w:left="4" w:right="20" w:firstLine="645"/>
        <w:spacing w:after="0" w:line="316" w:lineRule="auto"/>
        <w:tabs>
          <w:tab w:leader="none" w:pos="1146"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Borrower shall timely pay to the relevant Governmental Authority in accordance with applicable law, or at the option of the Administrative Agent timely reimburse it for the payment of, any Other Taxes.</w:t>
      </w:r>
    </w:p>
    <w:p>
      <w:pPr>
        <w:spacing w:after="0" w:line="130" w:lineRule="exact"/>
        <w:rPr>
          <w:rFonts w:ascii="Arial" w:cs="Arial" w:eastAsia="Arial" w:hAnsi="Arial"/>
          <w:sz w:val="18"/>
          <w:szCs w:val="18"/>
          <w:color w:val="auto"/>
        </w:rPr>
      </w:pPr>
    </w:p>
    <w:p>
      <w:pPr>
        <w:jc w:val="both"/>
        <w:ind w:left="4" w:firstLine="645"/>
        <w:spacing w:after="0" w:line="258" w:lineRule="auto"/>
        <w:tabs>
          <w:tab w:leader="none" w:pos="1063"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9" w:lineRule="exact"/>
        <w:rPr>
          <w:rFonts w:ascii="Arial" w:cs="Arial" w:eastAsia="Arial" w:hAnsi="Arial"/>
          <w:sz w:val="19"/>
          <w:szCs w:val="19"/>
          <w:color w:val="auto"/>
        </w:rPr>
      </w:pPr>
    </w:p>
    <w:p>
      <w:pPr>
        <w:jc w:val="both"/>
        <w:ind w:left="4" w:firstLine="645"/>
        <w:spacing w:after="0" w:line="272" w:lineRule="auto"/>
        <w:tabs>
          <w:tab w:leader="none" w:pos="1119"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xml:space="preserve">. Each Lender shall severally indemnify the Administrative Agent, within 10 days after demand therefor, for (i) any Indemnified Taxes attributable to such Lender (but only to the </w:t>
      </w:r>
      <w:r>
        <w:rPr>
          <w:rFonts w:ascii="Arial" w:cs="Arial" w:eastAsia="Arial" w:hAnsi="Arial"/>
          <w:sz w:val="18"/>
          <w:szCs w:val="18"/>
          <w:u w:val="single" w:color="auto"/>
          <w:color w:val="auto"/>
        </w:rPr>
        <w:t>extent</w:t>
      </w:r>
      <w:r>
        <w:rPr>
          <w:rFonts w:ascii="Arial" w:cs="Arial" w:eastAsia="Arial" w:hAnsi="Arial"/>
          <w:sz w:val="18"/>
          <w:szCs w:val="18"/>
          <w:color w:val="auto"/>
        </w:rPr>
        <w:t xml:space="preserve"> that the Borrower has not already indemnified the Administrative Agent for such Indemnified Taxes and without limiting the obligation of the Borrower to do so),</w:t>
      </w:r>
    </w:p>
    <w:p>
      <w:pPr>
        <w:spacing w:after="0" w:line="1" w:lineRule="exact"/>
        <w:rPr>
          <w:rFonts w:ascii="Arial" w:cs="Arial" w:eastAsia="Arial" w:hAnsi="Arial"/>
          <w:sz w:val="18"/>
          <w:szCs w:val="18"/>
          <w:color w:val="auto"/>
        </w:rPr>
      </w:pPr>
    </w:p>
    <w:p>
      <w:pPr>
        <w:ind w:left="284" w:hanging="284"/>
        <w:spacing w:after="0"/>
        <w:tabs>
          <w:tab w:leader="none" w:pos="28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any</w:t>
      </w:r>
    </w:p>
    <w:p>
      <w:pPr>
        <w:spacing w:after="0" w:line="200" w:lineRule="exact"/>
        <w:rPr>
          <w:sz w:val="20"/>
          <w:szCs w:val="20"/>
          <w:color w:val="auto"/>
        </w:rPr>
      </w:pPr>
    </w:p>
    <w:p>
      <w:pPr>
        <w:spacing w:after="0" w:line="24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64"/>
          </w:cols>
          <w:pgMar w:left="896" w:top="121" w:right="239" w:bottom="1440" w:gutter="0" w:footer="0" w:header="0"/>
        </w:sectPr>
      </w:pPr>
    </w:p>
    <w:bookmarkStart w:id="139" w:name="page140"/>
    <w:bookmarkEnd w:id="139"/>
    <w:p>
      <w:pPr>
        <w:ind w:left="98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Taxes attributable to such Lender’s failure to comply with the provisions of </w:t>
      </w:r>
      <w:r>
        <w:rPr>
          <w:rFonts w:ascii="Arial" w:cs="Arial" w:eastAsia="Arial" w:hAnsi="Arial"/>
          <w:sz w:val="19"/>
          <w:szCs w:val="19"/>
          <w:u w:val="single" w:color="auto"/>
          <w:color w:val="auto"/>
        </w:rPr>
        <w:t>Section 10.07(f)</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1" w:lineRule="exact"/>
        <w:rPr>
          <w:sz w:val="20"/>
          <w:szCs w:val="20"/>
          <w:color w:val="auto"/>
        </w:rPr>
      </w:pPr>
    </w:p>
    <w:p>
      <w:pPr>
        <w:jc w:val="both"/>
        <w:ind w:firstLine="645"/>
        <w:spacing w:after="0" w:line="246" w:lineRule="auto"/>
        <w:tabs>
          <w:tab w:leader="none" w:pos="1053"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As soon as practicable </w:t>
      </w:r>
      <w:r>
        <w:rPr>
          <w:rFonts w:ascii="Arial" w:cs="Arial" w:eastAsia="Arial" w:hAnsi="Arial"/>
          <w:sz w:val="20"/>
          <w:szCs w:val="20"/>
          <w:u w:val="single" w:color="auto"/>
          <w:color w:val="auto"/>
        </w:rPr>
        <w:t>after</w:t>
      </w:r>
      <w:r>
        <w:rPr>
          <w:rFonts w:ascii="Arial" w:cs="Arial" w:eastAsia="Arial" w:hAnsi="Arial"/>
          <w:sz w:val="20"/>
          <w:szCs w:val="20"/>
          <w:color w:val="auto"/>
        </w:rPr>
        <w:t xml:space="preserve"> any payment of Taxes by the Borrower to a Governmental Authority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ind w:left="1060" w:hanging="415"/>
        <w:spacing w:after="0"/>
        <w:tabs>
          <w:tab w:leader="none" w:pos="106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3"/>
        <w:spacing w:after="0" w:line="270" w:lineRule="auto"/>
        <w:tabs>
          <w:tab w:leader="none" w:pos="166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3.01(g)(ii)(A)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6" w:lineRule="exact"/>
        <w:rPr>
          <w:rFonts w:ascii="Arial" w:cs="Arial" w:eastAsia="Arial" w:hAnsi="Arial"/>
          <w:sz w:val="18"/>
          <w:szCs w:val="18"/>
          <w:color w:val="auto"/>
        </w:rPr>
      </w:pPr>
    </w:p>
    <w:p>
      <w:pPr>
        <w:ind w:left="1720" w:hanging="427"/>
        <w:spacing w:after="0"/>
        <w:tabs>
          <w:tab w:leader="none" w:pos="172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29" w:lineRule="exact"/>
        <w:rPr>
          <w:rFonts w:ascii="Arial" w:cs="Arial" w:eastAsia="Arial" w:hAnsi="Arial"/>
          <w:sz w:val="20"/>
          <w:szCs w:val="20"/>
          <w:color w:val="auto"/>
        </w:rPr>
      </w:pPr>
    </w:p>
    <w:p>
      <w:pPr>
        <w:jc w:val="both"/>
        <w:ind w:left="1300" w:firstLine="641"/>
        <w:spacing w:after="0" w:line="266" w:lineRule="auto"/>
        <w:tabs>
          <w:tab w:leader="none" w:pos="2846" w:val="left"/>
        </w:tabs>
        <w:numPr>
          <w:ilvl w:val="2"/>
          <w:numId w:val="120"/>
        </w:numPr>
        <w:rPr>
          <w:rFonts w:ascii="Arial" w:cs="Arial" w:eastAsia="Arial" w:hAnsi="Arial"/>
          <w:sz w:val="18"/>
          <w:szCs w:val="18"/>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jc w:val="both"/>
        <w:ind w:left="1300" w:firstLine="641"/>
        <w:spacing w:after="0" w:line="261" w:lineRule="auto"/>
        <w:tabs>
          <w:tab w:leader="none" w:pos="2473" w:val="left"/>
        </w:tabs>
        <w:numPr>
          <w:ilvl w:val="2"/>
          <w:numId w:val="120"/>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6" w:lineRule="exact"/>
        <w:rPr>
          <w:rFonts w:ascii="Arial" w:cs="Arial" w:eastAsia="Arial" w:hAnsi="Arial"/>
          <w:sz w:val="19"/>
          <w:szCs w:val="19"/>
          <w:color w:val="auto"/>
        </w:rPr>
      </w:pPr>
    </w:p>
    <w:p>
      <w:pPr>
        <w:jc w:val="both"/>
        <w:ind w:left="1940" w:firstLine="649"/>
        <w:spacing w:after="0" w:line="269" w:lineRule="auto"/>
        <w:tabs>
          <w:tab w:leader="none" w:pos="2969" w:val="left"/>
        </w:tabs>
        <w:numPr>
          <w:ilvl w:val="3"/>
          <w:numId w:val="120"/>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w:t>
      </w: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90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70" w:lineRule="exact"/>
        <w:rPr>
          <w:sz w:val="20"/>
          <w:szCs w:val="20"/>
          <w:color w:val="auto"/>
        </w:rPr>
      </w:pPr>
    </w:p>
    <w:p>
      <w:pPr>
        <w:jc w:val="both"/>
        <w:ind w:left="1400" w:right="20"/>
        <w:spacing w:after="0" w:line="291" w:lineRule="auto"/>
        <w:rPr>
          <w:sz w:val="20"/>
          <w:szCs w:val="20"/>
          <w:color w:val="auto"/>
        </w:rPr>
      </w:pPr>
      <w:r>
        <w:rPr>
          <w:rFonts w:ascii="Arial" w:cs="Arial" w:eastAsia="Arial" w:hAnsi="Arial"/>
          <w:sz w:val="18"/>
          <w:szCs w:val="18"/>
          <w:color w:val="auto"/>
        </w:rPr>
        <w:t>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152" w:lineRule="exact"/>
        <w:rPr>
          <w:sz w:val="20"/>
          <w:szCs w:val="20"/>
          <w:color w:val="auto"/>
        </w:rPr>
      </w:pPr>
    </w:p>
    <w:p>
      <w:pPr>
        <w:ind w:left="2480" w:hanging="431"/>
        <w:spacing w:after="0"/>
        <w:tabs>
          <w:tab w:leader="none" w:pos="248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15" w:lineRule="exact"/>
        <w:rPr>
          <w:rFonts w:ascii="Arial" w:cs="Arial" w:eastAsia="Arial" w:hAnsi="Arial"/>
          <w:sz w:val="20"/>
          <w:szCs w:val="20"/>
          <w:color w:val="auto"/>
        </w:rPr>
      </w:pPr>
    </w:p>
    <w:p>
      <w:pPr>
        <w:jc w:val="both"/>
        <w:ind w:left="1400" w:firstLine="649"/>
        <w:spacing w:after="0" w:line="243" w:lineRule="auto"/>
        <w:tabs>
          <w:tab w:leader="none" w:pos="262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E-1</w:t>
      </w:r>
      <w:r>
        <w:rPr>
          <w:rFonts w:ascii="Arial" w:cs="Arial" w:eastAsia="Arial" w:hAnsi="Arial"/>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originals of IRS Form W-8BEN; or</w:t>
      </w:r>
    </w:p>
    <w:p>
      <w:pPr>
        <w:spacing w:after="0" w:line="196" w:lineRule="exact"/>
        <w:rPr>
          <w:rFonts w:ascii="Arial" w:cs="Arial" w:eastAsia="Arial" w:hAnsi="Arial"/>
          <w:sz w:val="20"/>
          <w:szCs w:val="20"/>
          <w:color w:val="auto"/>
        </w:rPr>
      </w:pPr>
    </w:p>
    <w:p>
      <w:pPr>
        <w:jc w:val="both"/>
        <w:ind w:left="1400" w:firstLine="649"/>
        <w:spacing w:after="0" w:line="243" w:lineRule="auto"/>
        <w:tabs>
          <w:tab w:leader="none" w:pos="2568" w:val="left"/>
        </w:tabs>
        <w:numPr>
          <w:ilvl w:val="1"/>
          <w:numId w:val="121"/>
        </w:numPr>
        <w:rPr>
          <w:rFonts w:ascii="Arial" w:cs="Arial" w:eastAsia="Arial" w:hAnsi="Arial"/>
          <w:sz w:val="20"/>
          <w:szCs w:val="20"/>
          <w:color w:val="auto"/>
        </w:rPr>
      </w:pPr>
      <w:r>
        <w:rPr>
          <w:rFonts w:ascii="Arial" w:cs="Arial" w:eastAsia="Arial" w:hAnsi="Arial"/>
          <w:sz w:val="20"/>
          <w:szCs w:val="20"/>
          <w:color w:val="auto"/>
        </w:rPr>
        <w:t xml:space="preserve">to the extent a Foreign Lender is not the beneficial owner, executed originals of IRS Form W-8IMY, accompanied by IRS Form W-8ECI, IRS Form W-8BEN, a U.S. Tax Compliance Certificate substantially in the form of </w:t>
      </w:r>
      <w:r>
        <w:rPr>
          <w:rFonts w:ascii="Arial" w:cs="Arial" w:eastAsia="Arial" w:hAnsi="Arial"/>
          <w:sz w:val="20"/>
          <w:szCs w:val="20"/>
          <w:u w:val="single" w:color="auto"/>
          <w:color w:val="auto"/>
        </w:rPr>
        <w:t>Exhibit E-2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E-3</w:t>
      </w:r>
      <w:r>
        <w:rPr>
          <w:rFonts w:ascii="Arial" w:cs="Arial" w:eastAsia="Arial" w:hAnsi="Arial"/>
          <w:sz w:val="20"/>
          <w:szCs w:val="20"/>
          <w:color w:val="auto"/>
        </w:rPr>
        <w:t xml:space="preserve">,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0"/>
          <w:szCs w:val="20"/>
          <w:u w:val="single" w:color="auto"/>
          <w:color w:val="auto"/>
        </w:rPr>
        <w:t>Exhibit E-4</w:t>
      </w:r>
      <w:r>
        <w:rPr>
          <w:rFonts w:ascii="Arial" w:cs="Arial" w:eastAsia="Arial" w:hAnsi="Arial"/>
          <w:sz w:val="20"/>
          <w:szCs w:val="20"/>
          <w:color w:val="auto"/>
        </w:rPr>
        <w:t xml:space="preserve"> on behalf of each such direct and indirect partner.</w:t>
      </w:r>
    </w:p>
    <w:p>
      <w:pPr>
        <w:spacing w:after="0" w:line="193" w:lineRule="exact"/>
        <w:rPr>
          <w:rFonts w:ascii="Arial" w:cs="Arial" w:eastAsia="Arial" w:hAnsi="Arial"/>
          <w:sz w:val="20"/>
          <w:szCs w:val="20"/>
          <w:color w:val="auto"/>
        </w:rPr>
      </w:pPr>
    </w:p>
    <w:p>
      <w:pPr>
        <w:jc w:val="both"/>
        <w:ind w:left="760" w:firstLine="641"/>
        <w:spacing w:after="0" w:line="258" w:lineRule="auto"/>
        <w:tabs>
          <w:tab w:leader="none" w:pos="1933"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9" w:lineRule="exact"/>
        <w:rPr>
          <w:rFonts w:ascii="Arial" w:cs="Arial" w:eastAsia="Arial" w:hAnsi="Arial"/>
          <w:sz w:val="19"/>
          <w:szCs w:val="19"/>
          <w:color w:val="auto"/>
        </w:rPr>
      </w:pPr>
    </w:p>
    <w:p>
      <w:pPr>
        <w:jc w:val="both"/>
        <w:ind w:left="760" w:firstLine="641"/>
        <w:spacing w:after="0" w:line="271" w:lineRule="auto"/>
        <w:tabs>
          <w:tab w:leader="none" w:pos="189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20"/>
          </w:cols>
          <w:pgMar w:left="14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70" w:lineRule="exact"/>
        <w:rPr>
          <w:sz w:val="20"/>
          <w:szCs w:val="20"/>
          <w:color w:val="auto"/>
        </w:rPr>
      </w:pPr>
    </w:p>
    <w:p>
      <w:pPr>
        <w:jc w:val="both"/>
        <w:ind w:left="644" w:firstLine="648"/>
        <w:spacing w:after="0" w:line="246" w:lineRule="auto"/>
        <w:rPr>
          <w:sz w:val="20"/>
          <w:szCs w:val="20"/>
          <w:color w:val="auto"/>
        </w:rPr>
      </w:pPr>
      <w:r>
        <w:rPr>
          <w:rFonts w:ascii="Arial" w:cs="Arial" w:eastAsia="Arial" w:hAnsi="Arial"/>
          <w:sz w:val="20"/>
          <w:szCs w:val="20"/>
          <w:color w:val="auto"/>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For purposes of this </w:t>
      </w:r>
      <w:r>
        <w:rPr>
          <w:rFonts w:ascii="Arial" w:cs="Arial" w:eastAsia="Arial" w:hAnsi="Arial"/>
          <w:sz w:val="20"/>
          <w:szCs w:val="20"/>
          <w:u w:val="single" w:color="auto"/>
          <w:color w:val="auto"/>
        </w:rPr>
        <w:t>Section 3.01(g)</w:t>
      </w:r>
      <w:r>
        <w:rPr>
          <w:rFonts w:ascii="Arial" w:cs="Arial" w:eastAsia="Arial" w:hAnsi="Arial"/>
          <w:sz w:val="20"/>
          <w:szCs w:val="20"/>
          <w:color w:val="auto"/>
        </w:rPr>
        <w:t>, references to a Lender shall include the Administrative Agent.</w:t>
      </w:r>
    </w:p>
    <w:p>
      <w:pPr>
        <w:spacing w:after="0" w:line="192" w:lineRule="exact"/>
        <w:rPr>
          <w:sz w:val="20"/>
          <w:szCs w:val="20"/>
          <w:color w:val="auto"/>
        </w:rPr>
      </w:pPr>
    </w:p>
    <w:p>
      <w:pPr>
        <w:jc w:val="both"/>
        <w:ind w:left="4" w:firstLine="645"/>
        <w:spacing w:after="0" w:line="270" w:lineRule="auto"/>
        <w:tabs>
          <w:tab w:leader="none" w:pos="1076"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0" w:lineRule="exact"/>
        <w:rPr>
          <w:rFonts w:ascii="Arial" w:cs="Arial" w:eastAsia="Arial" w:hAnsi="Arial"/>
          <w:sz w:val="18"/>
          <w:szCs w:val="18"/>
          <w:color w:val="auto"/>
        </w:rPr>
      </w:pPr>
    </w:p>
    <w:p>
      <w:pPr>
        <w:jc w:val="both"/>
        <w:ind w:left="4" w:firstLine="645"/>
        <w:spacing w:after="0" w:line="250" w:lineRule="auto"/>
        <w:tabs>
          <w:tab w:leader="none" w:pos="1262" w:val="left"/>
        </w:tabs>
        <w:numPr>
          <w:ilvl w:val="1"/>
          <w:numId w:val="12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6" w:lineRule="exact"/>
        <w:rPr>
          <w:rFonts w:ascii="Arial" w:cs="Arial" w:eastAsia="Arial" w:hAnsi="Arial"/>
          <w:sz w:val="20"/>
          <w:szCs w:val="20"/>
          <w:color w:val="auto"/>
        </w:rPr>
      </w:pPr>
    </w:p>
    <w:p>
      <w:pPr>
        <w:jc w:val="both"/>
        <w:ind w:left="4" w:firstLine="645"/>
        <w:spacing w:after="0" w:line="256" w:lineRule="auto"/>
        <w:tabs>
          <w:tab w:leader="none" w:pos="1086"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or requires the Borrower to make any payments pursuant to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in the future, and (ii) would not subject such Lender to any unreimbursed cost or expense and would not otherwise be disadvantageous to such Lender. If the Borrower requests a Lender to designate a different Lending Office or assign its rights and obligations to another of its offices, branches or affiliates, the Borrower hereby agrees to pay all reasonable costs and expenses incurred by such Lender in connection with any such designation or assignment. Subject to the foregoing, Lenders agree to use reasonable efforts to select lending offices which will minimize taxes and other costs and expenses for the Borrower.”</w:t>
      </w:r>
    </w:p>
    <w:p>
      <w:pPr>
        <w:spacing w:after="0" w:line="194" w:lineRule="exact"/>
        <w:rPr>
          <w:rFonts w:ascii="Arial" w:cs="Arial" w:eastAsia="Arial" w:hAnsi="Arial"/>
          <w:sz w:val="19"/>
          <w:szCs w:val="19"/>
          <w:color w:val="auto"/>
        </w:rPr>
      </w:pPr>
    </w:p>
    <w:p>
      <w:pPr>
        <w:ind w:left="4" w:hanging="4"/>
        <w:spacing w:after="0" w:line="289" w:lineRule="auto"/>
        <w:tabs>
          <w:tab w:leader="none" w:pos="862" w:val="left"/>
        </w:tabs>
        <w:numPr>
          <w:ilvl w:val="0"/>
          <w:numId w:val="124"/>
        </w:numPr>
        <w:rPr>
          <w:rFonts w:ascii="Arial" w:cs="Arial" w:eastAsia="Arial" w:hAnsi="Arial"/>
          <w:sz w:val="18"/>
          <w:szCs w:val="18"/>
          <w:color w:val="auto"/>
        </w:rPr>
      </w:pPr>
      <w:r>
        <w:rPr>
          <w:rFonts w:ascii="Arial" w:cs="Arial" w:eastAsia="Arial" w:hAnsi="Arial"/>
          <w:sz w:val="20"/>
          <w:szCs w:val="20"/>
          <w:i w:val="1"/>
          <w:iCs w:val="1"/>
          <w:color w:val="auto"/>
        </w:rPr>
        <w:t xml:space="preserve">Section 3.04(a) </w:t>
      </w:r>
      <w:r>
        <w:rPr>
          <w:rFonts w:ascii="Arial" w:cs="Arial" w:eastAsia="Arial" w:hAnsi="Arial"/>
          <w:sz w:val="20"/>
          <w:szCs w:val="20"/>
          <w:color w:val="auto"/>
        </w:rPr>
        <w:t>(Increased Cost and Reduced Return; Capital Adequacy; Reserves on Eurodollar Rate Loans) of the Existing</w:t>
      </w:r>
      <w:r>
        <w:rPr>
          <w:rFonts w:ascii="Arial" w:cs="Arial" w:eastAsia="Arial" w:hAnsi="Arial"/>
          <w:sz w:val="20"/>
          <w:szCs w:val="20"/>
          <w:i w:val="1"/>
          <w:iCs w:val="1"/>
          <w:color w:val="auto"/>
        </w:rPr>
        <w:t xml:space="preserve"> </w:t>
      </w:r>
      <w:r>
        <w:rPr>
          <w:rFonts w:ascii="Arial" w:cs="Arial" w:eastAsia="Arial" w:hAnsi="Arial"/>
          <w:sz w:val="20"/>
          <w:szCs w:val="20"/>
          <w:color w:val="auto"/>
        </w:rPr>
        <w:t>Loan Agreement is amended by revising clause (ii) thereof to read as follows:</w:t>
      </w:r>
    </w:p>
    <w:p>
      <w:pPr>
        <w:spacing w:after="0" w:line="175" w:lineRule="exact"/>
        <w:rPr>
          <w:sz w:val="20"/>
          <w:szCs w:val="20"/>
          <w:color w:val="auto"/>
        </w:rPr>
      </w:pPr>
    </w:p>
    <w:p>
      <w:pPr>
        <w:jc w:val="both"/>
        <w:ind w:left="4" w:right="20"/>
        <w:spacing w:after="0" w:line="250" w:lineRule="auto"/>
        <w:rPr>
          <w:sz w:val="20"/>
          <w:szCs w:val="20"/>
          <w:color w:val="auto"/>
        </w:rPr>
      </w:pPr>
      <w:r>
        <w:rPr>
          <w:rFonts w:ascii="Arial" w:cs="Arial" w:eastAsia="Arial" w:hAnsi="Arial"/>
          <w:sz w:val="20"/>
          <w:szCs w:val="20"/>
          <w:color w:val="auto"/>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64"/>
          </w:cols>
          <w:pgMar w:left="896"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40"/>
        <w:spacing w:after="0"/>
        <w:rPr>
          <w:sz w:val="20"/>
          <w:szCs w:val="20"/>
          <w:color w:val="auto"/>
        </w:rPr>
      </w:pPr>
      <w:r>
        <w:rPr>
          <w:rFonts w:ascii="Arial" w:cs="Arial" w:eastAsia="Arial" w:hAnsi="Arial"/>
          <w:sz w:val="20"/>
          <w:szCs w:val="20"/>
          <w:b w:val="1"/>
          <w:bCs w:val="1"/>
          <w:u w:val="single" w:color="auto"/>
          <w:color w:val="auto"/>
        </w:rPr>
        <w:t>Annex B</w:t>
      </w:r>
    </w:p>
    <w:p>
      <w:pPr>
        <w:spacing w:after="0" w:line="200" w:lineRule="exact"/>
        <w:rPr>
          <w:sz w:val="20"/>
          <w:szCs w:val="20"/>
          <w:color w:val="auto"/>
        </w:rPr>
      </w:pPr>
    </w:p>
    <w:p>
      <w:pPr>
        <w:spacing w:after="0" w:line="245" w:lineRule="exact"/>
        <w:rPr>
          <w:sz w:val="20"/>
          <w:szCs w:val="20"/>
          <w:color w:val="auto"/>
        </w:rPr>
      </w:pPr>
    </w:p>
    <w:p>
      <w:pPr>
        <w:ind w:left="2500"/>
        <w:spacing w:after="0"/>
        <w:rPr>
          <w:sz w:val="20"/>
          <w:szCs w:val="20"/>
          <w:color w:val="auto"/>
        </w:rPr>
      </w:pPr>
      <w:r>
        <w:rPr>
          <w:rFonts w:ascii="Arial" w:cs="Arial" w:eastAsia="Arial" w:hAnsi="Arial"/>
          <w:sz w:val="20"/>
          <w:szCs w:val="20"/>
          <w:b w:val="1"/>
          <w:bCs w:val="1"/>
          <w:u w:val="single" w:color="auto"/>
          <w:color w:val="auto"/>
        </w:rPr>
        <w:t>Revised Cover Page For Term Loan Agreement</w:t>
      </w:r>
    </w:p>
    <w:p>
      <w:pPr>
        <w:spacing w:after="0" w:line="200" w:lineRule="exact"/>
        <w:rPr>
          <w:sz w:val="20"/>
          <w:szCs w:val="20"/>
          <w:color w:val="auto"/>
        </w:rPr>
      </w:pPr>
    </w:p>
    <w:p>
      <w:pPr>
        <w:spacing w:after="0" w:line="251"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See the following page</w:t>
      </w:r>
    </w:p>
    <w:p>
      <w:pPr>
        <w:spacing w:after="0" w:line="35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20"/>
          </w:cols>
          <w:pgMar w:left="14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Published CUSIP Number: 74733YAF1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TERM LOAN AGREEMENT</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Dated as of April 18, 2012</w:t>
      </w:r>
    </w:p>
    <w:p>
      <w:pPr>
        <w:ind w:left="2340"/>
        <w:spacing w:after="0"/>
        <w:rPr>
          <w:sz w:val="20"/>
          <w:szCs w:val="20"/>
          <w:color w:val="auto"/>
        </w:rPr>
      </w:pPr>
      <w:r>
        <w:rPr>
          <w:rFonts w:ascii="Arial" w:cs="Arial" w:eastAsia="Arial" w:hAnsi="Arial"/>
          <w:sz w:val="20"/>
          <w:szCs w:val="20"/>
          <w:color w:val="auto"/>
        </w:rPr>
        <w:t xml:space="preserve">amended by </w:t>
      </w:r>
      <w:r>
        <w:rPr>
          <w:rFonts w:ascii="Arial" w:cs="Arial" w:eastAsia="Arial" w:hAnsi="Arial"/>
          <w:sz w:val="20"/>
          <w:szCs w:val="20"/>
          <w:b w:val="1"/>
          <w:bCs w:val="1"/>
          <w:color w:val="auto"/>
        </w:rPr>
        <w:t>First Amendment to Term Loan Agreement</w:t>
      </w:r>
    </w:p>
    <w:p>
      <w:pPr>
        <w:ind w:left="3460"/>
        <w:spacing w:after="0"/>
        <w:rPr>
          <w:sz w:val="20"/>
          <w:szCs w:val="20"/>
          <w:color w:val="auto"/>
        </w:rPr>
      </w:pPr>
      <w:r>
        <w:rPr>
          <w:rFonts w:ascii="Arial" w:cs="Arial" w:eastAsia="Arial" w:hAnsi="Arial"/>
          <w:sz w:val="20"/>
          <w:szCs w:val="20"/>
          <w:color w:val="auto"/>
        </w:rPr>
        <w:t>dated as of August 13, 2013 and by</w:t>
      </w:r>
    </w:p>
    <w:p>
      <w:pPr>
        <w:ind w:left="1280"/>
        <w:spacing w:after="0"/>
        <w:rPr>
          <w:sz w:val="20"/>
          <w:szCs w:val="20"/>
          <w:color w:val="auto"/>
        </w:rPr>
      </w:pPr>
      <w:r>
        <w:rPr>
          <w:rFonts w:ascii="Arial" w:cs="Arial" w:eastAsia="Arial" w:hAnsi="Arial"/>
          <w:sz w:val="20"/>
          <w:szCs w:val="20"/>
          <w:b w:val="1"/>
          <w:bCs w:val="1"/>
          <w:color w:val="auto"/>
        </w:rPr>
        <w:t>Second Amendment to Term Loan Agreement and Commitment Increase Agreement</w:t>
      </w:r>
    </w:p>
    <w:p>
      <w:pPr>
        <w:spacing w:after="0" w:line="105"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dated as of February 19, 2014 among</w:t>
      </w:r>
    </w:p>
    <w:p>
      <w:pPr>
        <w:spacing w:after="0" w:line="102" w:lineRule="exact"/>
        <w:rPr>
          <w:sz w:val="20"/>
          <w:szCs w:val="20"/>
          <w:color w:val="auto"/>
        </w:rPr>
      </w:pPr>
    </w:p>
    <w:p>
      <w:pPr>
        <w:ind w:left="3760"/>
        <w:spacing w:after="0"/>
        <w:rPr>
          <w:sz w:val="20"/>
          <w:szCs w:val="20"/>
          <w:color w:val="auto"/>
        </w:rPr>
      </w:pPr>
      <w:r>
        <w:rPr>
          <w:rFonts w:ascii="Arial" w:cs="Arial" w:eastAsia="Arial" w:hAnsi="Arial"/>
          <w:sz w:val="20"/>
          <w:szCs w:val="20"/>
          <w:b w:val="1"/>
          <w:bCs w:val="1"/>
          <w:color w:val="auto"/>
        </w:rPr>
        <w:t>QEP RESOURCES, INC.,</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20"/>
          <w:szCs w:val="20"/>
          <w:color w:val="auto"/>
        </w:rPr>
        <w:t>as the Borrower,</w:t>
      </w:r>
    </w:p>
    <w:p>
      <w:pPr>
        <w:spacing w:after="0" w:line="207"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as Administrative Agent, and</w:t>
      </w:r>
    </w:p>
    <w:p>
      <w:pPr>
        <w:ind w:left="3840"/>
        <w:spacing w:after="0"/>
        <w:rPr>
          <w:sz w:val="20"/>
          <w:szCs w:val="20"/>
          <w:color w:val="auto"/>
        </w:rPr>
      </w:pPr>
      <w:r>
        <w:rPr>
          <w:rFonts w:ascii="Arial" w:cs="Arial" w:eastAsia="Arial" w:hAnsi="Arial"/>
          <w:sz w:val="20"/>
          <w:szCs w:val="20"/>
          <w:color w:val="auto"/>
        </w:rPr>
        <w:t>The Lenders Party Hereto</w:t>
      </w:r>
    </w:p>
    <w:p>
      <w:pPr>
        <w:spacing w:after="0" w:line="200" w:lineRule="exact"/>
        <w:rPr>
          <w:sz w:val="20"/>
          <w:szCs w:val="20"/>
          <w:color w:val="auto"/>
        </w:rPr>
      </w:pPr>
    </w:p>
    <w:p>
      <w:pPr>
        <w:spacing w:after="0" w:line="210"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auto"/>
        </w:rPr>
        <w:t>SunTrust Bank</w:t>
      </w:r>
    </w:p>
    <w:p>
      <w:pPr>
        <w:spacing w:after="0" w:line="21" w:lineRule="exact"/>
        <w:rPr>
          <w:sz w:val="20"/>
          <w:szCs w:val="20"/>
          <w:color w:val="auto"/>
        </w:rPr>
      </w:pPr>
    </w:p>
    <w:p>
      <w:pPr>
        <w:jc w:val="center"/>
        <w:ind w:right="500"/>
        <w:spacing w:after="0"/>
        <w:rPr>
          <w:sz w:val="20"/>
          <w:szCs w:val="20"/>
          <w:color w:val="auto"/>
        </w:rPr>
      </w:pPr>
      <w:r>
        <w:rPr>
          <w:rFonts w:ascii="Arial" w:cs="Arial" w:eastAsia="Arial" w:hAnsi="Arial"/>
          <w:sz w:val="20"/>
          <w:szCs w:val="20"/>
          <w:color w:val="auto"/>
        </w:rPr>
        <w:t>and</w:t>
      </w:r>
    </w:p>
    <w:p>
      <w:pPr>
        <w:jc w:val="center"/>
        <w:ind w:right="500"/>
        <w:spacing w:after="0"/>
        <w:rPr>
          <w:sz w:val="20"/>
          <w:szCs w:val="20"/>
          <w:color w:val="auto"/>
        </w:rPr>
      </w:pPr>
      <w:r>
        <w:rPr>
          <w:rFonts w:ascii="Arial" w:cs="Arial" w:eastAsia="Arial" w:hAnsi="Arial"/>
          <w:sz w:val="20"/>
          <w:szCs w:val="20"/>
          <w:b w:val="1"/>
          <w:bCs w:val="1"/>
          <w:color w:val="auto"/>
        </w:rPr>
        <w:t>Compass Bank,</w:t>
      </w:r>
    </w:p>
    <w:p>
      <w:pPr>
        <w:jc w:val="center"/>
        <w:ind w:right="500"/>
        <w:spacing w:after="0"/>
        <w:rPr>
          <w:sz w:val="20"/>
          <w:szCs w:val="20"/>
          <w:color w:val="auto"/>
        </w:rPr>
      </w:pPr>
      <w:r>
        <w:rPr>
          <w:rFonts w:ascii="Arial" w:cs="Arial" w:eastAsia="Arial" w:hAnsi="Arial"/>
          <w:sz w:val="20"/>
          <w:szCs w:val="20"/>
          <w:color w:val="auto"/>
        </w:rPr>
        <w:t>Co-Syndication Agents</w:t>
      </w:r>
    </w:p>
    <w:p>
      <w:pPr>
        <w:spacing w:after="0" w:line="207"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Citibank, N.A.,</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 and</w:t>
      </w:r>
    </w:p>
    <w:p>
      <w:pPr>
        <w:ind w:left="3180"/>
        <w:spacing w:after="0"/>
        <w:rPr>
          <w:sz w:val="20"/>
          <w:szCs w:val="20"/>
          <w:color w:val="auto"/>
        </w:rPr>
      </w:pPr>
      <w:r>
        <w:rPr>
          <w:rFonts w:ascii="Arial" w:cs="Arial" w:eastAsia="Arial" w:hAnsi="Arial"/>
          <w:sz w:val="20"/>
          <w:szCs w:val="20"/>
          <w:b w:val="1"/>
          <w:bCs w:val="1"/>
          <w:color w:val="auto"/>
        </w:rPr>
        <w:t>Bank Of Tokyo Mitsubishi UFJ, Ltd</w:t>
      </w:r>
      <w:r>
        <w:rPr>
          <w:rFonts w:ascii="Arial" w:cs="Arial" w:eastAsia="Arial" w:hAnsi="Arial"/>
          <w:sz w:val="20"/>
          <w:szCs w:val="20"/>
          <w:color w:val="auto"/>
        </w:rPr>
        <w:t>., Co-Documentation Agents</w:t>
      </w:r>
    </w:p>
    <w:p>
      <w:pPr>
        <w:spacing w:after="0" w:line="200" w:lineRule="exact"/>
        <w:rPr>
          <w:sz w:val="20"/>
          <w:szCs w:val="20"/>
          <w:color w:val="auto"/>
        </w:rPr>
      </w:pPr>
    </w:p>
    <w:p>
      <w:pPr>
        <w:spacing w:after="0" w:line="210"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auto"/>
        </w:rPr>
        <w:t>WELLS FARGO SECURITIES, LLC, BMO CAPITAL MARKETS, INC.,</w:t>
      </w:r>
    </w:p>
    <w:p>
      <w:pPr>
        <w:spacing w:after="0" w:line="21"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SUNTRUST ROBINSON HUMPHREY, INC., BBVA COMPASS,</w:t>
      </w:r>
    </w:p>
    <w:p>
      <w:pPr>
        <w:ind w:left="3060"/>
        <w:spacing w:after="0"/>
        <w:rPr>
          <w:sz w:val="20"/>
          <w:szCs w:val="20"/>
          <w:color w:val="auto"/>
        </w:rPr>
      </w:pPr>
      <w:r>
        <w:rPr>
          <w:rFonts w:ascii="Arial" w:cs="Arial" w:eastAsia="Arial" w:hAnsi="Arial"/>
          <w:sz w:val="20"/>
          <w:szCs w:val="20"/>
          <w:b w:val="1"/>
          <w:bCs w:val="1"/>
          <w:color w:val="auto"/>
        </w:rPr>
        <w:t>CITIGROUP GLOBAL MARKETS INC.,</w:t>
      </w:r>
    </w:p>
    <w:p>
      <w:pPr>
        <w:ind w:left="4720"/>
        <w:spacing w:after="0"/>
        <w:rPr>
          <w:sz w:val="20"/>
          <w:szCs w:val="20"/>
          <w:color w:val="auto"/>
        </w:rPr>
      </w:pPr>
      <w:r>
        <w:rPr>
          <w:rFonts w:ascii="Arial" w:cs="Arial" w:eastAsia="Arial" w:hAnsi="Arial"/>
          <w:sz w:val="20"/>
          <w:szCs w:val="20"/>
          <w:color w:val="auto"/>
        </w:rPr>
        <w:t>and</w:t>
      </w:r>
    </w:p>
    <w:p>
      <w:pPr>
        <w:ind w:left="400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ind w:left="4000"/>
        <w:spacing w:after="0"/>
        <w:rPr>
          <w:sz w:val="20"/>
          <w:szCs w:val="20"/>
          <w:color w:val="auto"/>
        </w:rPr>
      </w:pPr>
      <w:r>
        <w:rPr>
          <w:rFonts w:ascii="Arial" w:cs="Arial" w:eastAsia="Arial" w:hAnsi="Arial"/>
          <w:sz w:val="20"/>
          <w:szCs w:val="20"/>
          <w:color w:val="auto"/>
        </w:rPr>
        <w:t>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20"/>
          </w:cols>
          <w:pgMar w:left="1440" w:top="121"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Exhibit 10.2</w:t>
            </w:r>
          </w:p>
        </w:tc>
      </w:tr>
      <w:tr>
        <w:trPr>
          <w:trHeight w:val="693"/>
        </w:trPr>
        <w:tc>
          <w:tcPr>
            <w:tcW w:w="42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SCHEDULE 2.01</w:t>
            </w:r>
          </w:p>
        </w:tc>
      </w:tr>
      <w:tr>
        <w:trPr>
          <w:trHeight w:val="338"/>
        </w:trPr>
        <w:tc>
          <w:tcPr>
            <w:tcW w:w="4260" w:type="dxa"/>
            <w:vAlign w:val="bottom"/>
          </w:tcPr>
          <w:p>
            <w:pPr>
              <w:spacing w:after="0"/>
              <w:rPr>
                <w:sz w:val="24"/>
                <w:szCs w:val="24"/>
                <w:color w:val="auto"/>
              </w:rPr>
            </w:pPr>
          </w:p>
        </w:tc>
        <w:tc>
          <w:tcPr>
            <w:tcW w:w="3700" w:type="dxa"/>
            <w:vAlign w:val="bottom"/>
          </w:tcPr>
          <w:p>
            <w:pPr>
              <w:jc w:val="center"/>
              <w:ind w:right="1741"/>
              <w:spacing w:after="0"/>
              <w:rPr>
                <w:sz w:val="20"/>
                <w:szCs w:val="20"/>
                <w:color w:val="auto"/>
              </w:rPr>
            </w:pPr>
            <w:r>
              <w:rPr>
                <w:rFonts w:ascii="Arial" w:cs="Arial" w:eastAsia="Arial" w:hAnsi="Arial"/>
                <w:sz w:val="20"/>
                <w:szCs w:val="20"/>
                <w:b w:val="1"/>
                <w:bCs w:val="1"/>
                <w:color w:val="auto"/>
              </w:rPr>
              <w:t>COMMITMENTS</w:t>
            </w:r>
          </w:p>
        </w:tc>
        <w:tc>
          <w:tcPr>
            <w:tcW w:w="2940" w:type="dxa"/>
            <w:vAlign w:val="bottom"/>
          </w:tcPr>
          <w:p>
            <w:pPr>
              <w:spacing w:after="0"/>
              <w:rPr>
                <w:sz w:val="24"/>
                <w:szCs w:val="24"/>
                <w:color w:val="auto"/>
              </w:rPr>
            </w:pPr>
          </w:p>
        </w:tc>
      </w:tr>
      <w:tr>
        <w:trPr>
          <w:trHeight w:val="446"/>
        </w:trPr>
        <w:tc>
          <w:tcPr>
            <w:tcW w:w="7960" w:type="dxa"/>
            <w:vAlign w:val="bottom"/>
            <w:gridSpan w:val="2"/>
          </w:tcPr>
          <w:p>
            <w:pPr>
              <w:jc w:val="center"/>
              <w:ind w:left="2341"/>
              <w:spacing w:after="0"/>
              <w:rPr>
                <w:sz w:val="20"/>
                <w:szCs w:val="20"/>
                <w:color w:val="auto"/>
              </w:rPr>
            </w:pPr>
            <w:r>
              <w:rPr>
                <w:rFonts w:ascii="Arial" w:cs="Arial" w:eastAsia="Arial" w:hAnsi="Arial"/>
                <w:sz w:val="20"/>
                <w:szCs w:val="20"/>
                <w:b w:val="1"/>
                <w:bCs w:val="1"/>
                <w:color w:val="auto"/>
                <w:w w:val="95"/>
              </w:rPr>
              <w:t>AND PRO RATA SHARES</w:t>
            </w:r>
          </w:p>
        </w:tc>
        <w:tc>
          <w:tcPr>
            <w:tcW w:w="2940" w:type="dxa"/>
            <w:vAlign w:val="bottom"/>
          </w:tcPr>
          <w:p>
            <w:pPr>
              <w:spacing w:after="0"/>
              <w:rPr>
                <w:sz w:val="24"/>
                <w:szCs w:val="24"/>
                <w:color w:val="auto"/>
              </w:rPr>
            </w:pPr>
          </w:p>
        </w:tc>
      </w:tr>
      <w:tr>
        <w:trPr>
          <w:trHeight w:val="446"/>
        </w:trPr>
        <w:tc>
          <w:tcPr>
            <w:tcW w:w="7960" w:type="dxa"/>
            <w:vAlign w:val="bottom"/>
            <w:gridSpan w:val="2"/>
          </w:tcPr>
          <w:p>
            <w:pPr>
              <w:jc w:val="center"/>
              <w:ind w:left="2321"/>
              <w:spacing w:after="0"/>
              <w:rPr>
                <w:sz w:val="20"/>
                <w:szCs w:val="20"/>
                <w:color w:val="auto"/>
              </w:rPr>
            </w:pPr>
            <w:r>
              <w:rPr>
                <w:rFonts w:ascii="Arial" w:cs="Arial" w:eastAsia="Arial" w:hAnsi="Arial"/>
                <w:sz w:val="20"/>
                <w:szCs w:val="20"/>
                <w:b w:val="1"/>
                <w:bCs w:val="1"/>
                <w:color w:val="auto"/>
                <w:w w:val="89"/>
              </w:rPr>
              <w:t>QEP Resources, Inc. Term Loan Agreement</w:t>
            </w:r>
          </w:p>
        </w:tc>
        <w:tc>
          <w:tcPr>
            <w:tcW w:w="2940" w:type="dxa"/>
            <w:vAlign w:val="bottom"/>
          </w:tcPr>
          <w:p>
            <w:pPr>
              <w:spacing w:after="0"/>
              <w:rPr>
                <w:sz w:val="24"/>
                <w:szCs w:val="24"/>
                <w:color w:val="auto"/>
              </w:rPr>
            </w:pPr>
          </w:p>
        </w:tc>
      </w:tr>
      <w:tr>
        <w:trPr>
          <w:trHeight w:val="716"/>
        </w:trPr>
        <w:tc>
          <w:tcPr>
            <w:tcW w:w="4260" w:type="dxa"/>
            <w:vAlign w:val="bottom"/>
          </w:tcPr>
          <w:p>
            <w:pPr>
              <w:ind w:left="2340"/>
              <w:spacing w:after="0"/>
              <w:rPr>
                <w:sz w:val="20"/>
                <w:szCs w:val="20"/>
                <w:color w:val="auto"/>
              </w:rPr>
            </w:pPr>
            <w:r>
              <w:rPr>
                <w:rFonts w:ascii="Arial" w:cs="Arial" w:eastAsia="Arial" w:hAnsi="Arial"/>
                <w:sz w:val="20"/>
                <w:szCs w:val="20"/>
                <w:b w:val="1"/>
                <w:bCs w:val="1"/>
                <w:color w:val="auto"/>
              </w:rPr>
              <w:t>Lender</w:t>
            </w:r>
          </w:p>
        </w:tc>
        <w:tc>
          <w:tcPr>
            <w:tcW w:w="3700" w:type="dxa"/>
            <w:vAlign w:val="bottom"/>
          </w:tcPr>
          <w:p>
            <w:pPr>
              <w:ind w:left="1900"/>
              <w:spacing w:after="0"/>
              <w:rPr>
                <w:sz w:val="20"/>
                <w:szCs w:val="20"/>
                <w:color w:val="auto"/>
              </w:rPr>
            </w:pPr>
            <w:r>
              <w:rPr>
                <w:rFonts w:ascii="Arial" w:cs="Arial" w:eastAsia="Arial" w:hAnsi="Arial"/>
                <w:sz w:val="20"/>
                <w:szCs w:val="20"/>
                <w:b w:val="1"/>
                <w:bCs w:val="1"/>
                <w:color w:val="auto"/>
              </w:rPr>
              <w:t>Commitment</w:t>
            </w:r>
          </w:p>
        </w:tc>
        <w:tc>
          <w:tcPr>
            <w:tcW w:w="2940" w:type="dxa"/>
            <w:vAlign w:val="bottom"/>
          </w:tcPr>
          <w:p>
            <w:pPr>
              <w:jc w:val="right"/>
              <w:ind w:right="881"/>
              <w:spacing w:after="0"/>
              <w:rPr>
                <w:sz w:val="20"/>
                <w:szCs w:val="20"/>
                <w:color w:val="auto"/>
              </w:rPr>
            </w:pPr>
            <w:r>
              <w:rPr>
                <w:rFonts w:ascii="Arial" w:cs="Arial" w:eastAsia="Arial" w:hAnsi="Arial"/>
                <w:sz w:val="20"/>
                <w:szCs w:val="20"/>
                <w:b w:val="1"/>
                <w:bCs w:val="1"/>
                <w:color w:val="auto"/>
              </w:rPr>
              <w:t>Pro Rata Share</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Wells Fargo Bank, National Association</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$51,000,000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8.500000000%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BMO Harris Financing, Inc.</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$42,000,000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7.000000000%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The Bank of Tokyo Mitsubishi UFJ, Ltd.</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$48,000,000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8.000000000%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Citibank, N.A.</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$48,000,000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8.000000000%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Compass Bank</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$48,000,000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8.000000000%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SunTrust Bank</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$48,000,000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8.000000000%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U.S. Bank National Association</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$48,000,000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8.000000000%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Branch Banking and Trust Company</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$45,000,000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7.500000000%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Export Development Canada</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$45,000,000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7.500000000%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Capital One, National Association</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$27,000,000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4.500000000%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Credit Agricole Corporate and Investment Bank</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$27,000,000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4.500000000%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PNC Bank, National Association</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$27,000,000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4.500000000%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Comerica Bank</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$15,000,000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2.500000000%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DNB Capital LLC</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$15,000,000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2.500000000%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Fifth Third Bank</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$15,000,000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2.500000000%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w w:val="95"/>
              </w:rPr>
              <w:t>Sumitomo Mitsui Banking Corporation, NY Branch</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$15,000,000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2.500000000%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Deutsche Bank AG New York Branch</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$12,000,000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2.000000000%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Goldman Sachs Bank USA</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$12,000,000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2.000000000%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color w:val="auto"/>
              </w:rPr>
              <w:t>JPMorgan Chase Bank, N.A.</w:t>
            </w:r>
          </w:p>
        </w:tc>
        <w:tc>
          <w:tcPr>
            <w:tcW w:w="3700" w:type="dxa"/>
            <w:vAlign w:val="bottom"/>
          </w:tcPr>
          <w:p>
            <w:pPr>
              <w:jc w:val="center"/>
              <w:ind w:left="1101"/>
              <w:spacing w:after="0"/>
              <w:rPr>
                <w:sz w:val="20"/>
                <w:szCs w:val="20"/>
                <w:color w:val="auto"/>
              </w:rPr>
            </w:pPr>
            <w:r>
              <w:rPr>
                <w:rFonts w:ascii="Arial" w:cs="Arial" w:eastAsia="Arial" w:hAnsi="Arial"/>
                <w:sz w:val="20"/>
                <w:szCs w:val="20"/>
                <w:color w:val="auto"/>
                <w:w w:val="88"/>
              </w:rPr>
              <w:t>$12,000,000</w:t>
            </w:r>
          </w:p>
        </w:tc>
        <w:tc>
          <w:tcPr>
            <w:tcW w:w="2940" w:type="dxa"/>
            <w:vAlign w:val="bottom"/>
          </w:tcPr>
          <w:p>
            <w:pPr>
              <w:jc w:val="right"/>
              <w:ind w:right="421"/>
              <w:spacing w:after="0"/>
              <w:rPr>
                <w:sz w:val="20"/>
                <w:szCs w:val="20"/>
                <w:color w:val="auto"/>
              </w:rPr>
            </w:pPr>
            <w:r>
              <w:rPr>
                <w:rFonts w:ascii="Arial" w:cs="Arial" w:eastAsia="Arial" w:hAnsi="Arial"/>
                <w:sz w:val="20"/>
                <w:szCs w:val="20"/>
                <w:color w:val="auto"/>
              </w:rPr>
              <w:t>2.000000000%</w:t>
            </w:r>
          </w:p>
        </w:tc>
      </w:tr>
      <w:tr>
        <w:trPr>
          <w:trHeight w:val="284"/>
        </w:trPr>
        <w:tc>
          <w:tcPr>
            <w:tcW w:w="42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3700" w:type="dxa"/>
            <w:vAlign w:val="bottom"/>
          </w:tcPr>
          <w:p>
            <w:pPr>
              <w:jc w:val="center"/>
              <w:ind w:left="1101"/>
              <w:spacing w:after="0"/>
              <w:rPr>
                <w:sz w:val="20"/>
                <w:szCs w:val="20"/>
                <w:color w:val="auto"/>
              </w:rPr>
            </w:pPr>
            <w:r>
              <w:rPr>
                <w:rFonts w:ascii="Arial" w:cs="Arial" w:eastAsia="Arial" w:hAnsi="Arial"/>
                <w:sz w:val="20"/>
                <w:szCs w:val="20"/>
                <w:b w:val="1"/>
                <w:bCs w:val="1"/>
                <w:color w:val="auto"/>
                <w:w w:val="89"/>
              </w:rPr>
              <w:t>$600,000,000.00</w:t>
            </w:r>
          </w:p>
        </w:tc>
        <w:tc>
          <w:tcPr>
            <w:tcW w:w="2940" w:type="dxa"/>
            <w:vAlign w:val="bottom"/>
          </w:tcPr>
          <w:p>
            <w:pPr>
              <w:jc w:val="right"/>
              <w:ind w:right="821"/>
              <w:spacing w:after="0"/>
              <w:rPr>
                <w:sz w:val="20"/>
                <w:szCs w:val="20"/>
                <w:color w:val="auto"/>
              </w:rPr>
            </w:pPr>
            <w:r>
              <w:rPr>
                <w:rFonts w:ascii="Arial" w:cs="Arial" w:eastAsia="Arial" w:hAnsi="Arial"/>
                <w:sz w:val="20"/>
                <w:szCs w:val="20"/>
                <w:b w:val="1"/>
                <w:bCs w:val="1"/>
                <w:color w:val="auto"/>
              </w:rPr>
              <w:t>100.000000000%</w:t>
            </w:r>
          </w:p>
        </w:tc>
      </w:tr>
    </w:tbl>
    <w:p>
      <w:pPr>
        <w:spacing w:after="0" w:line="200" w:lineRule="exact"/>
        <w:rPr>
          <w:sz w:val="20"/>
          <w:szCs w:val="20"/>
          <w:color w:val="auto"/>
        </w:rPr>
      </w:pPr>
    </w:p>
    <w:p>
      <w:pPr>
        <w:sectPr>
          <w:pgSz w:w="11900" w:h="16838" w:orient="portrait"/>
          <w:cols w:equalWidth="0" w:num="1">
            <w:col w:w="10900"/>
          </w:cols>
          <w:pgMar w:left="76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900"/>
          </w:cols>
          <w:pgMar w:left="760" w:top="121" w:right="2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EXHIBIT E -1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0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Reference is hereby made to the Term Loan Agreement dated as of April 18, 2012 (as amended,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among QEP RESOURCES, INC., as Borrower, WELLS FARGO BANK, NATIONAL ASSOCIATION, as Administrative Agent, and the Lenders from time to time parties thereto.</w:t>
      </w:r>
    </w:p>
    <w:p>
      <w:pPr>
        <w:spacing w:after="0" w:line="18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Pursuant to the provisions of Section 3.01 of the Loan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 (C) of the Code.</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1"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EXHIBIT E -2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0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Reference is hereby made to the Term Loan Agreement dated as of April 18, 2012 (as amended,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among QEP RESOURCES, INC., as Borrower, WELLS FARGO BANK, NATIONAL ASSOCIATION, as Administrative Agent, and the Lenders from time to time parties thereto.</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355"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EXHIBIT E -3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0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Reference is hereby made to the Term Loan Agreement dated as of April 18, 2012 (as amended,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among QEP RESOURCES, INC., as Borrower, WELLS FARGO BANK, NATIONAL ASSOCIATION, as Administrative Agent, and the Lenders from time to time parties thereto.</w:t>
      </w:r>
    </w:p>
    <w:p>
      <w:pPr>
        <w:spacing w:after="0" w:line="18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of the Loan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9"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3"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355"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EXHIBIT E -4</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0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Reference is hereby made to the Term Loan Agreement dated as of April 18, 2012 (as amended,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among QEP RESOURCES, INC., as Borrower, WELLS FARGO BANK, NATIONAL ASSOCIATION, as Administrative Agent, and the Lenders from time to time parties thereto.</w:t>
      </w:r>
    </w:p>
    <w:p>
      <w:pPr>
        <w:spacing w:after="0" w:line="18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of the Loan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1"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69"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AMENDMENT TO CREDIT AGREEMENT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THIRD AMENDMENT TO CREDIT AGREEMENT</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is made and entered into as of January 31, 2014, by and among </w:t>
      </w:r>
      <w:r>
        <w:rPr>
          <w:rFonts w:ascii="Arial" w:cs="Arial" w:eastAsia="Arial" w:hAnsi="Arial"/>
          <w:sz w:val="20"/>
          <w:szCs w:val="20"/>
          <w:b w:val="1"/>
          <w:bCs w:val="1"/>
          <w:color w:val="auto"/>
        </w:rPr>
        <w:t>QEP RESOURCES, INC.</w:t>
      </w:r>
      <w:r>
        <w:rPr>
          <w:rFonts w:ascii="Arial" w:cs="Arial" w:eastAsia="Arial" w:hAnsi="Arial"/>
          <w:sz w:val="20"/>
          <w:szCs w:val="20"/>
          <w:color w:val="auto"/>
        </w:rPr>
        <w:t>,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named on the signature pages hereto, and WELLS FARGO BANK, NATIONAL ASSOCIATION, as Administrative Agent for the Lenders (in such capacity,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 L/C Issuer and Swing Line Lender.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 I T N E S S E T H:</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the Lenders and the Administrative Agent are parties to that certain Credit Agreement dated as of August</w:t>
      </w:r>
      <w:r>
        <w:rPr>
          <w:rFonts w:ascii="Arial" w:cs="Arial" w:eastAsia="Arial" w:hAnsi="Arial"/>
          <w:sz w:val="20"/>
          <w:szCs w:val="20"/>
          <w:b w:val="1"/>
          <w:bCs w:val="1"/>
          <w:color w:val="auto"/>
        </w:rPr>
        <w:t xml:space="preserve"> </w:t>
      </w:r>
      <w:r>
        <w:rPr>
          <w:rFonts w:ascii="Arial" w:cs="Arial" w:eastAsia="Arial" w:hAnsi="Arial"/>
          <w:sz w:val="20"/>
          <w:szCs w:val="20"/>
          <w:color w:val="auto"/>
        </w:rPr>
        <w:t>25, 2011, as amended by that certain First Amendment to Credit Agreement dated as of July 6, 2012, and that certain Second Amendment to Credit Agreement dated as of August 13, 2013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and as amended by this Amendment,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 through its wholly-owned subsidiary, QEP Energy Company, as buyer, and EnerVest Holding, L.P.,</w:t>
      </w:r>
      <w:r>
        <w:rPr>
          <w:rFonts w:ascii="Arial" w:cs="Arial" w:eastAsia="Arial" w:hAnsi="Arial"/>
          <w:sz w:val="19"/>
          <w:szCs w:val="19"/>
          <w:b w:val="1"/>
          <w:bCs w:val="1"/>
          <w:color w:val="auto"/>
        </w:rPr>
        <w:t xml:space="preserve"> </w:t>
      </w:r>
      <w:r>
        <w:rPr>
          <w:rFonts w:ascii="Arial" w:cs="Arial" w:eastAsia="Arial" w:hAnsi="Arial"/>
          <w:sz w:val="19"/>
          <w:szCs w:val="19"/>
          <w:color w:val="auto"/>
        </w:rPr>
        <w:t>EnerVest Energy Institutional Fund XII-A, L.P., EnerVest Energy Institutional Fund XII-WIB, L.P., and EnerVest Energy Institutional Fund XII-WIC, L.P. as sellers (collectively, the “</w:t>
      </w:r>
      <w:r>
        <w:rPr>
          <w:rFonts w:ascii="Arial" w:cs="Arial" w:eastAsia="Arial" w:hAnsi="Arial"/>
          <w:sz w:val="19"/>
          <w:szCs w:val="19"/>
          <w:u w:val="single" w:color="auto"/>
          <w:color w:val="auto"/>
        </w:rPr>
        <w:t>Seller</w:t>
      </w:r>
      <w:r>
        <w:rPr>
          <w:rFonts w:ascii="Arial" w:cs="Arial" w:eastAsia="Arial" w:hAnsi="Arial"/>
          <w:sz w:val="19"/>
          <w:szCs w:val="19"/>
          <w:color w:val="auto"/>
        </w:rPr>
        <w:t>”), have entered into that certain Purchase and Sale Agreement dated as of December 6, 2013, as it may be amended (the “</w:t>
      </w:r>
      <w:r>
        <w:rPr>
          <w:rFonts w:ascii="Arial" w:cs="Arial" w:eastAsia="Arial" w:hAnsi="Arial"/>
          <w:sz w:val="19"/>
          <w:szCs w:val="19"/>
          <w:u w:val="single" w:color="auto"/>
          <w:color w:val="auto"/>
        </w:rPr>
        <w:t>Permian Acquisition Agreement</w:t>
      </w:r>
      <w:r>
        <w:rPr>
          <w:rFonts w:ascii="Arial" w:cs="Arial" w:eastAsia="Arial" w:hAnsi="Arial"/>
          <w:sz w:val="19"/>
          <w:szCs w:val="19"/>
          <w:color w:val="auto"/>
        </w:rPr>
        <w:t>”), pursuant to which the Borrower, through QEP Energy Company, has agreed to purchase certain oil and natural gas interests in the Midland sub-basin of the Permian Basin in Martin and Andrews Counties, Texas as more particularly described therein (such acquisition, the “</w:t>
      </w:r>
      <w:r>
        <w:rPr>
          <w:rFonts w:ascii="Arial" w:cs="Arial" w:eastAsia="Arial" w:hAnsi="Arial"/>
          <w:sz w:val="19"/>
          <w:szCs w:val="19"/>
          <w:u w:val="single" w:color="auto"/>
          <w:color w:val="auto"/>
        </w:rPr>
        <w:t>Permian Acquisition</w:t>
      </w:r>
      <w:r>
        <w:rPr>
          <w:rFonts w:ascii="Arial" w:cs="Arial" w:eastAsia="Arial" w:hAnsi="Arial"/>
          <w:sz w:val="19"/>
          <w:szCs w:val="19"/>
          <w:color w:val="auto"/>
        </w:rPr>
        <w:t>”);</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intends to structure the Permian Acquisition to qualify for reverse like-kind exchange treatment under</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1031 of the Internal Revenue Code and the regulations and revenue procedures promulgated thereunder; and</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subject to terms of this Amendment, the Borrower, the Administrative Agent and the undersigned Lenders have agreed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amend the Existing Credit Agreement as set forth in </w:t>
      </w:r>
      <w:r>
        <w:rPr>
          <w:rFonts w:ascii="Arial" w:cs="Arial" w:eastAsia="Arial" w:hAnsi="Arial"/>
          <w:sz w:val="20"/>
          <w:szCs w:val="20"/>
          <w:b w:val="1"/>
          <w:bCs w:val="1"/>
          <w:i w:val="1"/>
          <w:iCs w:val="1"/>
          <w:color w:val="auto"/>
        </w:rPr>
        <w:t>Section 2</w:t>
      </w:r>
      <w:r>
        <w:rPr>
          <w:rFonts w:ascii="Arial" w:cs="Arial" w:eastAsia="Arial" w:hAnsi="Arial"/>
          <w:sz w:val="20"/>
          <w:szCs w:val="20"/>
          <w:color w:val="auto"/>
        </w:rPr>
        <w:t xml:space="preserve"> below, such amendments to be effective on the Third Amendment Effective Date as hereinafter defined.</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the receipt and sufficiency of which are hereby acknowledged,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hereto hereby agree as follows:</w:t>
      </w:r>
    </w:p>
    <w:p>
      <w:pPr>
        <w:spacing w:after="0" w:line="177" w:lineRule="exact"/>
        <w:rPr>
          <w:sz w:val="20"/>
          <w:szCs w:val="20"/>
          <w:color w:val="auto"/>
        </w:rPr>
      </w:pPr>
    </w:p>
    <w:p>
      <w:pPr>
        <w:ind w:left="1440" w:hanging="784"/>
        <w:spacing w:after="0"/>
        <w:tabs>
          <w:tab w:leader="none" w:pos="1440" w:val="left"/>
        </w:tabs>
        <w:numPr>
          <w:ilvl w:val="0"/>
          <w:numId w:val="125"/>
        </w:numPr>
        <w:rPr>
          <w:rFonts w:ascii="Arial" w:cs="Arial" w:eastAsia="Arial" w:hAnsi="Arial"/>
          <w:sz w:val="18"/>
          <w:szCs w:val="18"/>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62" w:lineRule="exact"/>
        <w:rPr>
          <w:sz w:val="20"/>
          <w:szCs w:val="20"/>
          <w:color w:val="auto"/>
        </w:rPr>
      </w:pPr>
    </w:p>
    <w:p>
      <w:pPr>
        <w:ind w:firstLine="656"/>
        <w:spacing w:after="0" w:line="289" w:lineRule="auto"/>
        <w:tabs>
          <w:tab w:leader="none" w:pos="1496" w:val="left"/>
        </w:tabs>
        <w:numPr>
          <w:ilvl w:val="0"/>
          <w:numId w:val="126"/>
        </w:numPr>
        <w:rPr>
          <w:rFonts w:ascii="Arial" w:cs="Arial" w:eastAsia="Arial" w:hAnsi="Arial"/>
          <w:sz w:val="18"/>
          <w:szCs w:val="18"/>
          <w:color w:val="auto"/>
        </w:rPr>
      </w:pPr>
      <w:r>
        <w:rPr>
          <w:rFonts w:ascii="Arial" w:cs="Arial" w:eastAsia="Arial" w:hAnsi="Arial"/>
          <w:sz w:val="20"/>
          <w:szCs w:val="20"/>
          <w:color w:val="auto"/>
        </w:rPr>
        <w:t>As used herein, “</w:t>
      </w:r>
      <w:r>
        <w:rPr>
          <w:rFonts w:ascii="Arial" w:cs="Arial" w:eastAsia="Arial" w:hAnsi="Arial"/>
          <w:sz w:val="20"/>
          <w:szCs w:val="20"/>
          <w:u w:val="single" w:color="auto"/>
          <w:color w:val="auto"/>
        </w:rPr>
        <w:t>Transactions</w:t>
      </w:r>
      <w:r>
        <w:rPr>
          <w:rFonts w:ascii="Arial" w:cs="Arial" w:eastAsia="Arial" w:hAnsi="Arial"/>
          <w:sz w:val="20"/>
          <w:szCs w:val="20"/>
          <w:color w:val="auto"/>
        </w:rPr>
        <w:t>” means collectively, the Permian Acquisition, the execution of this Amendment and the incurrence of Indebtedness by the Borrower or its Subsidiaries in connection with the Permian Acquisition.</w:t>
      </w:r>
    </w:p>
    <w:p>
      <w:pPr>
        <w:spacing w:after="0" w:line="188" w:lineRule="exact"/>
        <w:rPr>
          <w:rFonts w:ascii="Arial" w:cs="Arial" w:eastAsia="Arial" w:hAnsi="Arial"/>
          <w:sz w:val="18"/>
          <w:szCs w:val="18"/>
          <w:color w:val="auto"/>
        </w:rPr>
      </w:pPr>
    </w:p>
    <w:p>
      <w:pPr>
        <w:jc w:val="both"/>
        <w:ind w:firstLine="656"/>
        <w:spacing w:after="0" w:line="278" w:lineRule="auto"/>
        <w:tabs>
          <w:tab w:leader="none" w:pos="1506" w:val="left"/>
        </w:tabs>
        <w:numPr>
          <w:ilvl w:val="0"/>
          <w:numId w:val="126"/>
        </w:numPr>
        <w:rPr>
          <w:rFonts w:ascii="Arial" w:cs="Arial" w:eastAsia="Arial" w:hAnsi="Arial"/>
          <w:sz w:val="18"/>
          <w:szCs w:val="18"/>
          <w:color w:val="auto"/>
        </w:rPr>
      </w:pPr>
      <w:r>
        <w:rPr>
          <w:rFonts w:ascii="Arial" w:cs="Arial" w:eastAsia="Arial" w:hAnsi="Arial"/>
          <w:sz w:val="20"/>
          <w:szCs w:val="20"/>
          <w:color w:val="auto"/>
        </w:rPr>
        <w:t xml:space="preserve">Unless otherwise defined in this Amendment, all other terms used in this Amendment which are defined in the Existing Credit Agreement shall have the meanings assigned to such terms in the Existing Credit Agreement. The interpretive provisions set forth in </w:t>
      </w:r>
      <w:r>
        <w:rPr>
          <w:rFonts w:ascii="Arial" w:cs="Arial" w:eastAsia="Arial" w:hAnsi="Arial"/>
          <w:sz w:val="20"/>
          <w:szCs w:val="20"/>
          <w:i w:val="1"/>
          <w:iCs w:val="1"/>
          <w:color w:val="auto"/>
        </w:rPr>
        <w:t xml:space="preserve">Section 1.02 </w:t>
      </w:r>
      <w:r>
        <w:rPr>
          <w:rFonts w:ascii="Arial" w:cs="Arial" w:eastAsia="Arial" w:hAnsi="Arial"/>
          <w:sz w:val="20"/>
          <w:szCs w:val="20"/>
          <w:color w:val="auto"/>
        </w:rPr>
        <w:t>of the Existing Credit Agreement shall apply to this Amendment.</w:t>
      </w:r>
    </w:p>
    <w:p>
      <w:pPr>
        <w:spacing w:after="0" w:line="194" w:lineRule="exact"/>
        <w:rPr>
          <w:sz w:val="20"/>
          <w:szCs w:val="20"/>
          <w:color w:val="auto"/>
        </w:rPr>
      </w:pPr>
    </w:p>
    <w:p>
      <w:pPr>
        <w:ind w:firstLine="656"/>
        <w:spacing w:after="0" w:line="354" w:lineRule="auto"/>
        <w:tabs>
          <w:tab w:leader="none" w:pos="1431" w:val="left"/>
        </w:tabs>
        <w:numPr>
          <w:ilvl w:val="0"/>
          <w:numId w:val="127"/>
        </w:numPr>
        <w:rPr>
          <w:rFonts w:ascii="Arial" w:cs="Arial" w:eastAsia="Arial" w:hAnsi="Arial"/>
          <w:sz w:val="16"/>
          <w:szCs w:val="16"/>
          <w:color w:val="auto"/>
        </w:rPr>
      </w:pPr>
      <w:r>
        <w:rPr>
          <w:rFonts w:ascii="Arial" w:cs="Arial" w:eastAsia="Arial" w:hAnsi="Arial"/>
          <w:sz w:val="18"/>
          <w:szCs w:val="18"/>
          <w:b w:val="1"/>
          <w:bCs w:val="1"/>
          <w:u w:val="single" w:color="auto"/>
          <w:color w:val="auto"/>
        </w:rPr>
        <w:t>Amendments to the Existing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amendments to the Existing Credit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on the date (the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xml:space="preserve">”) that the conditions set forth in </w:t>
      </w:r>
      <w:r>
        <w:rPr>
          <w:rFonts w:ascii="Arial" w:cs="Arial" w:eastAsia="Arial" w:hAnsi="Arial"/>
          <w:sz w:val="18"/>
          <w:szCs w:val="18"/>
          <w:b w:val="1"/>
          <w:bCs w:val="1"/>
          <w:i w:val="1"/>
          <w:iCs w:val="1"/>
          <w:color w:val="auto"/>
        </w:rPr>
        <w:t>Section 3</w:t>
      </w:r>
      <w:r>
        <w:rPr>
          <w:rFonts w:ascii="Arial" w:cs="Arial" w:eastAsia="Arial" w:hAnsi="Arial"/>
          <w:sz w:val="18"/>
          <w:szCs w:val="18"/>
          <w:color w:val="auto"/>
        </w:rPr>
        <w:t xml:space="preserve"> of this Amendment have been satisfied.</w:t>
      </w:r>
    </w:p>
    <w:p>
      <w:pPr>
        <w:spacing w:after="0" w:line="138" w:lineRule="exact"/>
        <w:rPr>
          <w:sz w:val="20"/>
          <w:szCs w:val="20"/>
          <w:color w:val="auto"/>
        </w:rPr>
      </w:pPr>
    </w:p>
    <w:p>
      <w:pPr>
        <w:ind w:firstLine="656"/>
        <w:spacing w:after="0" w:line="289" w:lineRule="auto"/>
        <w:tabs>
          <w:tab w:leader="none" w:pos="1496" w:val="left"/>
        </w:tabs>
        <w:numPr>
          <w:ilvl w:val="0"/>
          <w:numId w:val="128"/>
        </w:numPr>
        <w:rPr>
          <w:rFonts w:ascii="Arial" w:cs="Arial" w:eastAsia="Arial" w:hAnsi="Arial"/>
          <w:sz w:val="18"/>
          <w:szCs w:val="18"/>
          <w:color w:val="auto"/>
        </w:rPr>
      </w:pPr>
      <w:r>
        <w:rPr>
          <w:rFonts w:ascii="Arial" w:cs="Arial" w:eastAsia="Arial" w:hAnsi="Arial"/>
          <w:sz w:val="20"/>
          <w:szCs w:val="20"/>
          <w:u w:val="single" w:color="auto"/>
          <w:color w:val="auto"/>
        </w:rPr>
        <w:t>Amended Definition of Eurodollar Rate</w:t>
      </w:r>
      <w:r>
        <w:rPr>
          <w:rFonts w:ascii="Arial" w:cs="Arial" w:eastAsia="Arial" w:hAnsi="Arial"/>
          <w:sz w:val="20"/>
          <w:szCs w:val="20"/>
          <w:color w:val="auto"/>
        </w:rPr>
        <w:t xml:space="preserve">. The definition of Eurodollar Rate appearing in </w:t>
      </w:r>
      <w:r>
        <w:rPr>
          <w:rFonts w:ascii="Arial" w:cs="Arial" w:eastAsia="Arial" w:hAnsi="Arial"/>
          <w:sz w:val="20"/>
          <w:szCs w:val="20"/>
          <w:i w:val="1"/>
          <w:iCs w:val="1"/>
          <w:color w:val="auto"/>
        </w:rPr>
        <w:t>Section 1.01</w:t>
      </w:r>
      <w:r>
        <w:rPr>
          <w:rFonts w:ascii="Arial" w:cs="Arial" w:eastAsia="Arial" w:hAnsi="Arial"/>
          <w:sz w:val="20"/>
          <w:szCs w:val="20"/>
          <w:color w:val="auto"/>
        </w:rPr>
        <w:t xml:space="preserve"> (Defined Terms) of the Existing Credit Agreement is amended in its entirety to read as follows: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w:t>
      </w:r>
      <w:r>
        <w:rPr>
          <w:rFonts w:ascii="Arial" w:cs="Arial" w:eastAsia="Arial" w:hAnsi="Arial"/>
          <w:sz w:val="19"/>
          <w:szCs w:val="19"/>
          <w:color w:val="auto"/>
        </w:rPr>
        <w:t>” means, for any interest rate calculation with respect to a Eurodollar Rate Loan, the rate of interest per annum determined on the basis of the rate for deposits in Dollars for a period equal to the applicable Interest Period which appears on Reuters Screen LIBOR01 Page (or any applicable successor page) at approximately 11:00 a.m. (London time) two (2) Business Days prior to the first day of the applicable Interest Period (rounded upward, if necessary, to the nearest 1/100th of 1%). If, for any reason, such rate does not appear on Reuters Screen LIBOR01 Page (or any applicable successor page), then the “Eurodollar Rate” shall be determined by the Administrative Agent to be the arithmetic average of the rate per annum at which deposits in Dollars in minimum amounts of at least $5,000,000 would be offered by first class banks in the London interbank market to the Administrative Agent at approximately 11:00 a.m. (London time) two (2) Business Days prior to the first day of the applicable Interest Period for a period equal to such Interest Period.</w:t>
      </w:r>
    </w:p>
    <w:p>
      <w:pPr>
        <w:spacing w:after="0" w:line="198" w:lineRule="exact"/>
        <w:rPr>
          <w:sz w:val="20"/>
          <w:szCs w:val="20"/>
          <w:color w:val="auto"/>
        </w:rPr>
      </w:pPr>
    </w:p>
    <w:p>
      <w:pPr>
        <w:ind w:right="20" w:firstLine="656"/>
        <w:spacing w:after="0" w:line="264" w:lineRule="auto"/>
        <w:tabs>
          <w:tab w:leader="none" w:pos="1556" w:val="left"/>
        </w:tabs>
        <w:numPr>
          <w:ilvl w:val="0"/>
          <w:numId w:val="129"/>
        </w:numPr>
        <w:rPr>
          <w:rFonts w:ascii="Arial" w:cs="Arial" w:eastAsia="Arial" w:hAnsi="Arial"/>
          <w:sz w:val="18"/>
          <w:szCs w:val="18"/>
          <w:color w:val="auto"/>
        </w:rPr>
      </w:pPr>
      <w:r>
        <w:rPr>
          <w:rFonts w:ascii="Arial" w:cs="Arial" w:eastAsia="Arial" w:hAnsi="Arial"/>
          <w:sz w:val="20"/>
          <w:szCs w:val="20"/>
          <w:u w:val="single" w:color="auto"/>
          <w:color w:val="auto"/>
        </w:rPr>
        <w:t>Certain Additional Definitions</w:t>
      </w:r>
      <w:r>
        <w:rPr>
          <w:rFonts w:ascii="Arial" w:cs="Arial" w:eastAsia="Arial" w:hAnsi="Arial"/>
          <w:sz w:val="20"/>
          <w:szCs w:val="20"/>
          <w:color w:val="auto"/>
        </w:rPr>
        <w:t xml:space="preserve">. The following defined terms are hereby added to </w:t>
      </w:r>
      <w:r>
        <w:rPr>
          <w:rFonts w:ascii="Arial" w:cs="Arial" w:eastAsia="Arial" w:hAnsi="Arial"/>
          <w:sz w:val="20"/>
          <w:szCs w:val="20"/>
          <w:i w:val="1"/>
          <w:iCs w:val="1"/>
          <w:color w:val="auto"/>
        </w:rPr>
        <w:t>Section 1.01</w:t>
      </w:r>
      <w:r>
        <w:rPr>
          <w:rFonts w:ascii="Arial" w:cs="Arial" w:eastAsia="Arial" w:hAnsi="Arial"/>
          <w:sz w:val="20"/>
          <w:szCs w:val="20"/>
          <w:color w:val="auto"/>
        </w:rPr>
        <w:t xml:space="preserve"> (Defined Terms) of the Credit Agreement in the appropriate alphabetical order: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Permian Assets</w:t>
      </w:r>
      <w:r>
        <w:rPr>
          <w:rFonts w:ascii="Arial" w:cs="Arial" w:eastAsia="Arial" w:hAnsi="Arial"/>
          <w:sz w:val="20"/>
          <w:szCs w:val="20"/>
          <w:color w:val="auto"/>
        </w:rPr>
        <w:t>” has the meaning set forth in the definition of “</w:t>
      </w:r>
      <w:r>
        <w:rPr>
          <w:rFonts w:ascii="Arial" w:cs="Arial" w:eastAsia="Arial" w:hAnsi="Arial"/>
          <w:sz w:val="20"/>
          <w:szCs w:val="20"/>
          <w:u w:val="single" w:color="auto"/>
          <w:color w:val="auto"/>
        </w:rPr>
        <w:t>Permian Acquisition</w:t>
      </w:r>
      <w:r>
        <w:rPr>
          <w:rFonts w:ascii="Arial" w:cs="Arial" w:eastAsia="Arial" w:hAnsi="Arial"/>
          <w:sz w:val="20"/>
          <w:szCs w:val="20"/>
          <w:color w:val="auto"/>
        </w:rPr>
        <w: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the Treasury’s Office of Foreign Assets Control.</w:t>
      </w:r>
    </w:p>
    <w:p>
      <w:pPr>
        <w:spacing w:after="0" w:line="216"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Permian Acquisition</w:t>
      </w:r>
      <w:r>
        <w:rPr>
          <w:rFonts w:ascii="Arial" w:cs="Arial" w:eastAsia="Arial" w:hAnsi="Arial"/>
          <w:sz w:val="20"/>
          <w:szCs w:val="20"/>
          <w:color w:val="auto"/>
        </w:rPr>
        <w:t>” means the acquisition by the Borrower, through its wholly-owned subsidiary, QEP Energy Company, of certain oil and natural gas interests in the Midland sub-basin of the Permian Basin, in Martin and Andrews Counties, Texas (the “</w:t>
      </w:r>
      <w:r>
        <w:rPr>
          <w:rFonts w:ascii="Arial" w:cs="Arial" w:eastAsia="Arial" w:hAnsi="Arial"/>
          <w:sz w:val="20"/>
          <w:szCs w:val="20"/>
          <w:u w:val="single" w:color="auto"/>
          <w:color w:val="auto"/>
        </w:rPr>
        <w:t>Acquired Permian Assets</w:t>
      </w:r>
      <w:r>
        <w:rPr>
          <w:rFonts w:ascii="Arial" w:cs="Arial" w:eastAsia="Arial" w:hAnsi="Arial"/>
          <w:sz w:val="20"/>
          <w:szCs w:val="20"/>
          <w:color w:val="auto"/>
        </w:rPr>
        <w:t>”) pursuant to the Permian Acquisition Agreement.</w:t>
      </w:r>
    </w:p>
    <w:p>
      <w:pPr>
        <w:spacing w:after="0" w:line="186"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Permian Acquisition Agreement</w:t>
      </w:r>
      <w:r>
        <w:rPr>
          <w:rFonts w:ascii="Arial" w:cs="Arial" w:eastAsia="Arial" w:hAnsi="Arial"/>
          <w:sz w:val="20"/>
          <w:szCs w:val="20"/>
          <w:color w:val="auto"/>
        </w:rPr>
        <w:t>” means the Purchase and Sale Agreement dated as of December 6, 2013, as it may be amended, among QEP Energy Company as purchaser and EnerVest Holding, L.P., EnerVest Energy Institutional Fund XII-A, L.P., EnerVest Energy Institutional Fund XII-WIB, L.P., and EnerVest Energy Institutional Fund XII-WIC, L.P. as seller (collectively, the “</w:t>
      </w:r>
      <w:r>
        <w:rPr>
          <w:rFonts w:ascii="Arial" w:cs="Arial" w:eastAsia="Arial" w:hAnsi="Arial"/>
          <w:sz w:val="20"/>
          <w:szCs w:val="20"/>
          <w:u w:val="single" w:color="auto"/>
          <w:color w:val="auto"/>
        </w:rPr>
        <w:t>Seller</w:t>
      </w:r>
      <w:r>
        <w:rPr>
          <w:rFonts w:ascii="Arial" w:cs="Arial" w:eastAsia="Arial" w:hAnsi="Arial"/>
          <w:sz w:val="20"/>
          <w:szCs w:val="20"/>
          <w:color w:val="auto"/>
        </w:rPr>
        <w:t>”).</w:t>
      </w:r>
    </w:p>
    <w:p>
      <w:pPr>
        <w:spacing w:after="0" w:line="192"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 country subject to a sanctions program identified on the list maintained by OFAC and available at http://www.treasury.gov/resource-center/sanctions/Programs/ Pages/Programs.aspx, or as otherwise published from time to time.</w:t>
      </w:r>
    </w:p>
    <w:p>
      <w:pPr>
        <w:spacing w:after="0" w:line="130"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xml:space="preserve">” means (a) a Person named on the list of “Specially Designated Nationals and Blocked Persons” maintained by OFAC available at http://www.treasury.gov/resource-center/sanctions /SDN-List/Pages/default.aspx, or as otherwise published from time to time, or (b) (i) an agency of the government of a Sanctioned Country, (ii) an organization controlled by a </w:t>
      </w:r>
      <w:r>
        <w:rPr>
          <w:rFonts w:ascii="Arial" w:cs="Arial" w:eastAsia="Arial" w:hAnsi="Arial"/>
          <w:sz w:val="19"/>
          <w:szCs w:val="19"/>
          <w:u w:val="single" w:color="auto"/>
          <w:color w:val="auto"/>
        </w:rPr>
        <w:t>Sanctioned</w:t>
      </w:r>
      <w:r>
        <w:rPr>
          <w:rFonts w:ascii="Arial" w:cs="Arial" w:eastAsia="Arial" w:hAnsi="Arial"/>
          <w:sz w:val="19"/>
          <w:szCs w:val="19"/>
          <w:color w:val="auto"/>
        </w:rPr>
        <w:t xml:space="preserve"> Country, or (iii) a person resident in a Sanctioned Country, to the extent subject to a sanctions program administered by the U.S. Department of the Treasury’s Office of Foreign Assets Control.</w:t>
      </w:r>
    </w:p>
    <w:p>
      <w:pPr>
        <w:spacing w:after="0" w:line="194" w:lineRule="exact"/>
        <w:rPr>
          <w:sz w:val="20"/>
          <w:szCs w:val="20"/>
          <w:color w:val="auto"/>
        </w:rPr>
      </w:pPr>
    </w:p>
    <w:p>
      <w:pPr>
        <w:jc w:val="both"/>
        <w:ind w:firstLine="656"/>
        <w:spacing w:after="0" w:line="274" w:lineRule="auto"/>
        <w:tabs>
          <w:tab w:leader="none" w:pos="1496" w:val="left"/>
        </w:tabs>
        <w:numPr>
          <w:ilvl w:val="0"/>
          <w:numId w:val="130"/>
        </w:numPr>
        <w:rPr>
          <w:rFonts w:ascii="Arial" w:cs="Arial" w:eastAsia="Arial" w:hAnsi="Arial"/>
          <w:sz w:val="18"/>
          <w:szCs w:val="18"/>
          <w:color w:val="auto"/>
        </w:rPr>
      </w:pPr>
      <w:r>
        <w:rPr>
          <w:rFonts w:ascii="Arial" w:cs="Arial" w:eastAsia="Arial" w:hAnsi="Arial"/>
          <w:sz w:val="20"/>
          <w:szCs w:val="20"/>
          <w:u w:val="single" w:color="auto"/>
          <w:color w:val="auto"/>
        </w:rPr>
        <w:t>Amendments to</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Article 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(Taxes, Yield Protection and Illegality) and Certain Definitions Relating Thereto</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3.01</w:t>
      </w:r>
      <w:r>
        <w:rPr>
          <w:rFonts w:ascii="Arial" w:cs="Arial" w:eastAsia="Arial" w:hAnsi="Arial"/>
          <w:sz w:val="20"/>
          <w:szCs w:val="20"/>
          <w:color w:val="auto"/>
        </w:rPr>
        <w:t xml:space="preserve"> (Taxes) of the Existing Credit Agreement, </w:t>
      </w:r>
      <w:r>
        <w:rPr>
          <w:rFonts w:ascii="Arial" w:cs="Arial" w:eastAsia="Arial" w:hAnsi="Arial"/>
          <w:sz w:val="20"/>
          <w:szCs w:val="20"/>
          <w:i w:val="1"/>
          <w:iCs w:val="1"/>
          <w:color w:val="auto"/>
        </w:rPr>
        <w:t>Section 3.04</w:t>
      </w:r>
      <w:r>
        <w:rPr>
          <w:rFonts w:ascii="Arial" w:cs="Arial" w:eastAsia="Arial" w:hAnsi="Arial"/>
          <w:sz w:val="20"/>
          <w:szCs w:val="20"/>
          <w:color w:val="auto"/>
        </w:rPr>
        <w:t xml:space="preserve"> (Increased Cost and Reduced Return; Capital Adequacy; Reserves on Eurodollar Rate Loans) of the Existing Credit Agreement and certain definitions used therein, are amended, and new definitions used therein are added, all as set forth on </w:t>
      </w:r>
      <w:r>
        <w:rPr>
          <w:rFonts w:ascii="Arial" w:cs="Arial" w:eastAsia="Arial" w:hAnsi="Arial"/>
          <w:sz w:val="20"/>
          <w:szCs w:val="20"/>
          <w:b w:val="1"/>
          <w:bCs w:val="1"/>
          <w:i w:val="1"/>
          <w:iCs w:val="1"/>
          <w:color w:val="auto"/>
        </w:rPr>
        <w:t>Annex A</w:t>
      </w:r>
      <w:r>
        <w:rPr>
          <w:rFonts w:ascii="Arial" w:cs="Arial" w:eastAsia="Arial" w:hAnsi="Arial"/>
          <w:sz w:val="20"/>
          <w:szCs w:val="20"/>
          <w:color w:val="auto"/>
        </w:rPr>
        <w:t xml:space="preserve"> attached hereto.</w:t>
      </w:r>
    </w:p>
    <w:p>
      <w:pPr>
        <w:spacing w:after="0" w:line="205" w:lineRule="exact"/>
        <w:rPr>
          <w:rFonts w:ascii="Arial" w:cs="Arial" w:eastAsia="Arial" w:hAnsi="Arial"/>
          <w:sz w:val="18"/>
          <w:szCs w:val="18"/>
          <w:color w:val="auto"/>
        </w:rPr>
      </w:pPr>
    </w:p>
    <w:p>
      <w:pPr>
        <w:ind w:firstLine="656"/>
        <w:spacing w:after="0" w:line="289" w:lineRule="auto"/>
        <w:tabs>
          <w:tab w:leader="none" w:pos="1506" w:val="left"/>
        </w:tabs>
        <w:numPr>
          <w:ilvl w:val="0"/>
          <w:numId w:val="130"/>
        </w:numPr>
        <w:rPr>
          <w:rFonts w:ascii="Arial" w:cs="Arial" w:eastAsia="Arial" w:hAnsi="Arial"/>
          <w:sz w:val="18"/>
          <w:szCs w:val="18"/>
          <w:color w:val="auto"/>
        </w:rPr>
      </w:pPr>
      <w:r>
        <w:rPr>
          <w:rFonts w:ascii="Arial" w:cs="Arial" w:eastAsia="Arial" w:hAnsi="Arial"/>
          <w:sz w:val="20"/>
          <w:szCs w:val="20"/>
          <w:u w:val="single" w:color="auto"/>
          <w:color w:val="auto"/>
        </w:rPr>
        <w:t>Addition of</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Section 5.19</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5.19</w:t>
      </w:r>
      <w:r>
        <w:rPr>
          <w:rFonts w:ascii="Arial" w:cs="Arial" w:eastAsia="Arial" w:hAnsi="Arial"/>
          <w:sz w:val="20"/>
          <w:szCs w:val="20"/>
          <w:color w:val="auto"/>
        </w:rPr>
        <w:t xml:space="preserve"> (OFAC) shall be added to the Credit Agreement immediately following </w:t>
      </w:r>
      <w:r>
        <w:rPr>
          <w:rFonts w:ascii="Arial" w:cs="Arial" w:eastAsia="Arial" w:hAnsi="Arial"/>
          <w:sz w:val="20"/>
          <w:szCs w:val="20"/>
          <w:i w:val="1"/>
          <w:iCs w:val="1"/>
          <w:color w:val="auto"/>
        </w:rPr>
        <w:t>Section 5.18</w:t>
      </w:r>
      <w:r>
        <w:rPr>
          <w:rFonts w:ascii="Arial" w:cs="Arial" w:eastAsia="Arial" w:hAnsi="Arial"/>
          <w:sz w:val="20"/>
          <w:szCs w:val="20"/>
          <w:color w:val="auto"/>
        </w:rPr>
        <w:t xml:space="preserve"> of the Credit Agreement and shall read as follows:</w:t>
      </w:r>
    </w:p>
    <w:p>
      <w:pPr>
        <w:spacing w:after="0" w:line="169" w:lineRule="exact"/>
        <w:rPr>
          <w:sz w:val="20"/>
          <w:szCs w:val="20"/>
          <w:color w:val="auto"/>
        </w:rPr>
      </w:pPr>
    </w:p>
    <w:p>
      <w:pPr>
        <w:ind w:left="1300"/>
        <w:spacing w:after="0" w:line="267" w:lineRule="auto"/>
        <w:rPr>
          <w:sz w:val="20"/>
          <w:szCs w:val="20"/>
          <w:color w:val="auto"/>
        </w:rPr>
      </w:pPr>
      <w:r>
        <w:rPr>
          <w:rFonts w:ascii="Arial" w:cs="Arial" w:eastAsia="Arial" w:hAnsi="Arial"/>
          <w:sz w:val="20"/>
          <w:szCs w:val="20"/>
          <w:color w:val="auto"/>
        </w:rPr>
        <w:t xml:space="preserve">“Section 5.19 </w:t>
      </w:r>
      <w:r>
        <w:rPr>
          <w:rFonts w:ascii="Arial" w:cs="Arial" w:eastAsia="Arial" w:hAnsi="Arial"/>
          <w:sz w:val="20"/>
          <w:szCs w:val="20"/>
          <w:b w:val="1"/>
          <w:bCs w:val="1"/>
          <w:color w:val="auto"/>
        </w:rPr>
        <w:t>OFAC</w:t>
      </w:r>
      <w:r>
        <w:rPr>
          <w:rFonts w:ascii="Arial" w:cs="Arial" w:eastAsia="Arial" w:hAnsi="Arial"/>
          <w:sz w:val="20"/>
          <w:szCs w:val="20"/>
          <w:color w:val="auto"/>
        </w:rPr>
        <w:t>. Neither the Borrower nor any Restricted Subsidiary (i) is an “enemy” or an “ally of the enemy” within the meaning of Section 2 of the Trading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jc w:val="both"/>
        <w:ind w:left="1300"/>
        <w:spacing w:after="0" w:line="275" w:lineRule="auto"/>
        <w:rPr>
          <w:sz w:val="20"/>
          <w:szCs w:val="20"/>
          <w:color w:val="auto"/>
        </w:rPr>
      </w:pPr>
      <w:r>
        <w:rPr>
          <w:rFonts w:ascii="Arial" w:cs="Arial" w:eastAsia="Arial" w:hAnsi="Arial"/>
          <w:sz w:val="18"/>
          <w:szCs w:val="18"/>
          <w:color w:val="auto"/>
        </w:rPr>
        <w:t>with the Enemy Act of the United States (50 U.S.C. App. §§ 1 et seq.), (ii) is in violation of (A) the Trading with the Enemy Act, (B) any of the foreign assets control regulations of the United States Treasury Department (31 CFR, Subtitle B, Chapter</w:t>
      </w:r>
    </w:p>
    <w:p>
      <w:pPr>
        <w:spacing w:after="0" w:line="1" w:lineRule="exact"/>
        <w:rPr>
          <w:sz w:val="20"/>
          <w:szCs w:val="20"/>
          <w:color w:val="auto"/>
        </w:rPr>
      </w:pPr>
    </w:p>
    <w:p>
      <w:pPr>
        <w:jc w:val="both"/>
        <w:ind w:left="1300" w:firstLine="5"/>
        <w:spacing w:after="0" w:line="241" w:lineRule="auto"/>
        <w:tabs>
          <w:tab w:leader="none" w:pos="156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or any enabling legislation or executive order relating thereto or (C) the PATRIOT Act, (iii) is a Sanctioned Person or (iv) has more than 10% of its assets in Sanctioned Countries. No part of the proceeds of any Loan will be used directly or indirectly to fund any operations in, finance any investments or activities in or make any payments to, a Sanctioned Person or a Sanctioned Country.”</w:t>
      </w:r>
    </w:p>
    <w:p>
      <w:pPr>
        <w:spacing w:after="0" w:line="208" w:lineRule="exact"/>
        <w:rPr>
          <w:sz w:val="20"/>
          <w:szCs w:val="20"/>
          <w:color w:val="auto"/>
        </w:rPr>
      </w:pPr>
    </w:p>
    <w:p>
      <w:pPr>
        <w:jc w:val="both"/>
        <w:ind w:left="660" w:firstLine="645"/>
        <w:spacing w:after="0" w:line="278" w:lineRule="auto"/>
        <w:tabs>
          <w:tab w:leader="none" w:pos="2156" w:val="left"/>
        </w:tabs>
        <w:numPr>
          <w:ilvl w:val="0"/>
          <w:numId w:val="132"/>
        </w:numPr>
        <w:rPr>
          <w:rFonts w:ascii="Arial" w:cs="Arial" w:eastAsia="Arial" w:hAnsi="Arial"/>
          <w:sz w:val="18"/>
          <w:szCs w:val="18"/>
          <w:color w:val="auto"/>
        </w:rPr>
      </w:pPr>
      <w:r>
        <w:rPr>
          <w:rFonts w:ascii="Arial" w:cs="Arial" w:eastAsia="Arial" w:hAnsi="Arial"/>
          <w:sz w:val="20"/>
          <w:szCs w:val="20"/>
          <w:u w:val="single" w:color="auto"/>
          <w:color w:val="auto"/>
        </w:rPr>
        <w:t>Amendment to</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Section 7.09</w:t>
      </w:r>
      <w:r>
        <w:rPr>
          <w:rFonts w:ascii="Arial" w:cs="Arial" w:eastAsia="Arial" w:hAnsi="Arial"/>
          <w:sz w:val="20"/>
          <w:szCs w:val="20"/>
          <w:color w:val="auto"/>
        </w:rPr>
        <w:t xml:space="preserve">. </w:t>
      </w:r>
      <w:r>
        <w:rPr>
          <w:rFonts w:ascii="Arial" w:cs="Arial" w:eastAsia="Arial" w:hAnsi="Arial"/>
          <w:sz w:val="20"/>
          <w:szCs w:val="20"/>
          <w:i w:val="1"/>
          <w:iCs w:val="1"/>
          <w:color w:val="auto"/>
        </w:rPr>
        <w:t>Section 7.09</w:t>
      </w:r>
      <w:r>
        <w:rPr>
          <w:rFonts w:ascii="Arial" w:cs="Arial" w:eastAsia="Arial" w:hAnsi="Arial"/>
          <w:sz w:val="20"/>
          <w:szCs w:val="20"/>
          <w:color w:val="auto"/>
        </w:rPr>
        <w:t xml:space="preserve"> (Dispositions of Property) of the Existing Credit Agreement is amended by deleting the word “and” at the end of </w:t>
      </w:r>
      <w:r>
        <w:rPr>
          <w:rFonts w:ascii="Arial" w:cs="Arial" w:eastAsia="Arial" w:hAnsi="Arial"/>
          <w:sz w:val="20"/>
          <w:szCs w:val="20"/>
          <w:i w:val="1"/>
          <w:iCs w:val="1"/>
          <w:color w:val="auto"/>
        </w:rPr>
        <w:t>Section 7.09(k)</w:t>
      </w:r>
      <w:r>
        <w:rPr>
          <w:rFonts w:ascii="Arial" w:cs="Arial" w:eastAsia="Arial" w:hAnsi="Arial"/>
          <w:sz w:val="20"/>
          <w:szCs w:val="20"/>
          <w:color w:val="auto"/>
        </w:rPr>
        <w:t xml:space="preserve">, deleting the period at the end of </w:t>
      </w:r>
      <w:r>
        <w:rPr>
          <w:rFonts w:ascii="Arial" w:cs="Arial" w:eastAsia="Arial" w:hAnsi="Arial"/>
          <w:sz w:val="20"/>
          <w:szCs w:val="20"/>
          <w:i w:val="1"/>
          <w:iCs w:val="1"/>
          <w:color w:val="auto"/>
        </w:rPr>
        <w:t>Section 7.09(l)</w:t>
      </w:r>
      <w:r>
        <w:rPr>
          <w:rFonts w:ascii="Arial" w:cs="Arial" w:eastAsia="Arial" w:hAnsi="Arial"/>
          <w:sz w:val="20"/>
          <w:szCs w:val="20"/>
          <w:color w:val="auto"/>
        </w:rPr>
        <w:t xml:space="preserve"> and adding the following new subsection </w:t>
      </w:r>
      <w:r>
        <w:rPr>
          <w:rFonts w:ascii="Arial" w:cs="Arial" w:eastAsia="Arial" w:hAnsi="Arial"/>
          <w:sz w:val="20"/>
          <w:szCs w:val="20"/>
          <w:i w:val="1"/>
          <w:iCs w:val="1"/>
          <w:color w:val="auto"/>
        </w:rPr>
        <w:t>(m)</w:t>
      </w:r>
      <w:r>
        <w:rPr>
          <w:rFonts w:ascii="Arial" w:cs="Arial" w:eastAsia="Arial" w:hAnsi="Arial"/>
          <w:sz w:val="20"/>
          <w:szCs w:val="20"/>
          <w:color w:val="auto"/>
        </w:rPr>
        <w:t xml:space="preserve"> after </w:t>
      </w:r>
      <w:r>
        <w:rPr>
          <w:rFonts w:ascii="Arial" w:cs="Arial" w:eastAsia="Arial" w:hAnsi="Arial"/>
          <w:sz w:val="20"/>
          <w:szCs w:val="20"/>
          <w:i w:val="1"/>
          <w:iCs w:val="1"/>
          <w:color w:val="auto"/>
        </w:rPr>
        <w:t>Section 7.09(l)</w:t>
      </w:r>
      <w:r>
        <w:rPr>
          <w:rFonts w:ascii="Arial" w:cs="Arial" w:eastAsia="Arial" w:hAnsi="Arial"/>
          <w:sz w:val="20"/>
          <w:szCs w:val="20"/>
          <w:color w:val="auto"/>
        </w:rPr>
        <w:t>, which shall read in its entirety as follows:</w:t>
      </w:r>
    </w:p>
    <w:p>
      <w:pPr>
        <w:spacing w:after="0" w:line="187"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color w:val="auto"/>
        </w:rPr>
        <w:t>“(m) assignments, made in order to structure and consummate the Permian Acquisition and a qualifying asset sale as a reverse like kind exchange under Section 1031 of the Code, that are to exchange intermediaries, title holders and/or similar entities that are parties to such reverse like kind exchange transaction, including the assignments of the Permian Acquisition Agreement and other purchase agreements and loan receivables created in connection with such like kind exchange.”</w:t>
      </w:r>
    </w:p>
    <w:p>
      <w:pPr>
        <w:spacing w:after="0" w:line="175" w:lineRule="exact"/>
        <w:rPr>
          <w:sz w:val="20"/>
          <w:szCs w:val="20"/>
          <w:color w:val="auto"/>
        </w:rPr>
      </w:pPr>
    </w:p>
    <w:p>
      <w:pPr>
        <w:ind w:right="20" w:firstLine="656"/>
        <w:spacing w:after="0" w:line="289" w:lineRule="auto"/>
        <w:tabs>
          <w:tab w:leader="none" w:pos="1476" w:val="left"/>
        </w:tabs>
        <w:numPr>
          <w:ilvl w:val="0"/>
          <w:numId w:val="133"/>
        </w:numPr>
        <w:rPr>
          <w:rFonts w:ascii="Arial" w:cs="Arial" w:eastAsia="Arial" w:hAnsi="Arial"/>
          <w:sz w:val="18"/>
          <w:szCs w:val="18"/>
          <w:color w:val="auto"/>
        </w:rPr>
      </w:pPr>
      <w:r>
        <w:rPr>
          <w:rFonts w:ascii="Arial" w:cs="Arial" w:eastAsia="Arial" w:hAnsi="Arial"/>
          <w:sz w:val="20"/>
          <w:szCs w:val="20"/>
          <w:u w:val="single" w:color="auto"/>
          <w:color w:val="auto"/>
        </w:rPr>
        <w:t>Addition of Exhibits</w:t>
      </w:r>
      <w:r>
        <w:rPr>
          <w:rFonts w:ascii="Arial" w:cs="Arial" w:eastAsia="Arial" w:hAnsi="Arial"/>
          <w:sz w:val="20"/>
          <w:szCs w:val="20"/>
          <w:color w:val="auto"/>
        </w:rPr>
        <w:t xml:space="preserve">. </w:t>
      </w:r>
      <w:r>
        <w:rPr>
          <w:rFonts w:ascii="Arial" w:cs="Arial" w:eastAsia="Arial" w:hAnsi="Arial"/>
          <w:sz w:val="20"/>
          <w:szCs w:val="20"/>
          <w:i w:val="1"/>
          <w:iCs w:val="1"/>
          <w:color w:val="auto"/>
        </w:rPr>
        <w:t>Exhibit E-1</w:t>
      </w:r>
      <w:r>
        <w:rPr>
          <w:rFonts w:ascii="Arial" w:cs="Arial" w:eastAsia="Arial" w:hAnsi="Arial"/>
          <w:sz w:val="20"/>
          <w:szCs w:val="20"/>
          <w:color w:val="auto"/>
        </w:rPr>
        <w:t xml:space="preserve">, </w:t>
      </w:r>
      <w:r>
        <w:rPr>
          <w:rFonts w:ascii="Arial" w:cs="Arial" w:eastAsia="Arial" w:hAnsi="Arial"/>
          <w:sz w:val="20"/>
          <w:szCs w:val="20"/>
          <w:i w:val="1"/>
          <w:iCs w:val="1"/>
          <w:color w:val="auto"/>
        </w:rPr>
        <w:t>Exhibit E-2</w:t>
      </w:r>
      <w:r>
        <w:rPr>
          <w:rFonts w:ascii="Arial" w:cs="Arial" w:eastAsia="Arial" w:hAnsi="Arial"/>
          <w:sz w:val="20"/>
          <w:szCs w:val="20"/>
          <w:color w:val="auto"/>
        </w:rPr>
        <w:t xml:space="preserve">, </w:t>
      </w:r>
      <w:r>
        <w:rPr>
          <w:rFonts w:ascii="Arial" w:cs="Arial" w:eastAsia="Arial" w:hAnsi="Arial"/>
          <w:sz w:val="20"/>
          <w:szCs w:val="20"/>
          <w:i w:val="1"/>
          <w:iCs w:val="1"/>
          <w:color w:val="auto"/>
        </w:rPr>
        <w:t>Exhibit E-3</w:t>
      </w:r>
      <w:r>
        <w:rPr>
          <w:rFonts w:ascii="Arial" w:cs="Arial" w:eastAsia="Arial" w:hAnsi="Arial"/>
          <w:sz w:val="20"/>
          <w:szCs w:val="20"/>
          <w:color w:val="auto"/>
        </w:rPr>
        <w:t xml:space="preserve"> and </w:t>
      </w:r>
      <w:r>
        <w:rPr>
          <w:rFonts w:ascii="Arial" w:cs="Arial" w:eastAsia="Arial" w:hAnsi="Arial"/>
          <w:sz w:val="20"/>
          <w:szCs w:val="20"/>
          <w:i w:val="1"/>
          <w:iCs w:val="1"/>
          <w:color w:val="auto"/>
        </w:rPr>
        <w:t>Exhibit E-4</w:t>
      </w:r>
      <w:r>
        <w:rPr>
          <w:rFonts w:ascii="Arial" w:cs="Arial" w:eastAsia="Arial" w:hAnsi="Arial"/>
          <w:sz w:val="20"/>
          <w:szCs w:val="20"/>
          <w:color w:val="auto"/>
        </w:rPr>
        <w:t xml:space="preserve"> attached hereto are added as </w:t>
      </w:r>
      <w:r>
        <w:rPr>
          <w:rFonts w:ascii="Arial" w:cs="Arial" w:eastAsia="Arial" w:hAnsi="Arial"/>
          <w:sz w:val="20"/>
          <w:szCs w:val="20"/>
          <w:i w:val="1"/>
          <w:iCs w:val="1"/>
          <w:color w:val="auto"/>
        </w:rPr>
        <w:t>Exhibit E-1</w:t>
      </w:r>
      <w:r>
        <w:rPr>
          <w:rFonts w:ascii="Arial" w:cs="Arial" w:eastAsia="Arial" w:hAnsi="Arial"/>
          <w:sz w:val="20"/>
          <w:szCs w:val="20"/>
          <w:color w:val="auto"/>
        </w:rPr>
        <w:t xml:space="preserve">, </w:t>
      </w:r>
      <w:r>
        <w:rPr>
          <w:rFonts w:ascii="Arial" w:cs="Arial" w:eastAsia="Arial" w:hAnsi="Arial"/>
          <w:sz w:val="20"/>
          <w:szCs w:val="20"/>
          <w:i w:val="1"/>
          <w:iCs w:val="1"/>
          <w:color w:val="auto"/>
        </w:rPr>
        <w:t>Exhibit</w:t>
      </w:r>
      <w:r>
        <w:rPr>
          <w:rFonts w:ascii="Arial" w:cs="Arial" w:eastAsia="Arial" w:hAnsi="Arial"/>
          <w:sz w:val="20"/>
          <w:szCs w:val="20"/>
          <w:color w:val="auto"/>
        </w:rPr>
        <w:t xml:space="preserve"> </w:t>
      </w:r>
      <w:r>
        <w:rPr>
          <w:rFonts w:ascii="Arial" w:cs="Arial" w:eastAsia="Arial" w:hAnsi="Arial"/>
          <w:sz w:val="20"/>
          <w:szCs w:val="20"/>
          <w:i w:val="1"/>
          <w:iCs w:val="1"/>
          <w:color w:val="auto"/>
        </w:rPr>
        <w:t>E-2</w:t>
      </w:r>
      <w:r>
        <w:rPr>
          <w:rFonts w:ascii="Arial" w:cs="Arial" w:eastAsia="Arial" w:hAnsi="Arial"/>
          <w:sz w:val="20"/>
          <w:szCs w:val="20"/>
          <w:color w:val="auto"/>
        </w:rPr>
        <w:t>,</w:t>
      </w:r>
      <w:r>
        <w:rPr>
          <w:rFonts w:ascii="Arial" w:cs="Arial" w:eastAsia="Arial" w:hAnsi="Arial"/>
          <w:sz w:val="20"/>
          <w:szCs w:val="20"/>
          <w:i w:val="1"/>
          <w:iCs w:val="1"/>
          <w:color w:val="auto"/>
        </w:rPr>
        <w:t xml:space="preserve"> Exhibit E-3 </w:t>
      </w:r>
      <w:r>
        <w:rPr>
          <w:rFonts w:ascii="Arial" w:cs="Arial" w:eastAsia="Arial" w:hAnsi="Arial"/>
          <w:sz w:val="20"/>
          <w:szCs w:val="20"/>
          <w:color w:val="auto"/>
        </w:rPr>
        <w:t>and</w:t>
      </w:r>
      <w:r>
        <w:rPr>
          <w:rFonts w:ascii="Arial" w:cs="Arial" w:eastAsia="Arial" w:hAnsi="Arial"/>
          <w:sz w:val="20"/>
          <w:szCs w:val="20"/>
          <w:i w:val="1"/>
          <w:iCs w:val="1"/>
          <w:color w:val="auto"/>
        </w:rPr>
        <w:t xml:space="preserve"> Exhibit E-4 </w:t>
      </w:r>
      <w:r>
        <w:rPr>
          <w:rFonts w:ascii="Arial" w:cs="Arial" w:eastAsia="Arial" w:hAnsi="Arial"/>
          <w:sz w:val="20"/>
          <w:szCs w:val="20"/>
          <w:color w:val="auto"/>
        </w:rPr>
        <w:t>to the Credit Agreement.</w:t>
      </w:r>
    </w:p>
    <w:p>
      <w:pPr>
        <w:spacing w:after="0" w:line="183" w:lineRule="exact"/>
        <w:rPr>
          <w:sz w:val="20"/>
          <w:szCs w:val="20"/>
          <w:color w:val="auto"/>
        </w:rPr>
      </w:pPr>
    </w:p>
    <w:p>
      <w:pPr>
        <w:ind w:left="1440" w:hanging="784"/>
        <w:spacing w:after="0"/>
        <w:tabs>
          <w:tab w:leader="none" w:pos="1440" w:val="left"/>
        </w:tabs>
        <w:numPr>
          <w:ilvl w:val="0"/>
          <w:numId w:val="134"/>
        </w:numPr>
        <w:rPr>
          <w:rFonts w:ascii="Arial" w:cs="Arial" w:eastAsia="Arial" w:hAnsi="Arial"/>
          <w:sz w:val="16"/>
          <w:szCs w:val="16"/>
          <w:color w:val="auto"/>
        </w:rPr>
      </w:pPr>
      <w:r>
        <w:rPr>
          <w:rFonts w:ascii="Arial" w:cs="Arial" w:eastAsia="Arial" w:hAnsi="Arial"/>
          <w:sz w:val="18"/>
          <w:szCs w:val="18"/>
          <w:b w:val="1"/>
          <w:bCs w:val="1"/>
          <w:u w:val="single" w:color="auto"/>
          <w:color w:val="auto"/>
        </w:rPr>
        <w:t>Conditions of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effectiveness of this Amendment is subject to the satisfaction of the following conditions</w:t>
      </w:r>
    </w:p>
    <w:p>
      <w:pPr>
        <w:spacing w:after="0" w:line="55" w:lineRule="exact"/>
        <w:rPr>
          <w:rFonts w:ascii="Arial" w:cs="Arial" w:eastAsia="Arial" w:hAnsi="Arial"/>
          <w:sz w:val="16"/>
          <w:szCs w:val="16"/>
          <w:color w:val="auto"/>
        </w:rPr>
      </w:pPr>
    </w:p>
    <w:p>
      <w:pPr>
        <w:jc w:val="both"/>
        <w:spacing w:after="0" w:line="299" w:lineRule="auto"/>
        <w:rPr>
          <w:rFonts w:ascii="Arial" w:cs="Arial" w:eastAsia="Arial" w:hAnsi="Arial"/>
          <w:sz w:val="16"/>
          <w:szCs w:val="16"/>
          <w:color w:val="auto"/>
        </w:rPr>
      </w:pPr>
      <w:r>
        <w:rPr>
          <w:rFonts w:ascii="Arial" w:cs="Arial" w:eastAsia="Arial" w:hAnsi="Arial"/>
          <w:sz w:val="19"/>
          <w:szCs w:val="19"/>
          <w:color w:val="auto"/>
        </w:rPr>
        <w:t>precedent: (a) the Administrative Agent shall have received counterparts of this Amendment executed by the Borrower, the Administrative Agent and the Required Lenders; and (b) the Borrower shall have paid Attorney Costs of one counsel to the Administrative Agent incurred in connection with this Amendment, to the extent invoiced prior to the Third Amendment Effective Date.</w:t>
      </w:r>
    </w:p>
    <w:p>
      <w:pPr>
        <w:spacing w:after="0" w:line="176" w:lineRule="exact"/>
        <w:rPr>
          <w:rFonts w:ascii="Arial" w:cs="Arial" w:eastAsia="Arial" w:hAnsi="Arial"/>
          <w:sz w:val="16"/>
          <w:szCs w:val="16"/>
          <w:color w:val="auto"/>
        </w:rPr>
      </w:pPr>
    </w:p>
    <w:p>
      <w:pPr>
        <w:ind w:firstLine="656"/>
        <w:spacing w:after="0" w:line="295" w:lineRule="auto"/>
        <w:tabs>
          <w:tab w:leader="none" w:pos="1431" w:val="left"/>
        </w:tabs>
        <w:numPr>
          <w:ilvl w:val="0"/>
          <w:numId w:val="134"/>
        </w:numPr>
        <w:rPr>
          <w:rFonts w:ascii="Arial" w:cs="Arial" w:eastAsia="Arial" w:hAnsi="Arial"/>
          <w:sz w:val="18"/>
          <w:szCs w:val="18"/>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represents and warrants that on the Third Amendment Effective Date both</w:t>
      </w:r>
      <w:r>
        <w:rPr>
          <w:rFonts w:ascii="Arial" w:cs="Arial" w:eastAsia="Arial" w:hAnsi="Arial"/>
          <w:sz w:val="20"/>
          <w:szCs w:val="20"/>
          <w:b w:val="1"/>
          <w:bCs w:val="1"/>
          <w:color w:val="auto"/>
        </w:rPr>
        <w:t xml:space="preserve"> </w:t>
      </w:r>
      <w:r>
        <w:rPr>
          <w:rFonts w:ascii="Arial" w:cs="Arial" w:eastAsia="Arial" w:hAnsi="Arial"/>
          <w:sz w:val="20"/>
          <w:szCs w:val="20"/>
          <w:color w:val="auto"/>
        </w:rPr>
        <w:t>before and after giving effect to the Transactions:</w:t>
      </w:r>
    </w:p>
    <w:p>
      <w:pPr>
        <w:spacing w:after="0" w:line="183" w:lineRule="exact"/>
        <w:rPr>
          <w:sz w:val="20"/>
          <w:szCs w:val="20"/>
          <w:color w:val="auto"/>
        </w:rPr>
      </w:pPr>
    </w:p>
    <w:p>
      <w:pPr>
        <w:jc w:val="both"/>
        <w:ind w:firstLine="656"/>
        <w:spacing w:after="0" w:line="314" w:lineRule="auto"/>
        <w:tabs>
          <w:tab w:leader="none" w:pos="1496" w:val="left"/>
        </w:tabs>
        <w:numPr>
          <w:ilvl w:val="0"/>
          <w:numId w:val="135"/>
        </w:numPr>
        <w:rPr>
          <w:rFonts w:ascii="Arial" w:cs="Arial" w:eastAsia="Arial" w:hAnsi="Arial"/>
          <w:sz w:val="16"/>
          <w:szCs w:val="16"/>
          <w:color w:val="auto"/>
        </w:rPr>
      </w:pPr>
      <w:r>
        <w:rPr>
          <w:rFonts w:ascii="Arial" w:cs="Arial" w:eastAsia="Arial" w:hAnsi="Arial"/>
          <w:sz w:val="18"/>
          <w:szCs w:val="18"/>
          <w:color w:val="auto"/>
        </w:rPr>
        <w:t>This Amendment has been duly authorized, executed and delivered by the Borrower, and this Amendment and the Credit Agreement as modified hereby each constitutes a legal, valid and binding obligation of the Borrower enforceable in accordance with its respective terms, except as such enforcement may be limited by bankruptcy, insolvency or similar Laws of general application relating to the enforcement of creditors’ rights or by general principles of equity, regardless of whether considered in a proceeding in equity or at law.</w:t>
      </w:r>
    </w:p>
    <w:p>
      <w:pPr>
        <w:spacing w:after="0" w:line="172" w:lineRule="exact"/>
        <w:rPr>
          <w:rFonts w:ascii="Arial" w:cs="Arial" w:eastAsia="Arial" w:hAnsi="Arial"/>
          <w:sz w:val="16"/>
          <w:szCs w:val="16"/>
          <w:color w:val="auto"/>
        </w:rPr>
      </w:pPr>
    </w:p>
    <w:p>
      <w:pPr>
        <w:jc w:val="both"/>
        <w:ind w:firstLine="656"/>
        <w:spacing w:after="0" w:line="310" w:lineRule="auto"/>
        <w:tabs>
          <w:tab w:leader="none" w:pos="1506" w:val="left"/>
        </w:tabs>
        <w:numPr>
          <w:ilvl w:val="0"/>
          <w:numId w:val="135"/>
        </w:numPr>
        <w:rPr>
          <w:rFonts w:ascii="Arial" w:cs="Arial" w:eastAsia="Arial" w:hAnsi="Arial"/>
          <w:sz w:val="16"/>
          <w:szCs w:val="16"/>
          <w:color w:val="auto"/>
        </w:rPr>
      </w:pPr>
      <w:r>
        <w:rPr>
          <w:rFonts w:ascii="Arial" w:cs="Arial" w:eastAsia="Arial" w:hAnsi="Arial"/>
          <w:sz w:val="18"/>
          <w:szCs w:val="18"/>
          <w:color w:val="auto"/>
        </w:rPr>
        <w:t>The representations and warranties of the Borrower set forth in the Credit Agreement are true and correct in all material respects (except that such materiality qualifier shall not be applicable to representations and warranties that already are qualified or modified by materiality in the text thereof), except to the extent that such representations and warranties specifically refer to an earlier date, in which case they shall be true and correct in all material respects (except that such materiality qualifier shall not be applicable to representations and warranties that already are qualified or modified by materiality in the text thereof) as of such earlier date.</w:t>
      </w:r>
    </w:p>
    <w:p>
      <w:pPr>
        <w:spacing w:after="0" w:line="175" w:lineRule="exact"/>
        <w:rPr>
          <w:rFonts w:ascii="Arial" w:cs="Arial" w:eastAsia="Arial" w:hAnsi="Arial"/>
          <w:sz w:val="16"/>
          <w:szCs w:val="16"/>
          <w:color w:val="auto"/>
        </w:rPr>
      </w:pPr>
    </w:p>
    <w:p>
      <w:pPr>
        <w:ind w:left="1500" w:hanging="844"/>
        <w:spacing w:after="0"/>
        <w:tabs>
          <w:tab w:leader="none" w:pos="1500" w:val="left"/>
        </w:tabs>
        <w:numPr>
          <w:ilvl w:val="0"/>
          <w:numId w:val="135"/>
        </w:numPr>
        <w:rPr>
          <w:rFonts w:ascii="Arial" w:cs="Arial" w:eastAsia="Arial" w:hAnsi="Arial"/>
          <w:sz w:val="18"/>
          <w:szCs w:val="18"/>
          <w:color w:val="auto"/>
        </w:rPr>
      </w:pPr>
      <w:r>
        <w:rPr>
          <w:rFonts w:ascii="Arial" w:cs="Arial" w:eastAsia="Arial" w:hAnsi="Arial"/>
          <w:sz w:val="20"/>
          <w:szCs w:val="20"/>
          <w:color w:val="auto"/>
        </w:rPr>
        <w:t>No Default exists.</w:t>
      </w:r>
    </w:p>
    <w:p>
      <w:pPr>
        <w:spacing w:after="0" w:line="250" w:lineRule="exact"/>
        <w:rPr>
          <w:sz w:val="20"/>
          <w:szCs w:val="20"/>
          <w:color w:val="auto"/>
        </w:rPr>
      </w:pPr>
    </w:p>
    <w:p>
      <w:pPr>
        <w:jc w:val="both"/>
        <w:ind w:firstLine="656"/>
        <w:spacing w:after="0" w:line="274" w:lineRule="auto"/>
        <w:tabs>
          <w:tab w:leader="none" w:pos="1431" w:val="left"/>
        </w:tabs>
        <w:numPr>
          <w:ilvl w:val="0"/>
          <w:numId w:val="136"/>
        </w:numPr>
        <w:rPr>
          <w:rFonts w:ascii="Arial" w:cs="Arial" w:eastAsia="Arial" w:hAnsi="Arial"/>
          <w:sz w:val="18"/>
          <w:szCs w:val="18"/>
          <w:color w:val="auto"/>
        </w:rPr>
      </w:pPr>
      <w:r>
        <w:rPr>
          <w:rFonts w:ascii="Arial" w:cs="Arial" w:eastAsia="Arial" w:hAnsi="Arial"/>
          <w:sz w:val="20"/>
          <w:szCs w:val="20"/>
          <w:b w:val="1"/>
          <w:bCs w:val="1"/>
          <w:u w:val="single" w:color="auto"/>
          <w:color w:val="auto"/>
        </w:rPr>
        <w:t>Effect of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except as expressly provided herein, shall not be deemed to be a consent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modification or waiver of any other term or condition of the Existing Credit Agreement. Except as otherwise expressly provided by this Amendment, all of the terms, conditions and provisions of the Existing Credit Agreement and the other Loan Documents shall remain the same, and are hereby ratified and affirmed, and the Credit Agreement, as amended hereby, and the other Loan Documents shall continue in full force and effect. From and after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8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date hereof, each reference in the Credit Agreement, including the schedules and exhibits thereto and the other documents delivered in connection therewith, to the “Credit Agreement,” “this Amendment,” “hereunder,” “hereof,” “herein,” or words of like import, shall mean and be a reference to the Credit Agreement as amended hereby.</w:t>
      </w:r>
    </w:p>
    <w:p>
      <w:pPr>
        <w:spacing w:after="0" w:line="194" w:lineRule="exact"/>
        <w:rPr>
          <w:sz w:val="20"/>
          <w:szCs w:val="20"/>
          <w:color w:val="auto"/>
        </w:rPr>
      </w:pPr>
    </w:p>
    <w:p>
      <w:pPr>
        <w:jc w:val="both"/>
        <w:ind w:firstLine="656"/>
        <w:spacing w:after="0" w:line="311" w:lineRule="auto"/>
        <w:tabs>
          <w:tab w:leader="none" w:pos="1431" w:val="left"/>
        </w:tabs>
        <w:numPr>
          <w:ilvl w:val="0"/>
          <w:numId w:val="137"/>
        </w:numPr>
        <w:rPr>
          <w:rFonts w:ascii="Arial" w:cs="Arial" w:eastAsia="Arial" w:hAnsi="Arial"/>
          <w:sz w:val="16"/>
          <w:szCs w:val="16"/>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for all purposes be construed in accordance with and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New York. The captions in this Amendment are for convenience of reference only and shall not define or limit the provisions hereof. This Amendment may be executed in one or more counterparts, each of which shall be deemed an original but all of which together shall constitute one and the same instrument. Delivery of an executed counterpart of this Amendment by facsimile or in electronic form shall be effective as the delivery of a manually executed counterpart. This Amendment shall be a “Loan Document” as defined in the Credit Agreement.</w:t>
      </w:r>
    </w:p>
    <w:p>
      <w:pPr>
        <w:spacing w:after="0" w:line="171" w:lineRule="exact"/>
        <w:rPr>
          <w:rFonts w:ascii="Arial" w:cs="Arial" w:eastAsia="Arial" w:hAnsi="Arial"/>
          <w:sz w:val="16"/>
          <w:szCs w:val="16"/>
          <w:color w:val="auto"/>
        </w:rPr>
      </w:pPr>
    </w:p>
    <w:p>
      <w:pPr>
        <w:jc w:val="both"/>
        <w:ind w:firstLine="656"/>
        <w:spacing w:after="0" w:line="267" w:lineRule="auto"/>
        <w:tabs>
          <w:tab w:leader="none" w:pos="1431" w:val="left"/>
        </w:tabs>
        <w:numPr>
          <w:ilvl w:val="0"/>
          <w:numId w:val="137"/>
        </w:numPr>
        <w:rPr>
          <w:rFonts w:ascii="Arial" w:cs="Arial" w:eastAsia="Arial" w:hAnsi="Arial"/>
          <w:sz w:val="18"/>
          <w:szCs w:val="18"/>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CREDIT AGREEMENT (AS AMENDED BY THIS AMENDMENT) AND THE OTHER LOAN</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REPRESENT THE FINAL AGREEMENT BETWEEN THE PARTIES AND MAY NOT BE CONTRADICTED BY EVIDENCE OF PRIOR, CONTEMPORANEOUS OR SUBSEQUENT ORAL AGREEMENTS OF THE PARTIES. THERE ARE NO UNWRITTEN ORAL AGREEMENTS BETWEEN THE PARTIES.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 PAGES FOLLOW]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proper and duly authorized officers effective as of the date first written above.</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QEP RESOURCES, INC., as the Borrower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Richard J. Doleshek</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Richard J. Doleshek</w:t>
      </w:r>
    </w:p>
    <w:p>
      <w:pPr>
        <w:ind w:left="3900"/>
        <w:spacing w:after="0"/>
        <w:rPr>
          <w:sz w:val="20"/>
          <w:szCs w:val="20"/>
          <w:color w:val="auto"/>
        </w:rPr>
      </w:pPr>
      <w:r>
        <w:rPr>
          <w:rFonts w:ascii="Arial" w:cs="Arial" w:eastAsia="Arial" w:hAnsi="Arial"/>
          <w:sz w:val="20"/>
          <w:szCs w:val="20"/>
          <w:color w:val="auto"/>
        </w:rPr>
        <w:t>Title: Executive Vice President and Chief Financial Officer</w:t>
      </w:r>
    </w:p>
    <w:p>
      <w:pPr>
        <w:spacing w:after="0" w:line="200" w:lineRule="exact"/>
        <w:rPr>
          <w:sz w:val="20"/>
          <w:szCs w:val="20"/>
          <w:color w:val="auto"/>
        </w:rPr>
      </w:pPr>
    </w:p>
    <w:p>
      <w:pPr>
        <w:ind w:left="3900" w:right="100"/>
        <w:spacing w:after="0" w:line="260" w:lineRule="auto"/>
        <w:rPr>
          <w:sz w:val="20"/>
          <w:szCs w:val="20"/>
          <w:color w:val="auto"/>
        </w:rPr>
      </w:pPr>
      <w:r>
        <w:rPr>
          <w:rFonts w:ascii="Arial" w:cs="Arial" w:eastAsia="Arial" w:hAnsi="Arial"/>
          <w:sz w:val="20"/>
          <w:szCs w:val="20"/>
          <w:color w:val="auto"/>
        </w:rPr>
        <w:t>WELLS FARGO BANK, NATIONAL ASSOCIATION, as Administrative Agent, L/C Issuer, Swing Line Lender and a Lender</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Leanne S. Phillips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Leanne S. Phillips</w:t>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BMO CAPITAL MARKETS FINANCING, INC., as a Lender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Utsey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Kevin Utsey</w:t>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DEUTSCHE BANK TRUST COMPANY AMERICAS, as a Lender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Getz</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Michael Getz</w:t>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Lisa Wong</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Lisa Wong</w:t>
      </w:r>
    </w:p>
    <w:p>
      <w:pPr>
        <w:ind w:left="39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JPMORGAN CHASE BANK, N.A., as a Lender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Traband</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Robert Traband</w:t>
      </w:r>
    </w:p>
    <w:p>
      <w:pPr>
        <w:ind w:left="39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U.S. BANK NATIONAL ASSOCIATION, as a Lender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Justin M. Alexander</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Justin M. Alexander</w:t>
      </w:r>
    </w:p>
    <w:p>
      <w:pPr>
        <w:ind w:left="39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AMEGY BANK NATIONAL ASSOCIATION, as a</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Donaldson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Kevin Donaldson</w:t>
      </w:r>
    </w:p>
    <w:p>
      <w:pPr>
        <w:ind w:left="270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BRANCH BANKING AND TRUST COMPANY, as a Lender</w:t>
      </w:r>
    </w:p>
    <w:p>
      <w:pPr>
        <w:spacing w:after="0" w:line="200" w:lineRule="exact"/>
        <w:rPr>
          <w:sz w:val="20"/>
          <w:szCs w:val="20"/>
          <w:color w:val="auto"/>
        </w:rPr>
      </w:pPr>
    </w:p>
    <w:p>
      <w:pPr>
        <w:spacing w:after="0" w:line="25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Giordano</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James Giordano</w:t>
      </w:r>
    </w:p>
    <w:p>
      <w:pPr>
        <w:ind w:left="2700"/>
        <w:spacing w:after="0"/>
        <w:rPr>
          <w:sz w:val="20"/>
          <w:szCs w:val="20"/>
          <w:color w:val="auto"/>
        </w:rPr>
      </w:pPr>
      <w:r>
        <w:rPr>
          <w:rFonts w:ascii="Arial" w:cs="Arial" w:eastAsia="Arial" w:hAnsi="Arial"/>
          <w:sz w:val="20"/>
          <w:szCs w:val="20"/>
          <w:color w:val="auto"/>
        </w:rPr>
        <w:t>Title:Vice President</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THE BANK OF TOKYO-MITSUBISHI UFJ, LTD.,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Mark Oberreuter</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Mark Oberreuter</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CIBC, INC.,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Trudy Nelson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Trudy Nelson</w:t>
      </w:r>
    </w:p>
    <w:p>
      <w:pPr>
        <w:ind w:left="2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Richard Antl</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Richard Antl</w:t>
      </w:r>
    </w:p>
    <w:p>
      <w:pPr>
        <w:ind w:left="2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CITIBANK, N.A.,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Miller</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John Miller</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COMERICA BANK,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Ekaterina V. Evseey</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Ekaterina V. Evseey</w:t>
      </w:r>
    </w:p>
    <w:p>
      <w:pPr>
        <w:ind w:left="2700"/>
        <w:spacing w:after="0"/>
        <w:rPr>
          <w:sz w:val="20"/>
          <w:szCs w:val="20"/>
          <w:color w:val="auto"/>
        </w:rPr>
      </w:pPr>
      <w:r>
        <w:rPr>
          <w:rFonts w:ascii="Arial" w:cs="Arial" w:eastAsia="Arial" w:hAnsi="Arial"/>
          <w:sz w:val="20"/>
          <w:szCs w:val="20"/>
          <w:color w:val="auto"/>
        </w:rPr>
        <w:t>Title: Assistant Vice President</w:t>
      </w:r>
    </w:p>
    <w:p>
      <w:pPr>
        <w:sectPr>
          <w:pgSz w:w="11900" w:h="16838" w:orient="portrait"/>
          <w:cols w:equalWidth="0" w:num="1">
            <w:col w:w="10220"/>
          </w:cols>
          <w:pgMar w:left="14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20"/>
          </w:cols>
          <w:pgMar w:left="1440" w:top="121" w:right="239" w:bottom="1440" w:gutter="0" w:footer="0" w:header="0"/>
          <w:type w:val="continuous"/>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COMPASS BANK,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Neblett</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James Neblett</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CREDIT AGRICOLE CORPORATE AND INVESTMENT BANK,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Willis</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Michael Willis</w:t>
      </w:r>
    </w:p>
    <w:p>
      <w:pPr>
        <w:ind w:left="27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ind w:left="2700"/>
        <w:spacing w:after="0"/>
        <w:tabs>
          <w:tab w:leader="none" w:pos="3420" w:val="left"/>
        </w:tabs>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w:t>
      </w:r>
      <w:r>
        <w:rPr>
          <w:sz w:val="20"/>
          <w:szCs w:val="20"/>
          <w:color w:val="auto"/>
        </w:rPr>
        <w:tab/>
      </w:r>
      <w:r>
        <w:rPr>
          <w:rFonts w:ascii="Arial" w:cs="Arial" w:eastAsia="Arial" w:hAnsi="Arial"/>
          <w:sz w:val="16"/>
          <w:szCs w:val="16"/>
          <w:i w:val="1"/>
          <w:iCs w:val="1"/>
          <w:u w:val="single" w:color="auto"/>
          <w:color w:val="auto"/>
        </w:rPr>
        <w:t>Sharada Manne</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Sharada Manne</w:t>
      </w:r>
    </w:p>
    <w:p>
      <w:pPr>
        <w:ind w:left="27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DNB CAPITAL LLC,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Joe Hykle</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Joe Hykle</w:t>
      </w:r>
    </w:p>
    <w:p>
      <w:pPr>
        <w:ind w:left="27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Asuiv Tvelt</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Asuiv Tvelt</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EXPORT DEVELOPMENT CANADA,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Trevor Mulligan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Trevor Mulligan</w:t>
      </w:r>
    </w:p>
    <w:p>
      <w:pPr>
        <w:ind w:left="2700"/>
        <w:spacing w:after="0"/>
        <w:rPr>
          <w:sz w:val="20"/>
          <w:szCs w:val="20"/>
          <w:color w:val="auto"/>
        </w:rPr>
      </w:pPr>
      <w:r>
        <w:rPr>
          <w:rFonts w:ascii="Arial" w:cs="Arial" w:eastAsia="Arial" w:hAnsi="Arial"/>
          <w:sz w:val="20"/>
          <w:szCs w:val="20"/>
          <w:color w:val="auto"/>
        </w:rPr>
        <w:t>Title: Asset Manager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Richard Leong</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Richard Leong</w:t>
      </w:r>
    </w:p>
    <w:p>
      <w:pPr>
        <w:ind w:left="2700"/>
        <w:spacing w:after="0"/>
        <w:rPr>
          <w:sz w:val="20"/>
          <w:szCs w:val="20"/>
          <w:color w:val="auto"/>
        </w:rPr>
      </w:pPr>
      <w:r>
        <w:rPr>
          <w:rFonts w:ascii="Arial" w:cs="Arial" w:eastAsia="Arial" w:hAnsi="Arial"/>
          <w:sz w:val="20"/>
          <w:szCs w:val="20"/>
          <w:color w:val="auto"/>
        </w:rPr>
        <w:t>Title:Asset Manager</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GOLDMAN SACHS BANK USA,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Michelle Latzoni</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Michelle Latzoni</w:t>
      </w:r>
    </w:p>
    <w:p>
      <w:pPr>
        <w:ind w:left="270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0220"/>
          </w:cols>
          <w:pgMar w:left="14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20"/>
          </w:cols>
          <w:pgMar w:left="1440" w:top="121" w:right="239" w:bottom="1440" w:gutter="0" w:footer="0" w:header="0"/>
          <w:type w:val="continuous"/>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MORGAN STANLEY BANK, N.A.,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Dmitriy Barskiy</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Dmitriy Barskiy</w:t>
      </w:r>
    </w:p>
    <w:p>
      <w:pPr>
        <w:ind w:left="2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SUNTRUST BANK, as a Lender</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Shannon Juhan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Shannon Juhan</w:t>
      </w:r>
    </w:p>
    <w:p>
      <w:pPr>
        <w:ind w:left="2700"/>
        <w:spacing w:after="0"/>
        <w:rPr>
          <w:sz w:val="20"/>
          <w:szCs w:val="20"/>
          <w:color w:val="auto"/>
        </w:rPr>
      </w:pPr>
      <w:r>
        <w:rPr>
          <w:rFonts w:ascii="Arial" w:cs="Arial" w:eastAsia="Arial" w:hAnsi="Arial"/>
          <w:sz w:val="20"/>
          <w:szCs w:val="20"/>
          <w:color w:val="auto"/>
        </w:rPr>
        <w:t>Title:Vice President</w:t>
      </w:r>
    </w:p>
    <w:p>
      <w:pPr>
        <w:spacing w:after="0" w:line="20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TORONTO DOMINION (NEW YORK) LLC, as a Lender</w:t>
      </w:r>
    </w:p>
    <w:p>
      <w:pPr>
        <w:spacing w:after="0" w:line="200" w:lineRule="exact"/>
        <w:rPr>
          <w:sz w:val="20"/>
          <w:szCs w:val="20"/>
          <w:color w:val="auto"/>
        </w:rPr>
      </w:pPr>
    </w:p>
    <w:p>
      <w:pPr>
        <w:spacing w:after="0" w:line="25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Masood Fikree</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Masood Fikree</w:t>
      </w:r>
    </w:p>
    <w:p>
      <w:pPr>
        <w:ind w:left="2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1440" w:top="12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64"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Annex A</w:t>
      </w:r>
    </w:p>
    <w:p>
      <w:pPr>
        <w:spacing w:after="0" w:line="200" w:lineRule="exact"/>
        <w:rPr>
          <w:sz w:val="20"/>
          <w:szCs w:val="20"/>
          <w:color w:val="auto"/>
        </w:rPr>
      </w:pPr>
    </w:p>
    <w:p>
      <w:pPr>
        <w:spacing w:after="0" w:line="232" w:lineRule="exact"/>
        <w:rPr>
          <w:sz w:val="20"/>
          <w:szCs w:val="20"/>
          <w:color w:val="auto"/>
        </w:rPr>
      </w:pPr>
    </w:p>
    <w:p>
      <w:pPr>
        <w:ind w:left="1840"/>
        <w:spacing w:after="0"/>
        <w:rPr>
          <w:sz w:val="20"/>
          <w:szCs w:val="20"/>
          <w:color w:val="auto"/>
        </w:rPr>
      </w:pPr>
      <w:r>
        <w:rPr>
          <w:rFonts w:ascii="Arial" w:cs="Arial" w:eastAsia="Arial" w:hAnsi="Arial"/>
          <w:sz w:val="20"/>
          <w:szCs w:val="20"/>
          <w:b w:val="1"/>
          <w:bCs w:val="1"/>
          <w:u w:val="single" w:color="auto"/>
          <w:color w:val="auto"/>
        </w:rPr>
        <w:t xml:space="preserve">Certain Amendments to </w:t>
      </w:r>
      <w:r>
        <w:rPr>
          <w:rFonts w:ascii="Arial" w:cs="Arial" w:eastAsia="Arial" w:hAnsi="Arial"/>
          <w:sz w:val="20"/>
          <w:szCs w:val="20"/>
          <w:b w:val="1"/>
          <w:bCs w:val="1"/>
          <w:i w:val="1"/>
          <w:iCs w:val="1"/>
          <w:u w:val="single" w:color="auto"/>
          <w:color w:val="auto"/>
        </w:rPr>
        <w:t>Article III</w:t>
      </w:r>
      <w:r>
        <w:rPr>
          <w:rFonts w:ascii="Arial" w:cs="Arial" w:eastAsia="Arial" w:hAnsi="Arial"/>
          <w:sz w:val="20"/>
          <w:szCs w:val="20"/>
          <w:b w:val="1"/>
          <w:bCs w:val="1"/>
          <w:u w:val="single" w:color="auto"/>
          <w:color w:val="auto"/>
        </w:rPr>
        <w:t xml:space="preserve"> and Certain Definitions Relating Thereto</w:t>
      </w:r>
    </w:p>
    <w:p>
      <w:pPr>
        <w:spacing w:after="0" w:line="200" w:lineRule="exact"/>
        <w:rPr>
          <w:sz w:val="20"/>
          <w:szCs w:val="20"/>
          <w:color w:val="auto"/>
        </w:rPr>
      </w:pPr>
    </w:p>
    <w:p>
      <w:pPr>
        <w:spacing w:after="0" w:line="251" w:lineRule="exact"/>
        <w:rPr>
          <w:sz w:val="20"/>
          <w:szCs w:val="20"/>
          <w:color w:val="auto"/>
        </w:rPr>
      </w:pPr>
    </w:p>
    <w:p>
      <w:pPr>
        <w:ind w:right="600" w:firstLine="645"/>
        <w:spacing w:after="0" w:line="289" w:lineRule="auto"/>
        <w:tabs>
          <w:tab w:leader="none" w:pos="1496" w:val="left"/>
        </w:tabs>
        <w:numPr>
          <w:ilvl w:val="0"/>
          <w:numId w:val="138"/>
        </w:numPr>
        <w:rPr>
          <w:rFonts w:ascii="Arial" w:cs="Arial" w:eastAsia="Arial" w:hAnsi="Arial"/>
          <w:sz w:val="18"/>
          <w:szCs w:val="18"/>
          <w:color w:val="auto"/>
        </w:rPr>
      </w:pPr>
      <w:r>
        <w:rPr>
          <w:rFonts w:ascii="Arial" w:cs="Arial" w:eastAsia="Arial" w:hAnsi="Arial"/>
          <w:sz w:val="20"/>
          <w:szCs w:val="20"/>
          <w:color w:val="auto"/>
        </w:rPr>
        <w:t xml:space="preserve">The following defined terms appearing in </w:t>
      </w:r>
      <w:r>
        <w:rPr>
          <w:rFonts w:ascii="Arial" w:cs="Arial" w:eastAsia="Arial" w:hAnsi="Arial"/>
          <w:sz w:val="20"/>
          <w:szCs w:val="20"/>
          <w:i w:val="1"/>
          <w:iCs w:val="1"/>
          <w:color w:val="auto"/>
        </w:rPr>
        <w:t>Section 1.01</w:t>
      </w:r>
      <w:r>
        <w:rPr>
          <w:rFonts w:ascii="Arial" w:cs="Arial" w:eastAsia="Arial" w:hAnsi="Arial"/>
          <w:sz w:val="20"/>
          <w:szCs w:val="20"/>
          <w:color w:val="auto"/>
        </w:rPr>
        <w:t xml:space="preserve"> (Defined Terms) of the Existing Credit Agreement are amended as set forth below:</w:t>
      </w:r>
    </w:p>
    <w:p>
      <w:pPr>
        <w:spacing w:after="0" w:line="189" w:lineRule="exact"/>
        <w:rPr>
          <w:sz w:val="20"/>
          <w:szCs w:val="20"/>
          <w:color w:val="auto"/>
        </w:rPr>
      </w:pPr>
    </w:p>
    <w:p>
      <w:pPr>
        <w:ind w:left="1460" w:hanging="815"/>
        <w:spacing w:after="0"/>
        <w:tabs>
          <w:tab w:leader="none" w:pos="1460" w:val="left"/>
        </w:tabs>
        <w:numPr>
          <w:ilvl w:val="0"/>
          <w:numId w:val="139"/>
        </w:numPr>
        <w:rPr>
          <w:rFonts w:ascii="Arial" w:cs="Arial" w:eastAsia="Arial" w:hAnsi="Arial"/>
          <w:sz w:val="18"/>
          <w:szCs w:val="18"/>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Excluded Taxes</w:t>
      </w:r>
      <w:r>
        <w:rPr>
          <w:rFonts w:ascii="Arial" w:cs="Arial" w:eastAsia="Arial" w:hAnsi="Arial"/>
          <w:sz w:val="20"/>
          <w:szCs w:val="20"/>
          <w:color w:val="auto"/>
        </w:rPr>
        <w:t>” is amended to read in its entirety as follows:</w:t>
      </w:r>
    </w:p>
    <w:p>
      <w:pPr>
        <w:spacing w:after="0" w:line="20" w:lineRule="exact"/>
        <w:rPr>
          <w:sz w:val="20"/>
          <w:szCs w:val="20"/>
          <w:color w:val="auto"/>
        </w:rPr>
      </w:pPr>
    </w:p>
    <w:p>
      <w:pPr>
        <w:jc w:val="both"/>
        <w:ind w:left="64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and (d) any U.S. federal withholding Taxes imposed under FATCA.</w:t>
      </w:r>
    </w:p>
    <w:p>
      <w:pPr>
        <w:spacing w:after="0" w:line="203" w:lineRule="exact"/>
        <w:rPr>
          <w:sz w:val="20"/>
          <w:szCs w:val="20"/>
          <w:color w:val="auto"/>
        </w:rPr>
      </w:pPr>
    </w:p>
    <w:p>
      <w:pPr>
        <w:ind w:firstLine="645"/>
        <w:spacing w:after="0" w:line="347" w:lineRule="auto"/>
        <w:tabs>
          <w:tab w:leader="none" w:pos="1516" w:val="left"/>
        </w:tabs>
        <w:numPr>
          <w:ilvl w:val="0"/>
          <w:numId w:val="140"/>
        </w:numPr>
        <w:rPr>
          <w:rFonts w:ascii="Arial" w:cs="Arial" w:eastAsia="Arial" w:hAnsi="Arial"/>
          <w:sz w:val="16"/>
          <w:szCs w:val="16"/>
          <w:color w:val="auto"/>
        </w:rPr>
      </w:pPr>
      <w:r>
        <w:rPr>
          <w:rFonts w:ascii="Arial" w:cs="Arial" w:eastAsia="Arial" w:hAnsi="Arial"/>
          <w:sz w:val="18"/>
          <w:szCs w:val="18"/>
          <w:color w:val="auto"/>
        </w:rPr>
        <w:t>The definition “</w:t>
      </w:r>
      <w:r>
        <w:rPr>
          <w:rFonts w:ascii="Arial" w:cs="Arial" w:eastAsia="Arial" w:hAnsi="Arial"/>
          <w:sz w:val="18"/>
          <w:szCs w:val="18"/>
          <w:u w:val="single" w:color="auto"/>
          <w:color w:val="auto"/>
        </w:rPr>
        <w:t>FATCA</w:t>
      </w:r>
      <w:r>
        <w:rPr>
          <w:rFonts w:ascii="Arial" w:cs="Arial" w:eastAsia="Arial" w:hAnsi="Arial"/>
          <w:sz w:val="18"/>
          <w:szCs w:val="18"/>
          <w:color w:val="auto"/>
        </w:rPr>
        <w:t>” is amended by deleting the period at the end of such definition and inserting the following: “and any agreements entered into pursuant to Section 1471(b)(1) of the Code or otherwise pursuant to any of the foregoing.”.</w:t>
      </w:r>
    </w:p>
    <w:p>
      <w:pPr>
        <w:spacing w:after="0" w:line="144" w:lineRule="exact"/>
        <w:rPr>
          <w:rFonts w:ascii="Arial" w:cs="Arial" w:eastAsia="Arial" w:hAnsi="Arial"/>
          <w:sz w:val="16"/>
          <w:szCs w:val="16"/>
          <w:color w:val="auto"/>
        </w:rPr>
      </w:pPr>
    </w:p>
    <w:p>
      <w:pPr>
        <w:ind w:left="1560" w:hanging="915"/>
        <w:spacing w:after="0"/>
        <w:tabs>
          <w:tab w:leader="none" w:pos="1560" w:val="left"/>
        </w:tabs>
        <w:numPr>
          <w:ilvl w:val="0"/>
          <w:numId w:val="140"/>
        </w:numPr>
        <w:rPr>
          <w:rFonts w:ascii="Arial" w:cs="Arial" w:eastAsia="Arial" w:hAnsi="Arial"/>
          <w:sz w:val="18"/>
          <w:szCs w:val="18"/>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Foreign Lender</w:t>
      </w:r>
      <w:r>
        <w:rPr>
          <w:rFonts w:ascii="Arial" w:cs="Arial" w:eastAsia="Arial" w:hAnsi="Arial"/>
          <w:sz w:val="20"/>
          <w:szCs w:val="20"/>
          <w:color w:val="auto"/>
        </w:rPr>
        <w:t>” is amended to read in its entirety as follows:</w:t>
      </w:r>
    </w:p>
    <w:p>
      <w:pPr>
        <w:spacing w:after="0" w:line="20"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204" w:lineRule="exact"/>
        <w:rPr>
          <w:sz w:val="20"/>
          <w:szCs w:val="20"/>
          <w:color w:val="auto"/>
        </w:rPr>
      </w:pPr>
    </w:p>
    <w:p>
      <w:pPr>
        <w:jc w:val="both"/>
        <w:ind w:firstLine="645"/>
        <w:spacing w:after="0" w:line="322" w:lineRule="auto"/>
        <w:tabs>
          <w:tab w:leader="none" w:pos="1556" w:val="left"/>
        </w:tabs>
        <w:numPr>
          <w:ilvl w:val="0"/>
          <w:numId w:val="141"/>
        </w:numPr>
        <w:rPr>
          <w:rFonts w:ascii="Arial" w:cs="Arial" w:eastAsia="Arial" w:hAnsi="Arial"/>
          <w:sz w:val="16"/>
          <w:szCs w:val="16"/>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Indemnified Taxes</w:t>
      </w:r>
      <w:r>
        <w:rPr>
          <w:rFonts w:ascii="Arial" w:cs="Arial" w:eastAsia="Arial" w:hAnsi="Arial"/>
          <w:sz w:val="18"/>
          <w:szCs w:val="18"/>
          <w:color w:val="auto"/>
        </w:rPr>
        <w:t>” is amended by inserting “(a)” immediately after “means”, deleting the period at the end of such definition, and inserting the following: “, imposed on or with respect to any payment made by or on account of any obligation of the Borrower under any Loan Document and (b) to the extent not otherwise described in (a), Other Taxes.”</w:t>
      </w:r>
    </w:p>
    <w:p>
      <w:pPr>
        <w:spacing w:after="0" w:line="166" w:lineRule="exact"/>
        <w:rPr>
          <w:rFonts w:ascii="Arial" w:cs="Arial" w:eastAsia="Arial" w:hAnsi="Arial"/>
          <w:sz w:val="16"/>
          <w:szCs w:val="16"/>
          <w:color w:val="auto"/>
        </w:rPr>
      </w:pPr>
    </w:p>
    <w:p>
      <w:pPr>
        <w:ind w:left="1500" w:hanging="855"/>
        <w:spacing w:after="0"/>
        <w:tabs>
          <w:tab w:leader="none" w:pos="1500" w:val="left"/>
        </w:tabs>
        <w:numPr>
          <w:ilvl w:val="0"/>
          <w:numId w:val="141"/>
        </w:numPr>
        <w:rPr>
          <w:rFonts w:ascii="Arial" w:cs="Arial" w:eastAsia="Arial" w:hAnsi="Arial"/>
          <w:sz w:val="18"/>
          <w:szCs w:val="18"/>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Other Taxes</w:t>
      </w:r>
      <w:r>
        <w:rPr>
          <w:rFonts w:ascii="Arial" w:cs="Arial" w:eastAsia="Arial" w:hAnsi="Arial"/>
          <w:sz w:val="20"/>
          <w:szCs w:val="20"/>
          <w:color w:val="auto"/>
        </w:rPr>
        <w:t>” is amended to read in its entirety as follows:</w:t>
      </w:r>
    </w:p>
    <w:p>
      <w:pPr>
        <w:spacing w:after="0" w:line="20" w:lineRule="exact"/>
        <w:rPr>
          <w:sz w:val="20"/>
          <w:szCs w:val="20"/>
          <w:color w:val="auto"/>
        </w:rPr>
      </w:pPr>
    </w:p>
    <w:p>
      <w:pPr>
        <w:jc w:val="both"/>
        <w:ind w:left="64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10.15</w:t>
      </w:r>
      <w:r>
        <w:rPr>
          <w:rFonts w:ascii="Arial" w:cs="Arial" w:eastAsia="Arial" w:hAnsi="Arial"/>
          <w:sz w:val="18"/>
          <w:szCs w:val="18"/>
          <w:color w:val="auto"/>
        </w:rPr>
        <w:t>).</w:t>
      </w:r>
    </w:p>
    <w:p>
      <w:pPr>
        <w:spacing w:after="0" w:line="175" w:lineRule="exact"/>
        <w:rPr>
          <w:sz w:val="20"/>
          <w:szCs w:val="20"/>
          <w:color w:val="auto"/>
        </w:rPr>
      </w:pPr>
    </w:p>
    <w:p>
      <w:pPr>
        <w:ind w:firstLine="645"/>
        <w:spacing w:after="0" w:line="289" w:lineRule="auto"/>
        <w:tabs>
          <w:tab w:leader="none" w:pos="1506" w:val="left"/>
        </w:tabs>
        <w:numPr>
          <w:ilvl w:val="0"/>
          <w:numId w:val="142"/>
        </w:numPr>
        <w:rPr>
          <w:rFonts w:ascii="Arial" w:cs="Arial" w:eastAsia="Arial" w:hAnsi="Arial"/>
          <w:sz w:val="18"/>
          <w:szCs w:val="18"/>
          <w:color w:val="auto"/>
        </w:rPr>
      </w:pPr>
      <w:r>
        <w:rPr>
          <w:rFonts w:ascii="Arial" w:cs="Arial" w:eastAsia="Arial" w:hAnsi="Arial"/>
          <w:sz w:val="20"/>
          <w:szCs w:val="20"/>
          <w:color w:val="auto"/>
        </w:rPr>
        <w:t xml:space="preserve">The following defined terms are hereby added to </w:t>
      </w:r>
      <w:r>
        <w:rPr>
          <w:rFonts w:ascii="Arial" w:cs="Arial" w:eastAsia="Arial" w:hAnsi="Arial"/>
          <w:sz w:val="20"/>
          <w:szCs w:val="20"/>
          <w:i w:val="1"/>
          <w:iCs w:val="1"/>
          <w:color w:val="auto"/>
        </w:rPr>
        <w:t>Section 1.01</w:t>
      </w:r>
      <w:r>
        <w:rPr>
          <w:rFonts w:ascii="Arial" w:cs="Arial" w:eastAsia="Arial" w:hAnsi="Arial"/>
          <w:sz w:val="20"/>
          <w:szCs w:val="20"/>
          <w:color w:val="auto"/>
        </w:rPr>
        <w:t xml:space="preserve"> (Defined Terms) of the Existing Credit Agreement in the appropriate alphabetical order:</w:t>
      </w:r>
    </w:p>
    <w:p>
      <w:pPr>
        <w:spacing w:after="0" w:line="19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0"/>
          </w:cols>
          <w:pgMar w:left="90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jc w:val="both"/>
        <w:ind w:left="64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solely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5" w:lineRule="exact"/>
        <w:rPr>
          <w:sz w:val="20"/>
          <w:szCs w:val="20"/>
          <w:color w:val="auto"/>
        </w:rPr>
      </w:pPr>
    </w:p>
    <w:p>
      <w:pPr>
        <w:ind w:left="64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(b) any Lender, and (c) any L/C Issuer, as applicable.</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the Borrower and the Administrative Agent.</w:t>
      </w:r>
    </w:p>
    <w:p>
      <w:pPr>
        <w:spacing w:after="0" w:line="229" w:lineRule="exact"/>
        <w:rPr>
          <w:sz w:val="20"/>
          <w:szCs w:val="20"/>
          <w:color w:val="auto"/>
        </w:rPr>
      </w:pPr>
    </w:p>
    <w:p>
      <w:pPr>
        <w:ind w:left="1504" w:hanging="855"/>
        <w:spacing w:after="0"/>
        <w:tabs>
          <w:tab w:leader="none" w:pos="1504" w:val="left"/>
        </w:tabs>
        <w:numPr>
          <w:ilvl w:val="0"/>
          <w:numId w:val="143"/>
        </w:numPr>
        <w:rPr>
          <w:rFonts w:ascii="Arial" w:cs="Arial" w:eastAsia="Arial" w:hAnsi="Arial"/>
          <w:sz w:val="18"/>
          <w:szCs w:val="18"/>
          <w:color w:val="auto"/>
        </w:rPr>
      </w:pPr>
      <w:r>
        <w:rPr>
          <w:rFonts w:ascii="Arial" w:cs="Arial" w:eastAsia="Arial" w:hAnsi="Arial"/>
          <w:sz w:val="20"/>
          <w:szCs w:val="20"/>
          <w:i w:val="1"/>
          <w:iCs w:val="1"/>
          <w:color w:val="auto"/>
        </w:rPr>
        <w:t xml:space="preserve">Section 3.01 </w:t>
      </w:r>
      <w:r>
        <w:rPr>
          <w:rFonts w:ascii="Arial" w:cs="Arial" w:eastAsia="Arial" w:hAnsi="Arial"/>
          <w:sz w:val="20"/>
          <w:szCs w:val="20"/>
          <w:color w:val="auto"/>
        </w:rPr>
        <w:t>(Taxes) of the Existing Credit Agreement is amended to read in its entirety as follows:</w:t>
      </w:r>
    </w:p>
    <w:p>
      <w:pPr>
        <w:spacing w:after="0" w:line="200" w:lineRule="exact"/>
        <w:rPr>
          <w:sz w:val="20"/>
          <w:szCs w:val="20"/>
          <w:color w:val="auto"/>
        </w:rPr>
      </w:pPr>
    </w:p>
    <w:p>
      <w:pPr>
        <w:spacing w:after="0" w:line="253"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b w:val="1"/>
          <w:bCs w:val="1"/>
          <w:color w:val="auto"/>
        </w:rPr>
        <w:t>Taxes.</w:t>
      </w:r>
    </w:p>
    <w:p>
      <w:pPr>
        <w:spacing w:after="0" w:line="222" w:lineRule="exact"/>
        <w:rPr>
          <w:sz w:val="20"/>
          <w:szCs w:val="20"/>
          <w:color w:val="auto"/>
        </w:rPr>
      </w:pPr>
    </w:p>
    <w:p>
      <w:pPr>
        <w:ind w:left="4" w:right="20" w:firstLine="645"/>
        <w:spacing w:after="0" w:line="260" w:lineRule="auto"/>
        <w:tabs>
          <w:tab w:leader="none" w:pos="1065" w:val="left"/>
        </w:tabs>
        <w:numPr>
          <w:ilvl w:val="1"/>
          <w:numId w:val="144"/>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term “Lender” includes each L/C Issuer and the Swing Line Lender and the term “applicable law” includes FATCA.</w:t>
      </w:r>
    </w:p>
    <w:p>
      <w:pPr>
        <w:spacing w:after="0" w:line="176" w:lineRule="exact"/>
        <w:rPr>
          <w:rFonts w:ascii="Arial" w:cs="Arial" w:eastAsia="Arial" w:hAnsi="Arial"/>
          <w:sz w:val="20"/>
          <w:szCs w:val="20"/>
          <w:color w:val="auto"/>
        </w:rPr>
      </w:pPr>
    </w:p>
    <w:p>
      <w:pPr>
        <w:jc w:val="both"/>
        <w:ind w:left="4" w:firstLine="645"/>
        <w:spacing w:after="0" w:line="272" w:lineRule="auto"/>
        <w:tabs>
          <w:tab w:leader="none" w:pos="1157"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the Borrower under any Loan Document shall to the extent permitted by applicable Laws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1" w:lineRule="exact"/>
        <w:rPr>
          <w:rFonts w:ascii="Arial" w:cs="Arial" w:eastAsia="Arial" w:hAnsi="Arial"/>
          <w:sz w:val="18"/>
          <w:szCs w:val="18"/>
          <w:color w:val="auto"/>
        </w:rPr>
      </w:pPr>
    </w:p>
    <w:p>
      <w:pPr>
        <w:ind w:left="4" w:right="20" w:firstLine="645"/>
        <w:spacing w:after="0" w:line="316" w:lineRule="auto"/>
        <w:tabs>
          <w:tab w:leader="none" w:pos="1146"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The Borrower shall timely pay to the relevant Governmental Authority in accordance with applicable law, or at the option of the Administrative Agent timely reimburse it for the payment of, any Other Taxes.</w:t>
      </w:r>
    </w:p>
    <w:p>
      <w:pPr>
        <w:spacing w:after="0" w:line="130" w:lineRule="exact"/>
        <w:rPr>
          <w:rFonts w:ascii="Arial" w:cs="Arial" w:eastAsia="Arial" w:hAnsi="Arial"/>
          <w:sz w:val="18"/>
          <w:szCs w:val="18"/>
          <w:color w:val="auto"/>
        </w:rPr>
      </w:pPr>
    </w:p>
    <w:p>
      <w:pPr>
        <w:jc w:val="both"/>
        <w:ind w:left="4" w:firstLine="645"/>
        <w:spacing w:after="0" w:line="258" w:lineRule="auto"/>
        <w:tabs>
          <w:tab w:leader="none" w:pos="1063" w:val="left"/>
        </w:tabs>
        <w:numPr>
          <w:ilvl w:val="1"/>
          <w:numId w:val="144"/>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9" w:lineRule="exact"/>
        <w:rPr>
          <w:rFonts w:ascii="Arial" w:cs="Arial" w:eastAsia="Arial" w:hAnsi="Arial"/>
          <w:sz w:val="19"/>
          <w:szCs w:val="19"/>
          <w:color w:val="auto"/>
        </w:rPr>
      </w:pPr>
    </w:p>
    <w:p>
      <w:pPr>
        <w:jc w:val="both"/>
        <w:ind w:left="4" w:firstLine="645"/>
        <w:spacing w:after="0" w:line="272" w:lineRule="auto"/>
        <w:tabs>
          <w:tab w:leader="none" w:pos="1119"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xml:space="preserve">. Each Lender shall severally indemnify the Administrative Agent, within 10 days after demand therefor, for (i) any Indemnified Taxes attributable to such Lender (but only to the </w:t>
      </w:r>
      <w:r>
        <w:rPr>
          <w:rFonts w:ascii="Arial" w:cs="Arial" w:eastAsia="Arial" w:hAnsi="Arial"/>
          <w:sz w:val="18"/>
          <w:szCs w:val="18"/>
          <w:u w:val="single" w:color="auto"/>
          <w:color w:val="auto"/>
        </w:rPr>
        <w:t>extent</w:t>
      </w:r>
      <w:r>
        <w:rPr>
          <w:rFonts w:ascii="Arial" w:cs="Arial" w:eastAsia="Arial" w:hAnsi="Arial"/>
          <w:sz w:val="18"/>
          <w:szCs w:val="18"/>
          <w:color w:val="auto"/>
        </w:rPr>
        <w:t xml:space="preserve"> that the Borrower has not already indemnified the Administrative Agent for such Indemnified Taxes and without limiting the obligation of the Borrower to do so),</w:t>
      </w:r>
    </w:p>
    <w:p>
      <w:pPr>
        <w:spacing w:after="0" w:line="1" w:lineRule="exact"/>
        <w:rPr>
          <w:rFonts w:ascii="Arial" w:cs="Arial" w:eastAsia="Arial" w:hAnsi="Arial"/>
          <w:sz w:val="18"/>
          <w:szCs w:val="18"/>
          <w:color w:val="auto"/>
        </w:rPr>
      </w:pPr>
    </w:p>
    <w:p>
      <w:pPr>
        <w:ind w:left="284" w:hanging="284"/>
        <w:spacing w:after="0"/>
        <w:tabs>
          <w:tab w:leader="none" w:pos="28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any Taxes attributable to such Lender’s failure to comply with the provisions of </w:t>
      </w:r>
      <w:r>
        <w:rPr>
          <w:rFonts w:ascii="Arial" w:cs="Arial" w:eastAsia="Arial" w:hAnsi="Arial"/>
          <w:sz w:val="20"/>
          <w:szCs w:val="20"/>
          <w:u w:val="single" w:color="auto"/>
          <w:color w:val="auto"/>
        </w:rPr>
        <w:t>Section 10.07(f)</w:t>
      </w:r>
      <w:r>
        <w:rPr>
          <w:rFonts w:ascii="Arial" w:cs="Arial" w:eastAsia="Arial" w:hAnsi="Arial"/>
          <w:sz w:val="20"/>
          <w:szCs w:val="20"/>
          <w:color w:val="auto"/>
        </w:rPr>
        <w:t xml:space="preserve"> relating</w:t>
      </w:r>
    </w:p>
    <w:p>
      <w:pPr>
        <w:spacing w:after="0" w:line="200" w:lineRule="exact"/>
        <w:rPr>
          <w:sz w:val="20"/>
          <w:szCs w:val="20"/>
          <w:color w:val="auto"/>
        </w:rPr>
      </w:pPr>
    </w:p>
    <w:p>
      <w:pPr>
        <w:spacing w:after="0" w:line="24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4"/>
          </w:cols>
          <w:pgMar w:left="896" w:top="121" w:right="239" w:bottom="1440" w:gutter="0" w:footer="0" w:header="0"/>
        </w:sectPr>
      </w:pPr>
    </w:p>
    <w:bookmarkStart w:id="159" w:name="page160"/>
    <w:bookmarkEnd w:id="159"/>
    <w:p>
      <w:pPr>
        <w:ind w:left="9820"/>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9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79" w:lineRule="exact"/>
        <w:rPr>
          <w:sz w:val="20"/>
          <w:szCs w:val="20"/>
          <w:color w:val="auto"/>
        </w:rPr>
      </w:pPr>
    </w:p>
    <w:p>
      <w:pPr>
        <w:jc w:val="both"/>
        <w:ind w:firstLine="645"/>
        <w:spacing w:after="0" w:line="246" w:lineRule="auto"/>
        <w:tabs>
          <w:tab w:leader="none" w:pos="1053"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As soon as practicable </w:t>
      </w:r>
      <w:r>
        <w:rPr>
          <w:rFonts w:ascii="Arial" w:cs="Arial" w:eastAsia="Arial" w:hAnsi="Arial"/>
          <w:sz w:val="20"/>
          <w:szCs w:val="20"/>
          <w:u w:val="single" w:color="auto"/>
          <w:color w:val="auto"/>
        </w:rPr>
        <w:t>after</w:t>
      </w:r>
      <w:r>
        <w:rPr>
          <w:rFonts w:ascii="Arial" w:cs="Arial" w:eastAsia="Arial" w:hAnsi="Arial"/>
          <w:sz w:val="20"/>
          <w:szCs w:val="20"/>
          <w:color w:val="auto"/>
        </w:rPr>
        <w:t xml:space="preserve"> any payment of Taxes by the Borrower to a Governmental Authority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ind w:left="1060" w:hanging="415"/>
        <w:spacing w:after="0"/>
        <w:tabs>
          <w:tab w:leader="none" w:pos="106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40" w:firstLine="653"/>
        <w:spacing w:after="0" w:line="270" w:lineRule="auto"/>
        <w:tabs>
          <w:tab w:leader="none" w:pos="166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3.01(g)(ii)(A)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6" w:lineRule="exact"/>
        <w:rPr>
          <w:rFonts w:ascii="Arial" w:cs="Arial" w:eastAsia="Arial" w:hAnsi="Arial"/>
          <w:sz w:val="18"/>
          <w:szCs w:val="18"/>
          <w:color w:val="auto"/>
        </w:rPr>
      </w:pPr>
    </w:p>
    <w:p>
      <w:pPr>
        <w:ind w:left="1720" w:hanging="427"/>
        <w:spacing w:after="0"/>
        <w:tabs>
          <w:tab w:leader="none" w:pos="1720" w:val="left"/>
        </w:tabs>
        <w:numPr>
          <w:ilvl w:val="1"/>
          <w:numId w:val="146"/>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29" w:lineRule="exact"/>
        <w:rPr>
          <w:rFonts w:ascii="Arial" w:cs="Arial" w:eastAsia="Arial" w:hAnsi="Arial"/>
          <w:sz w:val="20"/>
          <w:szCs w:val="20"/>
          <w:color w:val="auto"/>
        </w:rPr>
      </w:pPr>
    </w:p>
    <w:p>
      <w:pPr>
        <w:jc w:val="both"/>
        <w:ind w:left="1300" w:firstLine="641"/>
        <w:spacing w:after="0" w:line="266" w:lineRule="auto"/>
        <w:tabs>
          <w:tab w:leader="none" w:pos="2846" w:val="left"/>
        </w:tabs>
        <w:numPr>
          <w:ilvl w:val="2"/>
          <w:numId w:val="146"/>
        </w:numPr>
        <w:rPr>
          <w:rFonts w:ascii="Arial" w:cs="Arial" w:eastAsia="Arial" w:hAnsi="Arial"/>
          <w:sz w:val="18"/>
          <w:szCs w:val="18"/>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jc w:val="both"/>
        <w:ind w:left="1300" w:firstLine="641"/>
        <w:spacing w:after="0" w:line="261" w:lineRule="auto"/>
        <w:tabs>
          <w:tab w:leader="none" w:pos="2473" w:val="left"/>
        </w:tabs>
        <w:numPr>
          <w:ilvl w:val="2"/>
          <w:numId w:val="146"/>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6" w:lineRule="exact"/>
        <w:rPr>
          <w:rFonts w:ascii="Arial" w:cs="Arial" w:eastAsia="Arial" w:hAnsi="Arial"/>
          <w:sz w:val="19"/>
          <w:szCs w:val="19"/>
          <w:color w:val="auto"/>
        </w:rPr>
      </w:pPr>
    </w:p>
    <w:p>
      <w:pPr>
        <w:jc w:val="both"/>
        <w:ind w:left="1940" w:firstLine="649"/>
        <w:spacing w:after="0" w:line="246" w:lineRule="auto"/>
        <w:tabs>
          <w:tab w:leader="none" w:pos="2969" w:val="left"/>
        </w:tabs>
        <w:numPr>
          <w:ilvl w:val="3"/>
          <w:numId w:val="146"/>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w:t>
      </w:r>
    </w:p>
    <w:p>
      <w:pPr>
        <w:spacing w:after="0" w:line="200" w:lineRule="exact"/>
        <w:rPr>
          <w:sz w:val="20"/>
          <w:szCs w:val="20"/>
          <w:color w:val="auto"/>
        </w:rPr>
      </w:pP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0"/>
          </w:cols>
          <w:pgMar w:left="900" w:top="121"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jc w:val="both"/>
        <w:ind w:left="1400"/>
        <w:spacing w:after="0" w:line="250" w:lineRule="auto"/>
        <w:rPr>
          <w:sz w:val="20"/>
          <w:szCs w:val="20"/>
          <w:color w:val="auto"/>
        </w:rPr>
      </w:pPr>
      <w:r>
        <w:rPr>
          <w:rFonts w:ascii="Arial" w:cs="Arial" w:eastAsia="Arial" w:hAnsi="Arial"/>
          <w:sz w:val="20"/>
          <w:szCs w:val="20"/>
          <w:color w:val="auto"/>
        </w:rPr>
        <w:t>with respect to any other applicable payments under any Loan Document, IRS Form W-8BEN establishing an exemption from, or reduction of, U.S. federal withholding Tax pursuant to the “business profits” or “other income” article of such tax treaty;</w:t>
      </w:r>
    </w:p>
    <w:p>
      <w:pPr>
        <w:spacing w:after="0" w:line="186" w:lineRule="exact"/>
        <w:rPr>
          <w:sz w:val="20"/>
          <w:szCs w:val="20"/>
          <w:color w:val="auto"/>
        </w:rPr>
      </w:pPr>
    </w:p>
    <w:p>
      <w:pPr>
        <w:ind w:left="2480" w:hanging="431"/>
        <w:spacing w:after="0"/>
        <w:tabs>
          <w:tab w:leader="none" w:pos="248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15" w:lineRule="exact"/>
        <w:rPr>
          <w:rFonts w:ascii="Arial" w:cs="Arial" w:eastAsia="Arial" w:hAnsi="Arial"/>
          <w:sz w:val="20"/>
          <w:szCs w:val="20"/>
          <w:color w:val="auto"/>
        </w:rPr>
      </w:pPr>
    </w:p>
    <w:p>
      <w:pPr>
        <w:jc w:val="both"/>
        <w:ind w:left="1400" w:firstLine="649"/>
        <w:spacing w:after="0" w:line="243" w:lineRule="auto"/>
        <w:tabs>
          <w:tab w:leader="none" w:pos="262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E-1</w:t>
      </w:r>
      <w:r>
        <w:rPr>
          <w:rFonts w:ascii="Arial" w:cs="Arial" w:eastAsia="Arial" w:hAnsi="Arial"/>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originals of IRS Form W-8BEN; or</w:t>
      </w:r>
    </w:p>
    <w:p>
      <w:pPr>
        <w:spacing w:after="0" w:line="196" w:lineRule="exact"/>
        <w:rPr>
          <w:rFonts w:ascii="Arial" w:cs="Arial" w:eastAsia="Arial" w:hAnsi="Arial"/>
          <w:sz w:val="20"/>
          <w:szCs w:val="20"/>
          <w:color w:val="auto"/>
        </w:rPr>
      </w:pPr>
    </w:p>
    <w:p>
      <w:pPr>
        <w:jc w:val="both"/>
        <w:ind w:left="1400" w:firstLine="649"/>
        <w:spacing w:after="0" w:line="243" w:lineRule="auto"/>
        <w:tabs>
          <w:tab w:leader="none" w:pos="2568" w:val="left"/>
        </w:tabs>
        <w:numPr>
          <w:ilvl w:val="1"/>
          <w:numId w:val="147"/>
        </w:numPr>
        <w:rPr>
          <w:rFonts w:ascii="Arial" w:cs="Arial" w:eastAsia="Arial" w:hAnsi="Arial"/>
          <w:sz w:val="20"/>
          <w:szCs w:val="20"/>
          <w:color w:val="auto"/>
        </w:rPr>
      </w:pPr>
      <w:r>
        <w:rPr>
          <w:rFonts w:ascii="Arial" w:cs="Arial" w:eastAsia="Arial" w:hAnsi="Arial"/>
          <w:sz w:val="20"/>
          <w:szCs w:val="20"/>
          <w:color w:val="auto"/>
        </w:rPr>
        <w:t xml:space="preserve">to the extent a Foreign Lender is not the beneficial owner, executed originals of IRS Form W-8IMY, accompanied by IRS Form W-8ECI, IRS Form W-8BEN, a U.S. Tax Compliance Certificate substantially in the form of </w:t>
      </w:r>
      <w:r>
        <w:rPr>
          <w:rFonts w:ascii="Arial" w:cs="Arial" w:eastAsia="Arial" w:hAnsi="Arial"/>
          <w:sz w:val="20"/>
          <w:szCs w:val="20"/>
          <w:u w:val="single" w:color="auto"/>
          <w:color w:val="auto"/>
        </w:rPr>
        <w:t>Exhibit E-2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E-3</w:t>
      </w:r>
      <w:r>
        <w:rPr>
          <w:rFonts w:ascii="Arial" w:cs="Arial" w:eastAsia="Arial" w:hAnsi="Arial"/>
          <w:sz w:val="20"/>
          <w:szCs w:val="20"/>
          <w:color w:val="auto"/>
        </w:rPr>
        <w:t xml:space="preserve">,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0"/>
          <w:szCs w:val="20"/>
          <w:u w:val="single" w:color="auto"/>
          <w:color w:val="auto"/>
        </w:rPr>
        <w:t>Exhibit E-4</w:t>
      </w:r>
      <w:r>
        <w:rPr>
          <w:rFonts w:ascii="Arial" w:cs="Arial" w:eastAsia="Arial" w:hAnsi="Arial"/>
          <w:sz w:val="20"/>
          <w:szCs w:val="20"/>
          <w:color w:val="auto"/>
        </w:rPr>
        <w:t xml:space="preserve"> on behalf of each such direct and indirect partner.</w:t>
      </w:r>
    </w:p>
    <w:p>
      <w:pPr>
        <w:spacing w:after="0" w:line="193" w:lineRule="exact"/>
        <w:rPr>
          <w:rFonts w:ascii="Arial" w:cs="Arial" w:eastAsia="Arial" w:hAnsi="Arial"/>
          <w:sz w:val="20"/>
          <w:szCs w:val="20"/>
          <w:color w:val="auto"/>
        </w:rPr>
      </w:pPr>
    </w:p>
    <w:p>
      <w:pPr>
        <w:jc w:val="both"/>
        <w:ind w:left="760" w:firstLine="641"/>
        <w:spacing w:after="0" w:line="258" w:lineRule="auto"/>
        <w:tabs>
          <w:tab w:leader="none" w:pos="193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9" w:lineRule="exact"/>
        <w:rPr>
          <w:rFonts w:ascii="Arial" w:cs="Arial" w:eastAsia="Arial" w:hAnsi="Arial"/>
          <w:sz w:val="19"/>
          <w:szCs w:val="19"/>
          <w:color w:val="auto"/>
        </w:rPr>
      </w:pPr>
    </w:p>
    <w:p>
      <w:pPr>
        <w:jc w:val="both"/>
        <w:ind w:left="760" w:firstLine="641"/>
        <w:spacing w:after="0" w:line="271" w:lineRule="auto"/>
        <w:tabs>
          <w:tab w:leader="none" w:pos="189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12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jc w:val="both"/>
        <w:ind w:left="640" w:firstLine="648"/>
        <w:spacing w:after="0" w:line="246" w:lineRule="auto"/>
        <w:rPr>
          <w:sz w:val="20"/>
          <w:szCs w:val="20"/>
          <w:color w:val="auto"/>
        </w:rPr>
      </w:pPr>
      <w:r>
        <w:rPr>
          <w:rFonts w:ascii="Arial" w:cs="Arial" w:eastAsia="Arial" w:hAnsi="Arial"/>
          <w:sz w:val="20"/>
          <w:szCs w:val="20"/>
          <w:color w:val="auto"/>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For purposes of this </w:t>
      </w:r>
      <w:r>
        <w:rPr>
          <w:rFonts w:ascii="Arial" w:cs="Arial" w:eastAsia="Arial" w:hAnsi="Arial"/>
          <w:sz w:val="20"/>
          <w:szCs w:val="20"/>
          <w:u w:val="single" w:color="auto"/>
          <w:color w:val="auto"/>
        </w:rPr>
        <w:t>Section 3.01(g)</w:t>
      </w:r>
      <w:r>
        <w:rPr>
          <w:rFonts w:ascii="Arial" w:cs="Arial" w:eastAsia="Arial" w:hAnsi="Arial"/>
          <w:sz w:val="20"/>
          <w:szCs w:val="20"/>
          <w:color w:val="auto"/>
        </w:rPr>
        <w:t>, references to a Lender shall include the Administrative Agent.</w:t>
      </w:r>
    </w:p>
    <w:p>
      <w:pPr>
        <w:spacing w:after="0" w:line="192" w:lineRule="exact"/>
        <w:rPr>
          <w:sz w:val="20"/>
          <w:szCs w:val="20"/>
          <w:color w:val="auto"/>
        </w:rPr>
      </w:pPr>
    </w:p>
    <w:p>
      <w:pPr>
        <w:jc w:val="both"/>
        <w:ind w:firstLine="645"/>
        <w:spacing w:after="0" w:line="270" w:lineRule="auto"/>
        <w:tabs>
          <w:tab w:leader="none" w:pos="1072"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0" w:lineRule="exact"/>
        <w:rPr>
          <w:rFonts w:ascii="Arial" w:cs="Arial" w:eastAsia="Arial" w:hAnsi="Arial"/>
          <w:sz w:val="18"/>
          <w:szCs w:val="18"/>
          <w:color w:val="auto"/>
        </w:rPr>
      </w:pPr>
    </w:p>
    <w:p>
      <w:pPr>
        <w:jc w:val="both"/>
        <w:ind w:firstLine="645"/>
        <w:spacing w:after="0" w:line="250" w:lineRule="auto"/>
        <w:tabs>
          <w:tab w:leader="none" w:pos="1258"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6" w:lineRule="exact"/>
        <w:rPr>
          <w:rFonts w:ascii="Arial" w:cs="Arial" w:eastAsia="Arial" w:hAnsi="Arial"/>
          <w:sz w:val="20"/>
          <w:szCs w:val="20"/>
          <w:color w:val="auto"/>
        </w:rPr>
      </w:pPr>
    </w:p>
    <w:p>
      <w:pPr>
        <w:jc w:val="both"/>
        <w:ind w:firstLine="645"/>
        <w:spacing w:after="0" w:line="256" w:lineRule="auto"/>
        <w:tabs>
          <w:tab w:leader="none" w:pos="1083"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or requires the Borrower to make any payments pursuant to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in the future, and (ii) would not subject such Lender to any unreimbursed cost or expense and would not otherwise be disadvantageous to such Lender. If the Borrower requests a Lender to designate a different Lending Office or assign its rights and obligations to another of its offices, branches or affiliates, the Borrower hereby agrees to pay all reasonable costs and expenses incurred by such Lender in connection with any such designation or assignment. Subject to the foregoing, Lenders agree to use reasonable efforts to select lending offices which will minimize taxes and other costs and expenses for the Borrower.”</w:t>
      </w:r>
    </w:p>
    <w:p>
      <w:pPr>
        <w:spacing w:after="0" w:line="195" w:lineRule="exact"/>
        <w:rPr>
          <w:sz w:val="20"/>
          <w:szCs w:val="20"/>
          <w:color w:val="auto"/>
        </w:rPr>
      </w:pPr>
    </w:p>
    <w:p>
      <w:pPr>
        <w:ind w:firstLine="645"/>
        <w:spacing w:after="0" w:line="264" w:lineRule="auto"/>
        <w:tabs>
          <w:tab w:leader="none" w:pos="1506" w:val="left"/>
        </w:tabs>
        <w:numPr>
          <w:ilvl w:val="0"/>
          <w:numId w:val="150"/>
        </w:numPr>
        <w:rPr>
          <w:rFonts w:ascii="Arial" w:cs="Arial" w:eastAsia="Arial" w:hAnsi="Arial"/>
          <w:sz w:val="18"/>
          <w:szCs w:val="18"/>
          <w:color w:val="auto"/>
        </w:rPr>
      </w:pPr>
      <w:r>
        <w:rPr>
          <w:rFonts w:ascii="Arial" w:cs="Arial" w:eastAsia="Arial" w:hAnsi="Arial"/>
          <w:sz w:val="20"/>
          <w:szCs w:val="20"/>
          <w:i w:val="1"/>
          <w:iCs w:val="1"/>
          <w:color w:val="auto"/>
        </w:rPr>
        <w:t xml:space="preserve">Section 3.04(a) </w:t>
      </w:r>
      <w:r>
        <w:rPr>
          <w:rFonts w:ascii="Arial" w:cs="Arial" w:eastAsia="Arial" w:hAnsi="Arial"/>
          <w:sz w:val="20"/>
          <w:szCs w:val="20"/>
          <w:color w:val="auto"/>
        </w:rPr>
        <w:t>(Increased Cost and Reduced Return; Capital Adequacy; Reserves on Eurodollar Rate Loans)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Existing Credit Agreement is amended by revising clause (ii) thereof to read as follows:</w:t>
      </w:r>
    </w:p>
    <w:p>
      <w:pPr>
        <w:spacing w:after="0" w:line="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900" w:top="121"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EXHIBIT E -1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0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Reference is hereby made to the Credit Agreement dated as of August 25, 2011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QEP RESOURCES, INC., as Borrower, WELLS FARGO BANK, NATIONAL ASSOCIATION, as Administrative Agent, L/C Issuer and Swing Line Lender and the Lenders and L/C Issuers from time to time parties thereto.</w:t>
      </w:r>
    </w:p>
    <w:p>
      <w:pPr>
        <w:spacing w:after="0" w:line="19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 (C) of the Code.</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EXHIBIT E -2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0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Reference is hereby made to the Credit Agreement dated as of August 25, 2011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QEP RESOURCES, INC., as Borrower, WELLS FARGO BANK, NATIONAL ASSOCIATION, as Administrative Agent, L/C Issuer and Swing Line Lender and the Lenders and L/C Issuers from time to time parties thereto.</w:t>
      </w:r>
    </w:p>
    <w:p>
      <w:pPr>
        <w:spacing w:after="0" w:line="19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355"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EXHIBIT E -3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0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Reference is hereby made to the Credit Agreement dated as of August 25, 2011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QEP RESOURCES, INC., as Borrower, WELLS FARGO BANK, NATIONAL ASSOCIATION, as Administrative Agent, L/C Issuer and Swing Line Lender and the Lenders and L/C Issuers from time to time parties thereto.</w:t>
      </w:r>
    </w:p>
    <w:p>
      <w:pPr>
        <w:spacing w:after="0" w:line="19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9"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355"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EXHIBIT E -4</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U.S. TAX COMPLIANCE CERTIFICATE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0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Reference is hereby made to the Credit Agreement dated as of August 25, 2011 (as amended,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QEP RESOURCES, INC., as Borrower, WELLS FARGO BANK, NATIONAL ASSOCIATION, as Administrative Agent, L/C Issuer and Swing Line Lender and the Lenders and L/C Issuers from time to time parties thereto.</w:t>
      </w:r>
    </w:p>
    <w:p>
      <w:pPr>
        <w:spacing w:after="0" w:line="19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1"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6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u w:val="single" w:color="auto"/>
          <w:color w:val="auto"/>
        </w:rPr>
        <w:t>By:</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Title: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7, 2014</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7, 2014</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Executive Vice President, Chief Financial Officer and Treasurer</w:t>
      </w:r>
    </w:p>
    <w:p>
      <w:pPr>
        <w:sectPr>
          <w:pgSz w:w="11900" w:h="16838" w:orient="portrait"/>
          <w:cols w:equalWidth="0" w:num="1">
            <w:col w:w="11420"/>
          </w:cols>
          <w:pgMar w:left="240" w:top="581"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connection with this report of QEP Resources, Inc. (the Company) on Form 10-Q for the period ended March 31, 2014, as filed with the Securities and Exchange Commission on the date hereof (the Report), Charles B. Stanley, Chairman,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May 7, 2014</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May 7, 2014</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o"/>
      <w:numFmt w:val="bullet"/>
      <w:start w:val="1"/>
    </w:lvl>
  </w:abstractNum>
  <w:abstractNum w:abstractNumId="2">
    <w:nsid w:val="A0382C5"/>
    <w:multiLevelType w:val="hybridMultilevel"/>
    <w:lvl w:ilvl="0">
      <w:lvlJc w:val="left"/>
      <w:lvlText w:val="(%1)"/>
      <w:numFmt w:val="decimal"/>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1)"/>
      <w:numFmt w:val="decimal"/>
      <w:start w:val="1"/>
    </w:lvl>
  </w:abstractNum>
  <w:abstractNum w:abstractNumId="5">
    <w:nsid w:val="3B0FD379"/>
    <w:multiLevelType w:val="hybridMultilevel"/>
    <w:lvl w:ilvl="0">
      <w:lvlJc w:val="left"/>
      <w:lvlText w:val="(%1)"/>
      <w:numFmt w:val="decimal"/>
      <w:start w:val="1"/>
    </w:lvl>
  </w:abstractNum>
  <w:abstractNum w:abstractNumId="6">
    <w:nsid w:val="68EB2F63"/>
    <w:multiLevelType w:val="hybridMultilevel"/>
    <w:lvl w:ilvl="0">
      <w:lvlJc w:val="left"/>
      <w:lvlText w:val="(%1)"/>
      <w:numFmt w:val="decimal"/>
      <w:start w:val="1"/>
    </w:lvl>
  </w:abstractNum>
  <w:abstractNum w:abstractNumId="7">
    <w:nsid w:val="4962813B"/>
    <w:multiLevelType w:val="hybridMultilevel"/>
    <w:lvl w:ilvl="0">
      <w:lvlJc w:val="left"/>
      <w:lvlText w:val="(%1)"/>
      <w:numFmt w:val="decimal"/>
      <w:start w:val="1"/>
    </w:lvl>
  </w:abstractNum>
  <w:abstractNum w:abstractNumId="8">
    <w:nsid w:val="60B6DF70"/>
    <w:multiLevelType w:val="hybridMultilevel"/>
    <w:lvl w:ilvl="0">
      <w:lvlJc w:val="left"/>
      <w:lvlText w:val="(%1)"/>
      <w:numFmt w:val="decimal"/>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1)"/>
      <w:numFmt w:val="decimal"/>
      <w:start w:val="1"/>
    </w:lvl>
  </w:abstractNum>
  <w:abstractNum w:abstractNumId="13">
    <w:nsid w:val="71EA1109"/>
    <w:multiLevelType w:val="hybridMultilevel"/>
    <w:lvl w:ilvl="0">
      <w:lvlJc w:val="left"/>
      <w:lvlText w:val="(%1)"/>
      <w:numFmt w:val="decimal"/>
      <w:start w:val="1"/>
    </w:lvl>
  </w:abstractNum>
  <w:abstractNum w:abstractNumId="14">
    <w:nsid w:val="100F59DC"/>
    <w:multiLevelType w:val="hybridMultilevel"/>
    <w:lvl w:ilvl="0">
      <w:lvlJc w:val="left"/>
      <w:lvlText w:val="(%1)"/>
      <w:numFmt w:val="decimal"/>
      <w:start w:val="1"/>
    </w:lvl>
  </w:abstractNum>
  <w:abstractNum w:abstractNumId="15">
    <w:nsid w:val="7FB7E0AA"/>
    <w:multiLevelType w:val="hybridMultilevel"/>
    <w:lvl w:ilvl="0">
      <w:lvlJc w:val="left"/>
      <w:lvlText w:val="(%1)"/>
      <w:numFmt w:val="decimal"/>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1)"/>
      <w:numFmt w:val="decimal"/>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1)"/>
      <w:numFmt w:val="decimal"/>
      <w:start w:val="1"/>
    </w:lvl>
  </w:abstractNum>
  <w:abstractNum w:abstractNumId="22">
    <w:nsid w:val="1716703B"/>
    <w:multiLevelType w:val="hybridMultilevel"/>
    <w:lvl w:ilvl="0">
      <w:lvlJc w:val="left"/>
      <w:lvlText w:val="(%1)"/>
      <w:numFmt w:val="lowerLetter"/>
      <w:start w:val="1"/>
    </w:lvl>
  </w:abstractNum>
  <w:abstractNum w:abstractNumId="23">
    <w:nsid w:val="14E17E33"/>
    <w:multiLevelType w:val="hybridMultilevel"/>
    <w:lvl w:ilvl="0">
      <w:lvlJc w:val="left"/>
      <w:lvlText w:val="(%1)"/>
      <w:numFmt w:val="lowerLetter"/>
      <w:start w:val="1"/>
    </w:lvl>
  </w:abstractNum>
  <w:abstractNum w:abstractNumId="24">
    <w:nsid w:val="3222E7CD"/>
    <w:multiLevelType w:val="hybridMultilevel"/>
    <w:lvl w:ilvl="0">
      <w:lvlJc w:val="left"/>
      <w:lvlText w:val="(%1)"/>
      <w:numFmt w:val="lowerLetter"/>
      <w:start w:val="4"/>
    </w:lvl>
  </w:abstractNum>
  <w:abstractNum w:abstractNumId="25">
    <w:nsid w:val="74DE0EE3"/>
    <w:multiLevelType w:val="hybridMultilevel"/>
    <w:lvl w:ilvl="0">
      <w:lvlJc w:val="left"/>
      <w:lvlText w:val="(%1)"/>
      <w:numFmt w:val="lowerLetter"/>
      <w:start w:val="1"/>
    </w:lvl>
    <w:lvl w:ilvl="1">
      <w:lvlJc w:val="left"/>
      <w:lvlText w:val="(%2)"/>
      <w:numFmt w:val="lowerRoman"/>
      <w:start w:val="1"/>
    </w:lvl>
  </w:abstractNum>
  <w:abstractNum w:abstractNumId="26">
    <w:nsid w:val="68EBC550"/>
    <w:multiLevelType w:val="hybridMultilevel"/>
    <w:lvl w:ilvl="0">
      <w:lvlJc w:val="left"/>
      <w:lvlText w:val="(%1)"/>
      <w:numFmt w:val="lowerRoman"/>
      <w:start w:val="9"/>
    </w:lvl>
  </w:abstractNum>
  <w:abstractNum w:abstractNumId="27">
    <w:nsid w:val="2DF6D648"/>
    <w:multiLevelType w:val="hybridMultilevel"/>
    <w:lvl w:ilvl="0">
      <w:lvlJc w:val="left"/>
      <w:lvlText w:val="(%1)"/>
      <w:numFmt w:val="lowerLetter"/>
      <w:start w:val="2"/>
    </w:lvl>
    <w:lvl w:ilvl="1">
      <w:lvlJc w:val="left"/>
      <w:lvlText w:val="(%2)"/>
      <w:numFmt w:val="lowerRoman"/>
      <w:start w:val="1"/>
    </w:lvl>
  </w:abstractNum>
  <w:abstractNum w:abstractNumId="28">
    <w:nsid w:val="46B7D447"/>
    <w:multiLevelType w:val="hybridMultilevel"/>
    <w:lvl w:ilvl="0">
      <w:lvlJc w:val="left"/>
      <w:lvlText w:val="(%1)"/>
      <w:numFmt w:val="lowerLetter"/>
      <w:start w:val="1"/>
    </w:lvl>
  </w:abstractNum>
  <w:abstractNum w:abstractNumId="29">
    <w:nsid w:val="4A2AC315"/>
    <w:multiLevelType w:val="hybridMultilevel"/>
    <w:lvl w:ilvl="0">
      <w:lvlJc w:val="left"/>
      <w:lvlText w:val="(%1)"/>
      <w:numFmt w:val="lowerLetter"/>
      <w:start w:val="1"/>
    </w:lvl>
  </w:abstractNum>
  <w:abstractNum w:abstractNumId="30">
    <w:nsid w:val="39EE015C"/>
    <w:multiLevelType w:val="hybridMultilevel"/>
    <w:lvl w:ilvl="0">
      <w:lvlJc w:val="left"/>
      <w:lvlText w:val="(%1)"/>
      <w:numFmt w:val="lowerLetter"/>
      <w:start w:val="1"/>
    </w:lvl>
    <w:lvl w:ilvl="1">
      <w:lvlJc w:val="left"/>
      <w:lvlText w:val="(%2)"/>
      <w:numFmt w:val="lowerRoman"/>
      <w:start w:val="1"/>
    </w:lvl>
  </w:abstractNum>
  <w:abstractNum w:abstractNumId="31">
    <w:nsid w:val="57FC4FBB"/>
    <w:multiLevelType w:val="hybridMultilevel"/>
    <w:lvl w:ilvl="0">
      <w:lvlJc w:val="left"/>
      <w:lvlText w:val="(%1)"/>
      <w:numFmt w:val="lowerLetter"/>
      <w:start w:val="2"/>
    </w:lvl>
  </w:abstractNum>
  <w:abstractNum w:abstractNumId="32">
    <w:nsid w:val="CC1016F"/>
    <w:multiLevelType w:val="hybridMultilevel"/>
    <w:lvl w:ilvl="0">
      <w:lvlJc w:val="left"/>
      <w:lvlText w:val="(%1)"/>
      <w:numFmt w:val="lowerLetter"/>
      <w:start w:val="1"/>
    </w:lvl>
  </w:abstractNum>
  <w:abstractNum w:abstractNumId="33">
    <w:nsid w:val="43F18422"/>
    <w:multiLevelType w:val="hybridMultilevel"/>
    <w:lvl w:ilvl="0">
      <w:lvlJc w:val="left"/>
      <w:lvlText w:val="(%1)"/>
      <w:numFmt w:val="lowerLetter"/>
      <w:start w:val="2"/>
    </w:lvl>
  </w:abstractNum>
  <w:abstractNum w:abstractNumId="34">
    <w:nsid w:val="60EF0119"/>
    <w:multiLevelType w:val="hybridMultilevel"/>
    <w:lvl w:ilvl="0">
      <w:lvlJc w:val="left"/>
      <w:lvlText w:val="(%1)"/>
      <w:numFmt w:val="lowerLetter"/>
      <w:start w:val="1"/>
    </w:lvl>
    <w:lvl w:ilvl="1">
      <w:lvlJc w:val="left"/>
      <w:lvlText w:val="(%2)"/>
      <w:numFmt w:val="lowerLetter"/>
      <w:start w:val="9"/>
    </w:lvl>
  </w:abstractNum>
  <w:abstractNum w:abstractNumId="35">
    <w:nsid w:val="26F324B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6">
    <w:nsid w:val="7F01579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7">
    <w:nsid w:val="49DA307D"/>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35"/>
    </w:lvl>
  </w:abstractNum>
  <w:abstractNum w:abstractNumId="38">
    <w:nsid w:val="7055A5F5"/>
    <w:multiLevelType w:val="hybridMultilevel"/>
    <w:lvl w:ilvl="0">
      <w:lvlJc w:val="left"/>
      <w:lvlText w:val="%1"/>
      <w:numFmt w:val="lowerLetter"/>
      <w:start w:val="1"/>
    </w:lvl>
    <w:lvl w:ilvl="1">
      <w:lvlJc w:val="left"/>
      <w:lvlText w:val="(%2)"/>
      <w:numFmt w:val="lowerRoman"/>
      <w:start w:val="2"/>
    </w:lvl>
  </w:abstractNum>
  <w:abstractNum w:abstractNumId="39">
    <w:nsid w:val="5FB8370B"/>
    <w:multiLevelType w:val="hybridMultilevel"/>
    <w:lvl w:ilvl="0">
      <w:lvlJc w:val="left"/>
      <w:lvlText w:val="(%1)"/>
      <w:numFmt w:val="lowerLetter"/>
      <w:start w:val="3"/>
    </w:lvl>
    <w:lvl w:ilvl="1">
      <w:lvlJc w:val="left"/>
      <w:lvlText w:val="%2"/>
      <w:numFmt w:val="lowerRoman"/>
      <w:start w:val="1"/>
    </w:lvl>
  </w:abstractNum>
  <w:abstractNum w:abstractNumId="40">
    <w:nsid w:val="50801EE1"/>
    <w:multiLevelType w:val="hybridMultilevel"/>
    <w:lvl w:ilvl="0">
      <w:lvlJc w:val="left"/>
      <w:lvlText w:val="(%1)"/>
      <w:numFmt w:val="lowerLetter"/>
      <w:start w:val="2"/>
    </w:lvl>
  </w:abstractNum>
  <w:abstractNum w:abstractNumId="41">
    <w:nsid w:val="488AC1A"/>
    <w:multiLevelType w:val="hybridMultilevel"/>
    <w:lvl w:ilvl="0">
      <w:lvlJc w:val="left"/>
      <w:lvlText w:val="(%1)"/>
      <w:numFmt w:val="lowerLetter"/>
      <w:start w:val="2"/>
    </w:lvl>
  </w:abstractNum>
  <w:abstractNum w:abstractNumId="42">
    <w:nsid w:val="5FB8011C"/>
    <w:multiLevelType w:val="hybridMultilevel"/>
    <w:lvl w:ilvl="0">
      <w:lvlJc w:val="left"/>
      <w:lvlText w:val="%1."/>
      <w:numFmt w:val="lowerLetter"/>
      <w:start w:val="1"/>
    </w:lvl>
  </w:abstractNum>
  <w:abstractNum w:abstractNumId="43">
    <w:nsid w:val="6AA78F7F"/>
    <w:multiLevelType w:val="hybridMultilevel"/>
    <w:lvl w:ilvl="0">
      <w:lvlJc w:val="left"/>
      <w:lvlText w:val="(%1)"/>
      <w:numFmt w:val="lowerLetter"/>
      <w:start w:val="1"/>
    </w:lvl>
  </w:abstractNum>
  <w:abstractNum w:abstractNumId="44">
    <w:nsid w:val="7672BD23"/>
    <w:multiLevelType w:val="hybridMultilevel"/>
    <w:lvl w:ilvl="0">
      <w:lvlJc w:val="left"/>
      <w:lvlText w:val="(%1)"/>
      <w:numFmt w:val="lowerLetter"/>
      <w:start w:val="4"/>
    </w:lvl>
  </w:abstractNum>
  <w:abstractNum w:abstractNumId="45">
    <w:nsid w:val="6FC75AF8"/>
    <w:multiLevelType w:val="hybridMultilevel"/>
    <w:lvl w:ilvl="0">
      <w:lvlJc w:val="left"/>
      <w:lvlText w:val="%1."/>
      <w:numFmt w:val="lowerLetter"/>
      <w:start w:val="1"/>
    </w:lvl>
  </w:abstractNum>
  <w:abstractNum w:abstractNumId="46">
    <w:nsid w:val="6A5F7029"/>
    <w:multiLevelType w:val="hybridMultilevel"/>
    <w:lvl w:ilvl="0">
      <w:lvlJc w:val="left"/>
      <w:lvlText w:val="%1."/>
      <w:numFmt w:val="lowerLetter"/>
      <w:start w:val="3"/>
    </w:lvl>
  </w:abstractNum>
  <w:abstractNum w:abstractNumId="47">
    <w:nsid w:val="7D5E18F8"/>
    <w:multiLevelType w:val="hybridMultilevel"/>
    <w:lvl w:ilvl="0">
      <w:lvlJc w:val="left"/>
      <w:lvlText w:val="(%1)"/>
      <w:numFmt w:val="lowerLetter"/>
      <w:start w:val="1"/>
    </w:lvl>
    <w:lvl w:ilvl="1">
      <w:lvlJc w:val="left"/>
      <w:lvlText w:val="(%2)"/>
      <w:numFmt w:val="lowerRoman"/>
      <w:start w:val="1"/>
    </w:lvl>
  </w:abstractNum>
  <w:abstractNum w:abstractNumId="48">
    <w:nsid w:val="5F3534A4"/>
    <w:multiLevelType w:val="hybridMultilevel"/>
    <w:lvl w:ilvl="0">
      <w:lvlJc w:val="left"/>
      <w:lvlText w:val="(%1)"/>
      <w:numFmt w:val="lowerLetter"/>
      <w:start w:val="1"/>
    </w:lvl>
  </w:abstractNum>
  <w:abstractNum w:abstractNumId="49">
    <w:nsid w:val="73A1821B"/>
    <w:multiLevelType w:val="hybridMultilevel"/>
    <w:lvl w:ilvl="0">
      <w:lvlJc w:val="left"/>
      <w:lvlText w:val="(%1)"/>
      <w:numFmt w:val="lowerLetter"/>
      <w:start w:val="2"/>
    </w:lvl>
  </w:abstractNum>
  <w:abstractNum w:abstractNumId="50">
    <w:nsid w:val="7DE67713"/>
    <w:multiLevelType w:val="hybridMultilevel"/>
    <w:lvl w:ilvl="0">
      <w:lvlJc w:val="left"/>
      <w:lvlText w:val="%1"/>
      <w:numFmt w:val="lowerLetter"/>
      <w:start w:val="1"/>
    </w:lvl>
    <w:lvl w:ilvl="1">
      <w:lvlJc w:val="left"/>
      <w:lvlText w:val="(%2)"/>
      <w:numFmt w:val="lowerRoman"/>
      <w:start w:val="1"/>
    </w:lvl>
  </w:abstractNum>
  <w:abstractNum w:abstractNumId="51">
    <w:nsid w:val="555C55B5"/>
    <w:multiLevelType w:val="hybridMultilevel"/>
    <w:lvl w:ilvl="0">
      <w:lvlJc w:val="left"/>
      <w:lvlText w:val="(%1)"/>
      <w:numFmt w:val="lowerLetter"/>
      <w:start w:val="5"/>
    </w:lvl>
    <w:lvl w:ilvl="1">
      <w:lvlJc w:val="left"/>
      <w:lvlText w:val="%2"/>
      <w:numFmt w:val="lowerRoman"/>
      <w:start w:val="1"/>
    </w:lvl>
  </w:abstractNum>
  <w:abstractNum w:abstractNumId="52">
    <w:nsid w:val="3FA62ACA"/>
    <w:multiLevelType w:val="hybridMultilevel"/>
    <w:lvl w:ilvl="0">
      <w:lvlJc w:val="left"/>
      <w:lvlText w:val="%1."/>
      <w:numFmt w:val="lowerRoman"/>
      <w:start w:val="1"/>
    </w:lvl>
  </w:abstractNum>
  <w:abstractNum w:abstractNumId="53">
    <w:nsid w:val="14FCE74E"/>
    <w:multiLevelType w:val="hybridMultilevel"/>
    <w:lvl w:ilvl="0">
      <w:lvlJc w:val="left"/>
      <w:lvlText w:val="%1."/>
      <w:numFmt w:val="lowerRoman"/>
      <w:start w:val="2"/>
    </w:lvl>
  </w:abstractNum>
  <w:abstractNum w:abstractNumId="54">
    <w:nsid w:val="6A3DD3E8"/>
    <w:multiLevelType w:val="hybridMultilevel"/>
    <w:lvl w:ilvl="0">
      <w:lvlJc w:val="left"/>
      <w:lvlText w:val="(%1)"/>
      <w:numFmt w:val="lowerLetter"/>
      <w:start w:val="8"/>
    </w:lvl>
    <w:lvl w:ilvl="1">
      <w:lvlJc w:val="left"/>
      <w:lvlText w:val="(%2)"/>
      <w:numFmt w:val="lowerRoman"/>
      <w:start w:val="1"/>
    </w:lvl>
  </w:abstractNum>
  <w:abstractNum w:abstractNumId="55">
    <w:nsid w:val="71C91298"/>
    <w:multiLevelType w:val="hybridMultilevel"/>
    <w:lvl w:ilvl="0">
      <w:lvlJc w:val="left"/>
      <w:lvlText w:val="%1."/>
      <w:numFmt w:val="lowerLetter"/>
      <w:start w:val="1"/>
    </w:lvl>
  </w:abstractNum>
  <w:abstractNum w:abstractNumId="56">
    <w:nsid w:val="9DAF632"/>
    <w:multiLevelType w:val="hybridMultilevel"/>
    <w:lvl w:ilvl="0">
      <w:lvlJc w:val="left"/>
      <w:lvlText w:val="%1."/>
      <w:numFmt w:val="lowerLetter"/>
      <w:start w:val="1"/>
    </w:lvl>
  </w:abstractNum>
  <w:abstractNum w:abstractNumId="57">
    <w:nsid w:val="53299938"/>
    <w:multiLevelType w:val="hybridMultilevel"/>
    <w:lvl w:ilvl="0">
      <w:lvlJc w:val="left"/>
      <w:lvlText w:val="(%1)"/>
      <w:numFmt w:val="lowerLetter"/>
      <w:start w:val="1"/>
    </w:lvl>
  </w:abstractNum>
  <w:abstractNum w:abstractNumId="58">
    <w:nsid w:val="1FBFE8E0"/>
    <w:multiLevelType w:val="hybridMultilevel"/>
    <w:lvl w:ilvl="0">
      <w:lvlJc w:val="left"/>
      <w:lvlText w:val="(%1)"/>
      <w:numFmt w:val="lowerLetter"/>
      <w:start w:val="2"/>
    </w:lvl>
    <w:lvl w:ilvl="1">
      <w:lvlJc w:val="left"/>
      <w:lvlText w:val="(%2)"/>
      <w:numFmt w:val="lowerRoman"/>
      <w:start w:val="1"/>
    </w:lvl>
  </w:abstractNum>
  <w:abstractNum w:abstractNumId="59">
    <w:nsid w:val="5092CA79"/>
    <w:multiLevelType w:val="hybridMultilevel"/>
    <w:lvl w:ilvl="0">
      <w:lvlJc w:val="left"/>
      <w:lvlText w:val="(%1)"/>
      <w:numFmt w:val="lowerLetter"/>
      <w:start w:val="3"/>
    </w:lvl>
  </w:abstractNum>
  <w:abstractNum w:abstractNumId="60">
    <w:nsid w:val="1D545C4D"/>
    <w:multiLevelType w:val="hybridMultilevel"/>
    <w:lvl w:ilvl="0">
      <w:lvlJc w:val="left"/>
      <w:lvlText w:val="(%1)"/>
      <w:numFmt w:val="lowerLetter"/>
      <w:start w:val="5"/>
    </w:lvl>
  </w:abstractNum>
  <w:abstractNum w:abstractNumId="61">
    <w:nsid w:val="59ADEA3D"/>
    <w:multiLevelType w:val="hybridMultilevel"/>
    <w:lvl w:ilvl="0">
      <w:lvlJc w:val="left"/>
      <w:lvlText w:val="(%1)"/>
      <w:numFmt w:val="lowerLetter"/>
      <w:start w:val="1"/>
    </w:lvl>
  </w:abstractNum>
  <w:abstractNum w:abstractNumId="62">
    <w:nsid w:val="288F1A34"/>
    <w:multiLevelType w:val="hybridMultilevel"/>
    <w:lvl w:ilvl="0">
      <w:lvlJc w:val="left"/>
      <w:lvlText w:val="(%1)"/>
      <w:numFmt w:val="lowerLetter"/>
      <w:start w:val="1"/>
    </w:lvl>
  </w:abstractNum>
  <w:abstractNum w:abstractNumId="63">
    <w:nsid w:val="2A155DBC"/>
    <w:multiLevelType w:val="hybridMultilevel"/>
    <w:lvl w:ilvl="0">
      <w:lvlJc w:val="left"/>
      <w:lvlText w:val="(%1)"/>
      <w:numFmt w:val="lowerLetter"/>
      <w:start w:val="1"/>
    </w:lvl>
  </w:abstractNum>
  <w:abstractNum w:abstractNumId="64">
    <w:nsid w:val="1D9F6E5F"/>
    <w:multiLevelType w:val="hybridMultilevel"/>
    <w:lvl w:ilvl="0">
      <w:lvlJc w:val="left"/>
      <w:lvlText w:val="(%1)"/>
      <w:numFmt w:val="lowerLetter"/>
      <w:start w:val="1"/>
    </w:lvl>
  </w:abstractNum>
  <w:abstractNum w:abstractNumId="65">
    <w:nsid w:val="97E1B4E"/>
    <w:multiLevelType w:val="hybridMultilevel"/>
    <w:lvl w:ilvl="0">
      <w:lvlJc w:val="left"/>
      <w:lvlText w:val="(%1)"/>
      <w:numFmt w:val="lowerLetter"/>
      <w:start w:val="1"/>
    </w:lvl>
  </w:abstractNum>
  <w:abstractNum w:abstractNumId="66">
    <w:nsid w:val="51088277"/>
    <w:multiLevelType w:val="hybridMultilevel"/>
    <w:lvl w:ilvl="0">
      <w:lvlJc w:val="left"/>
      <w:lvlText w:val="%1"/>
      <w:numFmt w:val="lowerLetter"/>
      <w:start w:val="1"/>
    </w:lvl>
    <w:lvl w:ilvl="1">
      <w:lvlJc w:val="left"/>
      <w:lvlText w:val="(%2)"/>
      <w:numFmt w:val="lowerLetter"/>
      <w:start w:val="3"/>
    </w:lvl>
  </w:abstractNum>
  <w:abstractNum w:abstractNumId="67">
    <w:nsid w:val="1CA0C5FA"/>
    <w:multiLevelType w:val="hybridMultilevel"/>
    <w:lvl w:ilvl="0">
      <w:lvlJc w:val="left"/>
      <w:lvlText w:val="(%1)"/>
      <w:numFmt w:val="lowerLetter"/>
      <w:start w:val="9"/>
    </w:lvl>
    <w:lvl w:ilvl="1">
      <w:lvlJc w:val="left"/>
      <w:lvlText w:val="(%2)"/>
      <w:numFmt w:val="lowerLetter"/>
      <w:start w:val="6"/>
    </w:lvl>
  </w:abstractNum>
  <w:abstractNum w:abstractNumId="68">
    <w:nsid w:val="53584BCB"/>
    <w:multiLevelType w:val="hybridMultilevel"/>
    <w:lvl w:ilvl="0">
      <w:lvlJc w:val="left"/>
      <w:lvlText w:val="(%1)"/>
      <w:numFmt w:val="lowerLetter"/>
      <w:start w:val="61"/>
    </w:lvl>
    <w:lvl w:ilvl="1">
      <w:lvlJc w:val="left"/>
      <w:lvlText w:val="%2"/>
      <w:numFmt w:val="lowerLetter"/>
      <w:start w:val="1"/>
    </w:lvl>
  </w:abstractNum>
  <w:abstractNum w:abstractNumId="69">
    <w:nsid w:val="415E286C"/>
    <w:multiLevelType w:val="hybridMultilevel"/>
    <w:lvl w:ilvl="0">
      <w:lvlJc w:val="left"/>
      <w:lvlText w:val="(%1)"/>
      <w:numFmt w:val="lowerLetter"/>
      <w:start w:val="1"/>
    </w:lvl>
  </w:abstractNum>
  <w:abstractNum w:abstractNumId="70">
    <w:nsid w:val="7C58FD05"/>
    <w:multiLevelType w:val="hybridMultilevel"/>
    <w:lvl w:ilvl="0">
      <w:lvlJc w:val="left"/>
      <w:lvlText w:val="(%1)"/>
      <w:numFmt w:val="lowerLetter"/>
      <w:start w:val="2"/>
    </w:lvl>
  </w:abstractNum>
  <w:abstractNum w:abstractNumId="71">
    <w:nsid w:val="23D86AAC"/>
    <w:multiLevelType w:val="hybridMultilevel"/>
    <w:lvl w:ilvl="0">
      <w:lvlJc w:val="left"/>
      <w:lvlText w:val="(%1)"/>
      <w:numFmt w:val="lowerLetter"/>
      <w:start w:val="1"/>
    </w:lvl>
  </w:abstractNum>
  <w:abstractNum w:abstractNumId="72">
    <w:nsid w:val="45E6D486"/>
    <w:multiLevelType w:val="hybridMultilevel"/>
    <w:lvl w:ilvl="0">
      <w:lvlJc w:val="left"/>
      <w:lvlText w:val="(%1)"/>
      <w:numFmt w:val="lowerLetter"/>
      <w:start w:val="8"/>
    </w:lvl>
  </w:abstractNum>
  <w:abstractNum w:abstractNumId="73">
    <w:nsid w:val="5C10FE21"/>
    <w:multiLevelType w:val="hybridMultilevel"/>
    <w:lvl w:ilvl="0">
      <w:lvlJc w:val="left"/>
      <w:lvlText w:val="(%1)"/>
      <w:numFmt w:val="lowerLetter"/>
      <w:start w:val="1"/>
    </w:lvl>
  </w:abstractNum>
  <w:abstractNum w:abstractNumId="74">
    <w:nsid w:val="E7FFA2B"/>
    <w:multiLevelType w:val="hybridMultilevel"/>
    <w:lvl w:ilvl="0">
      <w:lvlJc w:val="left"/>
      <w:lvlText w:val="(%1)"/>
      <w:numFmt w:val="lowerLetter"/>
      <w:start w:val="2"/>
    </w:lvl>
  </w:abstractNum>
  <w:abstractNum w:abstractNumId="75">
    <w:nsid w:val="3C5991AA"/>
    <w:multiLevelType w:val="hybridMultilevel"/>
    <w:lvl w:ilvl="0">
      <w:lvlJc w:val="left"/>
      <w:lvlText w:val="(%1)"/>
      <w:numFmt w:val="lowerLetter"/>
      <w:start w:val="1"/>
    </w:lvl>
  </w:abstractNum>
  <w:abstractNum w:abstractNumId="76">
    <w:nsid w:val="4BD8591A"/>
    <w:multiLevelType w:val="hybridMultilevel"/>
    <w:lvl w:ilvl="0">
      <w:lvlJc w:val="left"/>
      <w:lvlText w:val="(%1)"/>
      <w:numFmt w:val="lowerLetter"/>
      <w:start w:val="3"/>
    </w:lvl>
  </w:abstractNum>
  <w:abstractNum w:abstractNumId="77">
    <w:nsid w:val="78DF6A55"/>
    <w:multiLevelType w:val="hybridMultilevel"/>
    <w:lvl w:ilvl="0">
      <w:lvlJc w:val="left"/>
      <w:lvlText w:val="(%1)"/>
      <w:numFmt w:val="lowerLetter"/>
      <w:start w:val="1"/>
    </w:lvl>
  </w:abstractNum>
  <w:abstractNum w:abstractNumId="78">
    <w:nsid w:val="39B7AAA2"/>
    <w:multiLevelType w:val="hybridMultilevel"/>
    <w:lvl w:ilvl="0">
      <w:lvlJc w:val="left"/>
      <w:lvlText w:val="%1"/>
      <w:numFmt w:val="lowerLetter"/>
      <w:start w:val="1"/>
    </w:lvl>
    <w:lvl w:ilvl="1">
      <w:lvlJc w:val="left"/>
      <w:lvlText w:val="(%2)"/>
      <w:numFmt w:val="lowerLetter"/>
      <w:start w:val="3"/>
    </w:lvl>
  </w:abstractNum>
  <w:abstractNum w:abstractNumId="79">
    <w:nsid w:val="2B0D8DBE"/>
    <w:multiLevelType w:val="hybridMultilevel"/>
    <w:lvl w:ilvl="0">
      <w:lvlJc w:val="left"/>
      <w:lvlText w:val="(%1)"/>
      <w:numFmt w:val="lowerLetter"/>
      <w:start w:val="35"/>
    </w:lvl>
    <w:lvl w:ilvl="1">
      <w:lvlJc w:val="left"/>
      <w:lvlText w:val="(%2)"/>
      <w:numFmt w:val="lowerLetter"/>
      <w:start w:val="4"/>
    </w:lvl>
  </w:abstractNum>
  <w:abstractNum w:abstractNumId="80">
    <w:nsid w:val="6C80EC70"/>
    <w:multiLevelType w:val="hybridMultilevel"/>
    <w:lvl w:ilvl="0">
      <w:lvlJc w:val="left"/>
      <w:lvlText w:val="(%1)"/>
      <w:numFmt w:val="lowerRoman"/>
      <w:start w:val="1"/>
    </w:lvl>
  </w:abstractNum>
  <w:abstractNum w:abstractNumId="81">
    <w:nsid w:val="379E21B5"/>
    <w:multiLevelType w:val="hybridMultilevel"/>
    <w:lvl w:ilvl="0">
      <w:lvlJc w:val="left"/>
      <w:lvlText w:val="(%1)"/>
      <w:numFmt w:val="lowerRoman"/>
      <w:start w:val="2"/>
    </w:lvl>
  </w:abstractNum>
  <w:abstractNum w:abstractNumId="82">
    <w:nsid w:val="69E373"/>
    <w:multiLevelType w:val="hybridMultilevel"/>
    <w:lvl w:ilvl="0">
      <w:lvlJc w:val="left"/>
      <w:lvlText w:val="(%1)"/>
      <w:numFmt w:val="lowerLetter"/>
      <w:start w:val="1"/>
    </w:lvl>
  </w:abstractNum>
  <w:abstractNum w:abstractNumId="83">
    <w:nsid w:val="2C27173B"/>
    <w:multiLevelType w:val="hybridMultilevel"/>
    <w:lvl w:ilvl="0">
      <w:lvlJc w:val="left"/>
      <w:lvlText w:val="(%1)"/>
      <w:numFmt w:val="lowerLetter"/>
      <w:start w:val="2"/>
    </w:lvl>
  </w:abstractNum>
  <w:abstractNum w:abstractNumId="84">
    <w:nsid w:val="4C9B0904"/>
    <w:multiLevelType w:val="hybridMultilevel"/>
    <w:lvl w:ilvl="0">
      <w:lvlJc w:val="left"/>
      <w:lvlText w:val="(%1)"/>
      <w:numFmt w:val="lowerLetter"/>
      <w:start w:val="3"/>
    </w:lvl>
  </w:abstractNum>
  <w:abstractNum w:abstractNumId="85">
    <w:nsid w:val="6AA7B75C"/>
    <w:multiLevelType w:val="hybridMultilevel"/>
    <w:lvl w:ilvl="0">
      <w:lvlJc w:val="left"/>
      <w:lvlText w:val="(%1)"/>
      <w:numFmt w:val="lowerLetter"/>
      <w:start w:val="1"/>
    </w:lvl>
  </w:abstractNum>
  <w:abstractNum w:abstractNumId="86">
    <w:nsid w:val="1DF029D3"/>
    <w:multiLevelType w:val="hybridMultilevel"/>
    <w:lvl w:ilvl="0">
      <w:lvlJc w:val="left"/>
      <w:lvlText w:val="(%1)"/>
      <w:numFmt w:val="lowerLetter"/>
      <w:start w:val="8"/>
    </w:lvl>
  </w:abstractNum>
  <w:abstractNum w:abstractNumId="87">
    <w:nsid w:val="5675FF36"/>
    <w:multiLevelType w:val="hybridMultilevel"/>
    <w:lvl w:ilvl="0">
      <w:lvlJc w:val="left"/>
      <w:lvlText w:val="(%1)"/>
      <w:numFmt w:val="lowerLetter"/>
      <w:start w:val="1"/>
    </w:lvl>
  </w:abstractNum>
  <w:abstractNum w:abstractNumId="88">
    <w:nsid w:val="3DD15094"/>
    <w:multiLevelType w:val="hybridMultilevel"/>
    <w:lvl w:ilvl="0">
      <w:lvlJc w:val="left"/>
      <w:lvlText w:val="(%1)"/>
      <w:numFmt w:val="lowerRoman"/>
      <w:start w:val="1"/>
    </w:lvl>
  </w:abstractNum>
  <w:abstractNum w:abstractNumId="89">
    <w:nsid w:val="3DB012B3"/>
    <w:multiLevelType w:val="hybridMultilevel"/>
    <w:lvl w:ilvl="0">
      <w:lvlJc w:val="left"/>
      <w:lvlText w:val="(%1)"/>
      <w:numFmt w:val="lowerLetter"/>
      <w:start w:val="1"/>
    </w:lvl>
    <w:lvl w:ilvl="1">
      <w:lvlJc w:val="left"/>
      <w:lvlText w:val="(%2)"/>
      <w:numFmt w:val="lowerLetter"/>
      <w:start w:val="3"/>
    </w:lvl>
  </w:abstractNum>
  <w:abstractNum w:abstractNumId="90">
    <w:nsid w:val="2708C9AF"/>
    <w:multiLevelType w:val="hybridMultilevel"/>
    <w:lvl w:ilvl="0">
      <w:lvlJc w:val="left"/>
      <w:lvlText w:val="(%1)"/>
      <w:numFmt w:val="lowerLetter"/>
      <w:start w:val="1"/>
    </w:lvl>
  </w:abstractNum>
  <w:abstractNum w:abstractNumId="91">
    <w:nsid w:val="5B25ACE2"/>
    <w:multiLevelType w:val="hybridMultilevel"/>
    <w:lvl w:ilvl="0">
      <w:lvlJc w:val="left"/>
      <w:lvlText w:val="%1."/>
      <w:numFmt w:val="decimal"/>
      <w:start w:val="1"/>
    </w:lvl>
  </w:abstractNum>
  <w:abstractNum w:abstractNumId="92">
    <w:nsid w:val="175DFCF0"/>
    <w:multiLevelType w:val="hybridMultilevel"/>
    <w:lvl w:ilvl="0">
      <w:lvlJc w:val="left"/>
      <w:lvlText w:val="(%1)"/>
      <w:numFmt w:val="lowerLetter"/>
      <w:start w:val="1"/>
    </w:lvl>
  </w:abstractNum>
  <w:abstractNum w:abstractNumId="93">
    <w:nsid w:val="4F97E3E4"/>
    <w:multiLevelType w:val="hybridMultilevel"/>
    <w:lvl w:ilvl="0">
      <w:lvlJc w:val="left"/>
      <w:lvlText w:val="%1."/>
      <w:numFmt w:val="decimal"/>
      <w:start w:val="2"/>
    </w:lvl>
  </w:abstractNum>
  <w:abstractNum w:abstractNumId="94">
    <w:nsid w:val="53B0A9E"/>
    <w:multiLevelType w:val="hybridMultilevel"/>
    <w:lvl w:ilvl="0">
      <w:lvlJc w:val="left"/>
      <w:lvlText w:val="(%1)"/>
      <w:numFmt w:val="lowerLetter"/>
      <w:start w:val="1"/>
    </w:lvl>
  </w:abstractNum>
  <w:abstractNum w:abstractNumId="95">
    <w:nsid w:val="34FD6B4F"/>
    <w:multiLevelType w:val="hybridMultilevel"/>
    <w:lvl w:ilvl="0">
      <w:lvlJc w:val="left"/>
      <w:lvlText w:val="%1."/>
      <w:numFmt w:val="decimal"/>
      <w:start w:val="3"/>
    </w:lvl>
  </w:abstractNum>
  <w:abstractNum w:abstractNumId="96">
    <w:nsid w:val="5915FF32"/>
    <w:multiLevelType w:val="hybridMultilevel"/>
    <w:lvl w:ilvl="0">
      <w:lvlJc w:val="left"/>
      <w:lvlText w:val="(%1)"/>
      <w:numFmt w:val="lowerLetter"/>
      <w:start w:val="1"/>
    </w:lvl>
    <w:lvl w:ilvl="1">
      <w:lvlJc w:val="left"/>
      <w:lvlText w:val="(%2)"/>
      <w:numFmt w:val="lowerRoman"/>
      <w:start w:val="1"/>
    </w:lvl>
  </w:abstractNum>
  <w:abstractNum w:abstractNumId="97">
    <w:nsid w:val="56438D15"/>
    <w:multiLevelType w:val="hybridMultilevel"/>
    <w:lvl w:ilvl="0">
      <w:lvlJc w:val="left"/>
      <w:lvlText w:val="(%1)"/>
      <w:numFmt w:val="lowerLetter"/>
      <w:start w:val="2"/>
    </w:lvl>
  </w:abstractNum>
  <w:abstractNum w:abstractNumId="98">
    <w:nsid w:val="519E3149"/>
    <w:multiLevelType w:val="hybridMultilevel"/>
    <w:lvl w:ilvl="0">
      <w:lvlJc w:val="left"/>
      <w:lvlText w:val="(%1)"/>
      <w:numFmt w:val="lowerLetter"/>
      <w:start w:val="3"/>
    </w:lvl>
  </w:abstractNum>
  <w:abstractNum w:abstractNumId="99">
    <w:nsid w:val="2C6E4AFD"/>
    <w:multiLevelType w:val="hybridMultilevel"/>
    <w:lvl w:ilvl="0">
      <w:lvlJc w:val="left"/>
      <w:lvlText w:val="(%1)"/>
      <w:numFmt w:val="lowerLetter"/>
      <w:start w:val="5"/>
    </w:lvl>
  </w:abstractNum>
  <w:abstractNum w:abstractNumId="100">
    <w:nsid w:val="17A1B582"/>
    <w:multiLevelType w:val="hybridMultilevel"/>
    <w:lvl w:ilvl="0">
      <w:lvlJc w:val="left"/>
      <w:lvlText w:val="(%1)"/>
      <w:numFmt w:val="lowerLetter"/>
      <w:start w:val="7"/>
    </w:lvl>
  </w:abstractNum>
  <w:abstractNum w:abstractNumId="101">
    <w:nsid w:val="4DF72E4E"/>
    <w:multiLevelType w:val="hybridMultilevel"/>
    <w:lvl w:ilvl="0">
      <w:lvlJc w:val="left"/>
      <w:lvlText w:val="%1"/>
      <w:numFmt w:val="decimal"/>
      <w:start w:val="1"/>
    </w:lvl>
    <w:lvl w:ilvl="1">
      <w:lvlJc w:val="left"/>
      <w:lvlText w:val="(%2)"/>
      <w:numFmt w:val="lowerLetter"/>
      <w:start w:val="8"/>
    </w:lvl>
  </w:abstractNum>
  <w:abstractNum w:abstractNumId="102">
    <w:nsid w:val="5046B5A9"/>
    <w:multiLevelType w:val="hybridMultilevel"/>
    <w:lvl w:ilvl="0">
      <w:lvlJc w:val="left"/>
      <w:lvlText w:val="%1."/>
      <w:numFmt w:val="decimal"/>
      <w:start w:val="4"/>
    </w:lvl>
    <w:lvl w:ilvl="1">
      <w:lvlJc w:val="left"/>
      <w:lvlText w:val="%2"/>
      <w:numFmt w:val="lowerLetter"/>
      <w:start w:val="1"/>
    </w:lvl>
  </w:abstractNum>
  <w:abstractNum w:abstractNumId="103">
    <w:nsid w:val="5D888A08"/>
    <w:multiLevelType w:val="hybridMultilevel"/>
    <w:lvl w:ilvl="0">
      <w:lvlJc w:val="left"/>
      <w:lvlText w:val="(%1)"/>
      <w:numFmt w:val="lowerLetter"/>
      <w:start w:val="1"/>
    </w:lvl>
    <w:lvl w:ilvl="1">
      <w:lvlJc w:val="left"/>
      <w:lvlText w:val="(%2)"/>
      <w:numFmt w:val="lowerRoman"/>
      <w:start w:val="1"/>
    </w:lvl>
  </w:abstractNum>
  <w:abstractNum w:abstractNumId="104">
    <w:nsid w:val="2A082C70"/>
    <w:multiLevelType w:val="hybridMultilevel"/>
    <w:lvl w:ilvl="0">
      <w:lvlJc w:val="left"/>
      <w:lvlText w:val="%1"/>
      <w:numFmt w:val="lowerLetter"/>
      <w:start w:val="1"/>
    </w:lvl>
    <w:lvl w:ilvl="1">
      <w:lvlJc w:val="left"/>
      <w:lvlText w:val="(%2)"/>
      <w:numFmt w:val="lowerRoman"/>
      <w:start w:val="5"/>
    </w:lvl>
  </w:abstractNum>
  <w:abstractNum w:abstractNumId="105">
    <w:nsid w:val="5EC6AFD4"/>
    <w:multiLevelType w:val="hybridMultilevel"/>
    <w:lvl w:ilvl="0">
      <w:lvlJc w:val="left"/>
      <w:lvlText w:val="(%1)"/>
      <w:numFmt w:val="lowerLetter"/>
      <w:start w:val="2"/>
    </w:lvl>
    <w:lvl w:ilvl="1">
      <w:lvlJc w:val="left"/>
      <w:lvlText w:val="%2"/>
      <w:numFmt w:val="lowerRoman"/>
      <w:start w:val="1"/>
    </w:lvl>
  </w:abstractNum>
  <w:abstractNum w:abstractNumId="106">
    <w:nsid w:val="19E21BB2"/>
    <w:multiLevelType w:val="hybridMultilevel"/>
    <w:lvl w:ilvl="0">
      <w:lvlJc w:val="left"/>
      <w:lvlText w:val="(%1)"/>
      <w:numFmt w:val="lowerLetter"/>
      <w:start w:val="7"/>
    </w:lvl>
  </w:abstractNum>
  <w:abstractNum w:abstractNumId="107">
    <w:nsid w:val="75E0858A"/>
    <w:multiLevelType w:val="hybridMultilevel"/>
    <w:lvl w:ilvl="0">
      <w:lvlJc w:val="left"/>
      <w:lvlText w:val="%1."/>
      <w:numFmt w:val="decimal"/>
      <w:start w:val="5"/>
    </w:lvl>
  </w:abstractNum>
  <w:abstractNum w:abstractNumId="108">
    <w:nsid w:val="57A61A29"/>
    <w:multiLevelType w:val="hybridMultilevel"/>
    <w:lvl w:ilvl="0">
      <w:lvlJc w:val="left"/>
      <w:lvlText w:val="(%1)"/>
      <w:numFmt w:val="lowerLetter"/>
      <w:start w:val="1"/>
    </w:lvl>
  </w:abstractNum>
  <w:abstractNum w:abstractNumId="109">
    <w:nsid w:val="5399C654"/>
    <w:multiLevelType w:val="hybridMultilevel"/>
    <w:lvl w:ilvl="0">
      <w:lvlJc w:val="left"/>
      <w:lvlText w:val="%1."/>
      <w:numFmt w:val="decimal"/>
      <w:start w:val="6"/>
    </w:lvl>
  </w:abstractNum>
  <w:abstractNum w:abstractNumId="110">
    <w:nsid w:val="20EE1348"/>
    <w:multiLevelType w:val="hybridMultilevel"/>
    <w:lvl w:ilvl="0">
      <w:lvlJc w:val="left"/>
      <w:lvlText w:val="%1."/>
      <w:numFmt w:val="decimal"/>
      <w:start w:val="7"/>
    </w:lvl>
  </w:abstractNum>
  <w:abstractNum w:abstractNumId="111">
    <w:nsid w:val="4427069A"/>
    <w:multiLevelType w:val="hybridMultilevel"/>
    <w:lvl w:ilvl="0">
      <w:lvlJc w:val="left"/>
      <w:lvlText w:val="(%1)"/>
      <w:numFmt w:val="lowerLetter"/>
      <w:start w:val="1"/>
    </w:lvl>
  </w:abstractNum>
  <w:abstractNum w:abstractNumId="112">
    <w:nsid w:val="B37E80A"/>
    <w:multiLevelType w:val="hybridMultilevel"/>
    <w:lvl w:ilvl="0">
      <w:lvlJc w:val="left"/>
      <w:lvlText w:val="(%1)"/>
      <w:numFmt w:val="lowerRoman"/>
      <w:start w:val="1"/>
    </w:lvl>
  </w:abstractNum>
  <w:abstractNum w:abstractNumId="113">
    <w:nsid w:val="2157F6BC"/>
    <w:multiLevelType w:val="hybridMultilevel"/>
    <w:lvl w:ilvl="0">
      <w:lvlJc w:val="left"/>
      <w:lvlText w:val="(%1)"/>
      <w:numFmt w:val="lowerRoman"/>
      <w:start w:val="2"/>
    </w:lvl>
  </w:abstractNum>
  <w:abstractNum w:abstractNumId="114">
    <w:nsid w:val="704E1DD5"/>
    <w:multiLevelType w:val="hybridMultilevel"/>
    <w:lvl w:ilvl="0">
      <w:lvlJc w:val="left"/>
      <w:lvlText w:val="(%1)"/>
      <w:numFmt w:val="lowerRoman"/>
      <w:start w:val="4"/>
    </w:lvl>
  </w:abstractNum>
  <w:abstractNum w:abstractNumId="115">
    <w:nsid w:val="57D2F10E"/>
    <w:multiLevelType w:val="hybridMultilevel"/>
    <w:lvl w:ilvl="0">
      <w:lvlJc w:val="left"/>
      <w:lvlText w:val="(%1)"/>
      <w:numFmt w:val="lowerLetter"/>
      <w:start w:val="2"/>
    </w:lvl>
  </w:abstractNum>
  <w:abstractNum w:abstractNumId="116">
    <w:nsid w:val="BFFAE18"/>
    <w:multiLevelType w:val="hybridMultilevel"/>
    <w:lvl w:ilvl="0">
      <w:lvlJc w:val="left"/>
      <w:lvlText w:val="(%1)"/>
      <w:numFmt w:val="lowerLetter"/>
      <w:start w:val="3"/>
    </w:lvl>
  </w:abstractNum>
  <w:abstractNum w:abstractNumId="117">
    <w:nsid w:val="E3E47A8"/>
    <w:multiLevelType w:val="hybridMultilevel"/>
    <w:lvl w:ilvl="0">
      <w:lvlJc w:val="left"/>
      <w:lvlText w:val="%1"/>
      <w:numFmt w:val="lowerLetter"/>
      <w:start w:val="1"/>
    </w:lvl>
    <w:lvl w:ilvl="1">
      <w:lvlJc w:val="left"/>
      <w:lvlText w:val="(%2)"/>
      <w:numFmt w:val="lowerLetter"/>
      <w:start w:val="1"/>
    </w:lvl>
  </w:abstractNum>
  <w:abstractNum w:abstractNumId="118">
    <w:nsid w:val="2E48F044"/>
    <w:multiLevelType w:val="hybridMultilevel"/>
    <w:lvl w:ilvl="0">
      <w:lvlJc w:val="left"/>
      <w:lvlText w:val="(%1)"/>
      <w:numFmt w:val="lowerLetter"/>
      <w:start w:val="35"/>
    </w:lvl>
    <w:lvl w:ilvl="1">
      <w:lvlJc w:val="left"/>
      <w:lvlText w:val="%2"/>
      <w:numFmt w:val="lowerLetter"/>
      <w:start w:val="1"/>
    </w:lvl>
  </w:abstractNum>
  <w:abstractNum w:abstractNumId="119">
    <w:nsid w:val="49D0FEAC"/>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lowerLetter"/>
      <w:start w:val="9"/>
    </w:lvl>
  </w:abstractNum>
  <w:abstractNum w:abstractNumId="120">
    <w:nsid w:val="4BEE5A5B"/>
    <w:multiLevelType w:val="hybridMultilevel"/>
    <w:lvl w:ilvl="0">
      <w:lvlJc w:val="left"/>
      <w:lvlText w:val="%1"/>
      <w:numFmt w:val="upperLetter"/>
      <w:start w:val="1"/>
    </w:lvl>
    <w:lvl w:ilvl="1">
      <w:lvlJc w:val="left"/>
      <w:lvlText w:val="(%2)"/>
      <w:numFmt w:val="lowerRoman"/>
      <w:start w:val="2"/>
    </w:lvl>
  </w:abstractNum>
  <w:abstractNum w:abstractNumId="121">
    <w:nsid w:val="5551B9F3"/>
    <w:multiLevelType w:val="hybridMultilevel"/>
    <w:lvl w:ilvl="0">
      <w:lvlJc w:val="left"/>
      <w:lvlText w:val="(%1)"/>
      <w:numFmt w:val="upperLetter"/>
      <w:start w:val="3"/>
    </w:lvl>
    <w:lvl w:ilvl="1">
      <w:lvlJc w:val="left"/>
      <w:lvlText w:val="%2"/>
      <w:numFmt w:val="lowerRoman"/>
      <w:start w:val="1"/>
    </w:lvl>
  </w:abstractNum>
  <w:abstractNum w:abstractNumId="122">
    <w:nsid w:val="24F6AB8E"/>
    <w:multiLevelType w:val="hybridMultilevel"/>
    <w:lvl w:ilvl="0">
      <w:lvlJc w:val="left"/>
      <w:lvlText w:val="%1"/>
      <w:numFmt w:val="lowerLetter"/>
      <w:start w:val="1"/>
    </w:lvl>
    <w:lvl w:ilvl="1">
      <w:lvlJc w:val="left"/>
      <w:lvlText w:val="(%2)"/>
      <w:numFmt w:val="lowerLetter"/>
      <w:start w:val="8"/>
    </w:lvl>
  </w:abstractNum>
  <w:abstractNum w:abstractNumId="123">
    <w:nsid w:val="634C574C"/>
    <w:multiLevelType w:val="hybridMultilevel"/>
    <w:lvl w:ilvl="0">
      <w:lvlJc w:val="left"/>
      <w:lvlText w:val="(%1)"/>
      <w:numFmt w:val="lowerLetter"/>
      <w:start w:val="4"/>
    </w:lvl>
    <w:lvl w:ilvl="1">
      <w:lvlJc w:val="left"/>
      <w:lvlText w:val="%2"/>
      <w:numFmt w:val="lowerLetter"/>
      <w:start w:val="1"/>
    </w:lvl>
  </w:abstractNum>
  <w:abstractNum w:abstractNumId="124">
    <w:nsid w:val="24E99DD7"/>
    <w:multiLevelType w:val="hybridMultilevel"/>
    <w:lvl w:ilvl="0">
      <w:lvlJc w:val="left"/>
      <w:lvlText w:val="%1."/>
      <w:numFmt w:val="decimal"/>
      <w:start w:val="1"/>
    </w:lvl>
  </w:abstractNum>
  <w:abstractNum w:abstractNumId="125">
    <w:nsid w:val="2A31B62D"/>
    <w:multiLevelType w:val="hybridMultilevel"/>
    <w:lvl w:ilvl="0">
      <w:lvlJc w:val="left"/>
      <w:lvlText w:val="(%1)"/>
      <w:numFmt w:val="lowerLetter"/>
      <w:start w:val="1"/>
    </w:lvl>
  </w:abstractNum>
  <w:abstractNum w:abstractNumId="126">
    <w:nsid w:val="1849C29B"/>
    <w:multiLevelType w:val="hybridMultilevel"/>
    <w:lvl w:ilvl="0">
      <w:lvlJc w:val="left"/>
      <w:lvlText w:val="%1."/>
      <w:numFmt w:val="decimal"/>
      <w:start w:val="2"/>
    </w:lvl>
  </w:abstractNum>
  <w:abstractNum w:abstractNumId="127">
    <w:nsid w:val="7DFF9D09"/>
    <w:multiLevelType w:val="hybridMultilevel"/>
    <w:lvl w:ilvl="0">
      <w:lvlJc w:val="left"/>
      <w:lvlText w:val="(%1)"/>
      <w:numFmt w:val="lowerLetter"/>
      <w:start w:val="1"/>
    </w:lvl>
  </w:abstractNum>
  <w:abstractNum w:abstractNumId="128">
    <w:nsid w:val="754342"/>
    <w:multiLevelType w:val="hybridMultilevel"/>
    <w:lvl w:ilvl="0">
      <w:lvlJc w:val="left"/>
      <w:lvlText w:val="(%1)"/>
      <w:numFmt w:val="lowerLetter"/>
      <w:start w:val="2"/>
    </w:lvl>
  </w:abstractNum>
  <w:abstractNum w:abstractNumId="129">
    <w:nsid w:val="69E7F3E5"/>
    <w:multiLevelType w:val="hybridMultilevel"/>
    <w:lvl w:ilvl="0">
      <w:lvlJc w:val="left"/>
      <w:lvlText w:val="(%1)"/>
      <w:numFmt w:val="lowerLetter"/>
      <w:start w:val="3"/>
    </w:lvl>
  </w:abstractNum>
  <w:abstractNum w:abstractNumId="130">
    <w:nsid w:val="2A6DE806"/>
    <w:multiLevelType w:val="hybridMultilevel"/>
    <w:lvl w:ilvl="0">
      <w:lvlJc w:val="left"/>
      <w:lvlText w:val="%1)"/>
      <w:numFmt w:val="upperLetter"/>
      <w:start w:val="22"/>
    </w:lvl>
  </w:abstractNum>
  <w:abstractNum w:abstractNumId="131">
    <w:nsid w:val="1816F8C4"/>
    <w:multiLevelType w:val="hybridMultilevel"/>
    <w:lvl w:ilvl="0">
      <w:lvlJc w:val="left"/>
      <w:lvlText w:val="(%1)"/>
      <w:numFmt w:val="lowerLetter"/>
      <w:start w:val="5"/>
    </w:lvl>
  </w:abstractNum>
  <w:abstractNum w:abstractNumId="132">
    <w:nsid w:val="37DF2233"/>
    <w:multiLevelType w:val="hybridMultilevel"/>
    <w:lvl w:ilvl="0">
      <w:lvlJc w:val="left"/>
      <w:lvlText w:val="(%1)"/>
      <w:numFmt w:val="lowerLetter"/>
      <w:start w:val="6"/>
    </w:lvl>
  </w:abstractNum>
  <w:abstractNum w:abstractNumId="133">
    <w:nsid w:val="7AB49DAF"/>
    <w:multiLevelType w:val="hybridMultilevel"/>
    <w:lvl w:ilvl="0">
      <w:lvlJc w:val="left"/>
      <w:lvlText w:val="%1."/>
      <w:numFmt w:val="decimal"/>
      <w:start w:val="3"/>
    </w:lvl>
  </w:abstractNum>
  <w:abstractNum w:abstractNumId="134">
    <w:nsid w:val="759F82CD"/>
    <w:multiLevelType w:val="hybridMultilevel"/>
    <w:lvl w:ilvl="0">
      <w:lvlJc w:val="left"/>
      <w:lvlText w:val="(%1)"/>
      <w:numFmt w:val="lowerLetter"/>
      <w:start w:val="1"/>
    </w:lvl>
  </w:abstractNum>
  <w:abstractNum w:abstractNumId="135">
    <w:nsid w:val="61E74EA3"/>
    <w:multiLevelType w:val="hybridMultilevel"/>
    <w:lvl w:ilvl="0">
      <w:lvlJc w:val="left"/>
      <w:lvlText w:val="%1."/>
      <w:numFmt w:val="decimal"/>
      <w:start w:val="5"/>
    </w:lvl>
  </w:abstractNum>
  <w:abstractNum w:abstractNumId="136">
    <w:nsid w:val="597B4D84"/>
    <w:multiLevelType w:val="hybridMultilevel"/>
    <w:lvl w:ilvl="0">
      <w:lvlJc w:val="left"/>
      <w:lvlText w:val="%1."/>
      <w:numFmt w:val="decimal"/>
      <w:start w:val="6"/>
    </w:lvl>
  </w:abstractNum>
  <w:abstractNum w:abstractNumId="137">
    <w:nsid w:val="F819E7F"/>
    <w:multiLevelType w:val="hybridMultilevel"/>
    <w:lvl w:ilvl="0">
      <w:lvlJc w:val="left"/>
      <w:lvlText w:val="(%1)"/>
      <w:numFmt w:val="lowerLetter"/>
      <w:start w:val="1"/>
    </w:lvl>
  </w:abstractNum>
  <w:abstractNum w:abstractNumId="138">
    <w:nsid w:val="57C7D42D"/>
    <w:multiLevelType w:val="hybridMultilevel"/>
    <w:lvl w:ilvl="0">
      <w:lvlJc w:val="left"/>
      <w:lvlText w:val="(%1)"/>
      <w:numFmt w:val="lowerRoman"/>
      <w:start w:val="1"/>
    </w:lvl>
  </w:abstractNum>
  <w:abstractNum w:abstractNumId="139">
    <w:nsid w:val="312167AD"/>
    <w:multiLevelType w:val="hybridMultilevel"/>
    <w:lvl w:ilvl="0">
      <w:lvlJc w:val="left"/>
      <w:lvlText w:val="(%1)"/>
      <w:numFmt w:val="lowerRoman"/>
      <w:start w:val="2"/>
    </w:lvl>
  </w:abstractNum>
  <w:abstractNum w:abstractNumId="140">
    <w:nsid w:val="631B64D4"/>
    <w:multiLevelType w:val="hybridMultilevel"/>
    <w:lvl w:ilvl="0">
      <w:lvlJc w:val="left"/>
      <w:lvlText w:val="(%1)"/>
      <w:numFmt w:val="lowerRoman"/>
      <w:start w:val="4"/>
    </w:lvl>
  </w:abstractNum>
  <w:abstractNum w:abstractNumId="141">
    <w:nsid w:val="78B5E776"/>
    <w:multiLevelType w:val="hybridMultilevel"/>
    <w:lvl w:ilvl="0">
      <w:lvlJc w:val="left"/>
      <w:lvlText w:val="(%1)"/>
      <w:numFmt w:val="lowerLetter"/>
      <w:start w:val="2"/>
    </w:lvl>
  </w:abstractNum>
  <w:abstractNum w:abstractNumId="142">
    <w:nsid w:val="75486E47"/>
    <w:multiLevelType w:val="hybridMultilevel"/>
    <w:lvl w:ilvl="0">
      <w:lvlJc w:val="left"/>
      <w:lvlText w:val="(%1)"/>
      <w:numFmt w:val="lowerLetter"/>
      <w:start w:val="3"/>
    </w:lvl>
  </w:abstractNum>
  <w:abstractNum w:abstractNumId="143">
    <w:nsid w:val="6E534CDE"/>
    <w:multiLevelType w:val="hybridMultilevel"/>
    <w:lvl w:ilvl="0">
      <w:lvlJc w:val="left"/>
      <w:lvlText w:val="%1"/>
      <w:numFmt w:val="lowerLetter"/>
      <w:start w:val="1"/>
    </w:lvl>
    <w:lvl w:ilvl="1">
      <w:lvlJc w:val="left"/>
      <w:lvlText w:val="(%2)"/>
      <w:numFmt w:val="lowerLetter"/>
      <w:start w:val="1"/>
    </w:lvl>
  </w:abstractNum>
  <w:abstractNum w:abstractNumId="144">
    <w:nsid w:val="1A0DDE32"/>
    <w:multiLevelType w:val="hybridMultilevel"/>
    <w:lvl w:ilvl="0">
      <w:lvlJc w:val="left"/>
      <w:lvlText w:val="(%1)"/>
      <w:numFmt w:val="lowerLetter"/>
      <w:start w:val="35"/>
    </w:lvl>
    <w:lvl w:ilvl="1">
      <w:lvlJc w:val="left"/>
      <w:lvlText w:val="%2"/>
      <w:numFmt w:val="lowerLetter"/>
      <w:start w:val="1"/>
    </w:lvl>
  </w:abstractNum>
  <w:abstractNum w:abstractNumId="145">
    <w:nsid w:val="65968C1C"/>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lowerLetter"/>
      <w:start w:val="9"/>
    </w:lvl>
  </w:abstractNum>
  <w:abstractNum w:abstractNumId="146">
    <w:nsid w:val="46263DEC"/>
    <w:multiLevelType w:val="hybridMultilevel"/>
    <w:lvl w:ilvl="0">
      <w:lvlJc w:val="left"/>
      <w:lvlText w:val="%1"/>
      <w:numFmt w:val="upperLetter"/>
      <w:start w:val="1"/>
    </w:lvl>
    <w:lvl w:ilvl="1">
      <w:lvlJc w:val="left"/>
      <w:lvlText w:val="(%2)"/>
      <w:numFmt w:val="lowerRoman"/>
      <w:start w:val="2"/>
    </w:lvl>
  </w:abstractNum>
  <w:abstractNum w:abstractNumId="147">
    <w:nsid w:val="260D8C4A"/>
    <w:multiLevelType w:val="hybridMultilevel"/>
    <w:lvl w:ilvl="0">
      <w:lvlJc w:val="left"/>
      <w:lvlText w:val="(%1)"/>
      <w:numFmt w:val="upperLetter"/>
      <w:start w:val="3"/>
    </w:lvl>
    <w:lvl w:ilvl="1">
      <w:lvlJc w:val="left"/>
      <w:lvlText w:val="%2"/>
      <w:numFmt w:val="lowerRoman"/>
      <w:start w:val="1"/>
    </w:lvl>
  </w:abstractNum>
  <w:abstractNum w:abstractNumId="148">
    <w:nsid w:val="73D4D3C4"/>
    <w:multiLevelType w:val="hybridMultilevel"/>
    <w:lvl w:ilvl="0">
      <w:lvlJc w:val="left"/>
      <w:lvlText w:val="(%1)"/>
      <w:numFmt w:val="lowerLetter"/>
      <w:start w:val="8"/>
    </w:lvl>
  </w:abstractNum>
  <w:abstractNum w:abstractNumId="149">
    <w:nsid w:val="746F2E30"/>
    <w:multiLevelType w:val="hybridMultilevel"/>
    <w:lvl w:ilvl="0">
      <w:lvlJc w:val="left"/>
      <w:lvlText w:val="(%1)"/>
      <w:numFmt w:val="lowerLetter"/>
      <w:start w:val="4"/>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lvl w:ilvl="1">
      <w:lvlJc w:val="left"/>
      <w:lvlText w:val="(%2)"/>
      <w:numFmt w:val="lowerLetter"/>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2019-12-20T15:59:01Z</dcterms:created>
  <dcterms:modified xsi:type="dcterms:W3CDTF">2019-12-20T15:59:01Z</dcterms:modified>
</cp:coreProperties>
</file>