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001-34778</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QEP RESOURCES, INC.</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080"/>
        <w:spacing w:after="0"/>
        <w:rPr>
          <w:sz w:val="20"/>
          <w:szCs w:val="20"/>
          <w:color w:val="auto"/>
        </w:rPr>
      </w:pPr>
      <w:r>
        <w:rPr>
          <w:rFonts w:ascii="Arial" w:cs="Arial" w:eastAsia="Arial" w:hAnsi="Arial"/>
          <w:sz w:val="22"/>
          <w:szCs w:val="22"/>
          <w:color w:val="auto"/>
        </w:rPr>
        <w:t>Address: 1050 17th Street Suite 800</w:t>
      </w:r>
    </w:p>
    <w:p>
      <w:pPr>
        <w:spacing w:after="0" w:line="44" w:lineRule="exact"/>
        <w:rPr>
          <w:sz w:val="24"/>
          <w:szCs w:val="24"/>
          <w:color w:val="auto"/>
        </w:rPr>
      </w:pPr>
    </w:p>
    <w:p>
      <w:pPr>
        <w:ind w:left="3920"/>
        <w:spacing w:after="0"/>
        <w:rPr>
          <w:sz w:val="20"/>
          <w:szCs w:val="20"/>
          <w:color w:val="auto"/>
        </w:rPr>
      </w:pPr>
      <w:r>
        <w:rPr>
          <w:rFonts w:ascii="Arial" w:cs="Arial" w:eastAsia="Arial" w:hAnsi="Arial"/>
          <w:sz w:val="22"/>
          <w:szCs w:val="22"/>
          <w:color w:val="auto"/>
        </w:rPr>
        <w:t>Denver COLORADO 80265</w:t>
      </w:r>
    </w:p>
    <w:p>
      <w:pPr>
        <w:spacing w:after="0" w:line="44" w:lineRule="exact"/>
        <w:rPr>
          <w:sz w:val="24"/>
          <w:szCs w:val="24"/>
          <w:color w:val="auto"/>
        </w:rPr>
      </w:pPr>
    </w:p>
    <w:tbl>
      <w:tblPr>
        <w:tblLayout w:type="fixed"/>
        <w:tblInd w:w="2180" w:type="dxa"/>
        <w:tblCellMar>
          <w:top w:w="0" w:type="dxa"/>
          <w:left w:w="0" w:type="dxa"/>
          <w:bottom w:w="0" w:type="dxa"/>
          <w:right w:w="0" w:type="dxa"/>
        </w:tblCellMar>
      </w:tblPr>
      <w:tr>
        <w:trPr>
          <w:trHeight w:val="274"/>
        </w:trPr>
        <w:tc>
          <w:tcPr>
            <w:tcW w:w="3000" w:type="dxa"/>
            <w:vAlign w:val="bottom"/>
          </w:tcPr>
          <w:p>
            <w:pPr>
              <w:spacing w:after="0"/>
              <w:rPr>
                <w:sz w:val="20"/>
                <w:szCs w:val="20"/>
                <w:color w:val="auto"/>
              </w:rPr>
            </w:pPr>
            <w:r>
              <w:rPr>
                <w:rFonts w:ascii="Arial" w:cs="Arial" w:eastAsia="Arial" w:hAnsi="Arial"/>
                <w:sz w:val="22"/>
                <w:szCs w:val="22"/>
                <w:color w:val="auto"/>
              </w:rPr>
              <w:t>Telephone number:</w:t>
            </w:r>
          </w:p>
        </w:tc>
        <w:tc>
          <w:tcPr>
            <w:tcW w:w="2660" w:type="dxa"/>
            <w:vAlign w:val="bottom"/>
          </w:tcPr>
          <w:p>
            <w:pPr>
              <w:jc w:val="right"/>
              <w:spacing w:after="0"/>
              <w:rPr>
                <w:sz w:val="20"/>
                <w:szCs w:val="20"/>
                <w:color w:val="auto"/>
              </w:rPr>
            </w:pPr>
            <w:r>
              <w:rPr>
                <w:rFonts w:ascii="Arial" w:cs="Arial" w:eastAsia="Arial" w:hAnsi="Arial"/>
                <w:sz w:val="22"/>
                <w:szCs w:val="22"/>
                <w:color w:val="auto"/>
              </w:rPr>
              <w:t>(303) 672-6900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2"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2021-03-17</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860"/>
              <w:spacing w:after="0"/>
              <w:rPr>
                <w:sz w:val="20"/>
                <w:szCs w:val="20"/>
                <w:color w:val="auto"/>
              </w:rPr>
            </w:pPr>
            <w:r>
              <w:rPr>
                <w:rFonts w:ascii="Arial" w:cs="Arial" w:eastAsia="Arial" w:hAnsi="Arial"/>
                <w:sz w:val="22"/>
                <w:szCs w:val="22"/>
                <w:color w:val="auto"/>
              </w:rPr>
              <w:t>Christopher Rances</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Senior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73"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March 29, 2021, pursuant to the provisions of Rule 12d2-2 (a). [ X ] 17 CFR 240.12d2-2(a)(3) That on March 17, 2021,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agreement between QEP Resources, Inc. and Diamondback Energy, Inc. became effective before the open on March 17, 2021. Each share of Common Stock of QEP Resources, Inc. was exchanged for 0.050 of a share of Common Stock of Diamondback Energy, Inc. The Exchange also notifies the Securities and Exchange Commission that as a result of the above indicated conditions this security was suspended from trading on March 17, 2021.</w:t>
      </w:r>
    </w:p>
    <w:sectPr>
      <w:pgSz w:w="11900" w:h="16838" w:orient="portrait"/>
      <w:cols w:equalWidth="0" w:num="1">
        <w:col w:w="11140"/>
      </w:cols>
      <w:pgMar w:left="32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4778" TargetMode="External"/><Relationship Id="rId10" Type="http://schemas.openxmlformats.org/officeDocument/2006/relationships/hyperlink" Target="http://www.sec.gov/cgi-bin/browse-edgar?action=getcompany&amp;CIK=00011088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2021-03-17T08:02:18Z</dcterms:created>
  <dcterms:modified xsi:type="dcterms:W3CDTF">2021-03-17T08:02:18Z</dcterms:modified>
</cp:coreProperties>
</file>