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17145</wp:posOffset>
            </wp:positionV>
            <wp:extent cx="65151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3257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1143"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1143"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1143"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5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260"/>
              <w:spacing w:after="0"/>
              <w:rPr>
                <w:sz w:val="20"/>
                <w:szCs w:val="20"/>
                <w:color w:val="auto"/>
              </w:rPr>
            </w:pPr>
            <w:r>
              <w:rPr>
                <w:rFonts w:ascii="Arial" w:cs="Arial" w:eastAsia="Arial" w:hAnsi="Arial"/>
                <w:sz w:val="18"/>
                <w:szCs w:val="18"/>
                <w:color w:val="auto"/>
              </w:rPr>
              <w:t>o (Do not check if a smaller reporting company)</w:t>
            </w:r>
          </w:p>
        </w:tc>
        <w:tc>
          <w:tcPr>
            <w:tcW w:w="3720" w:type="dxa"/>
            <w:vAlign w:val="bottom"/>
          </w:tcPr>
          <w:p>
            <w:pPr>
              <w:ind w:left="10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270"/>
        </w:trPr>
        <w:tc>
          <w:tcPr>
            <w:tcW w:w="188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720" w:type="dxa"/>
            <w:vAlign w:val="bottom"/>
          </w:tcPr>
          <w:p>
            <w:pPr>
              <w:ind w:left="10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20"/>
          </w:cols>
          <w:pgMar w:left="240" w:top="1143" w:right="339" w:bottom="1440" w:gutter="0" w:footer="0" w:header="0"/>
          <w:type w:val="continuous"/>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there were 240,555,086 shares of the registrant’s common stock, $0.01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76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2017</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40" w:type="dxa"/>
            <w:vAlign w:val="bottom"/>
            <w:gridSpan w:val="25"/>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96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2"/>
            <w:shd w:val="clear" w:color="auto" w:fill="CCEEFF"/>
          </w:tcPr>
          <w:p>
            <w:pPr>
              <w:spacing w:after="0" w:line="20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UNAUDITED CONDENSED CONSOLIDATED STATEMENTS OF OPERATIONS FOR THE THREE AND</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SIX MONTHS ENDED JUNE 30, 2017 AND 2016</w:t>
              </w:r>
            </w:hyperlink>
          </w:p>
        </w:tc>
        <w:tc>
          <w:tcPr>
            <w:tcW w:w="280" w:type="dxa"/>
            <w:vAlign w:val="bottom"/>
            <w:tcBorders>
              <w:top w:val="single" w:sz="8" w:color="CCEEFF"/>
            </w:tcBorders>
            <w:gridSpan w:val="2"/>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COMPREHENSIVE INCOME FOR</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THREE AND SIX MONTHS ENDED JUNE 30, 2017 AND 2016</w:t>
              </w:r>
            </w:hyperlink>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2"/>
            <w:shd w:val="clear" w:color="auto" w:fill="CCEEFF"/>
          </w:tcPr>
          <w:p>
            <w:pPr>
              <w:spacing w:after="0" w:line="20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UNAUDITED CONDENSED CONSOLIDATED BALANCE SHEETS AT JUNE 30, 2017 AND DECEMBER</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31, 2016</w:t>
              </w:r>
            </w:hyperlink>
          </w:p>
        </w:tc>
        <w:tc>
          <w:tcPr>
            <w:tcW w:w="28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64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0000EE"/>
            </w:tcBorders>
            <w:shd w:val="clear" w:color="auto" w:fill="CCEEFF"/>
          </w:tcPr>
          <w:p>
            <w:pPr>
              <w:spacing w:after="0"/>
              <w:rPr>
                <w:sz w:val="21"/>
                <w:szCs w:val="21"/>
                <w:color w:val="auto"/>
              </w:rPr>
            </w:pPr>
          </w:p>
        </w:tc>
        <w:tc>
          <w:tcPr>
            <w:tcW w:w="340" w:type="dxa"/>
            <w:vAlign w:val="bottom"/>
            <w:tcBorders>
              <w:top w:val="single" w:sz="8" w:color="0000EE"/>
            </w:tcBorders>
            <w:shd w:val="clear" w:color="auto" w:fill="CCEEFF"/>
          </w:tcPr>
          <w:p>
            <w:pPr>
              <w:spacing w:after="0"/>
              <w:rPr>
                <w:sz w:val="21"/>
                <w:szCs w:val="21"/>
                <w:color w:val="auto"/>
              </w:rPr>
            </w:pPr>
          </w:p>
        </w:tc>
        <w:tc>
          <w:tcPr>
            <w:tcW w:w="1440" w:type="dxa"/>
            <w:vAlign w:val="bottom"/>
            <w:tcBorders>
              <w:top w:val="single" w:sz="8" w:color="0000EE"/>
            </w:tcBorders>
            <w:shd w:val="clear" w:color="auto" w:fill="CCEEFF"/>
          </w:tcPr>
          <w:p>
            <w:pPr>
              <w:spacing w:after="0"/>
              <w:rPr>
                <w:sz w:val="21"/>
                <w:szCs w:val="21"/>
                <w:color w:val="auto"/>
              </w:rPr>
            </w:pPr>
          </w:p>
        </w:tc>
        <w:tc>
          <w:tcPr>
            <w:tcW w:w="8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100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STATEMENTS OF CASH FLOWS FOR THE SIX</w:t>
              </w:r>
            </w:hyperlink>
          </w:p>
        </w:tc>
        <w:tc>
          <w:tcPr>
            <w:tcW w:w="960" w:type="dxa"/>
            <w:vAlign w:val="bottom"/>
            <w:tcBorders>
              <w:bottom w:val="single" w:sz="8" w:color="CCEEFF"/>
            </w:tcBorders>
            <w:gridSpan w:val="4"/>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2"/>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MONTHS ENDED JUNE 30, 2017 AND 2016</w:t>
              </w:r>
            </w:hyperlink>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UNAUDITED NOTES ACCOMPANYING THE CONDENSED CONSOLIDATED FINANCIAL</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STATEMENTS</w:t>
              </w:r>
            </w:hyperlink>
          </w:p>
        </w:tc>
        <w:tc>
          <w:tcPr>
            <w:tcW w:w="1200" w:type="dxa"/>
            <w:vAlign w:val="bottom"/>
            <w:tcBorders>
              <w:top w:val="single" w:sz="8" w:color="CCEEFF"/>
            </w:tcBorders>
            <w:gridSpan w:val="5"/>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gridSpan w:val="19"/>
            <w:shd w:val="clear" w:color="auto" w:fill="CCEEFF"/>
          </w:tcPr>
          <w:p>
            <w:pPr>
              <w:spacing w:after="0" w:line="20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MANAGEMENT’S DISCUSSION AND ANALYSIS OF FINANCIAL CONDITION AND RESULTS OF</w:t>
              </w:r>
            </w:hyperlink>
          </w:p>
        </w:tc>
        <w:tc>
          <w:tcPr>
            <w:tcW w:w="560" w:type="dxa"/>
            <w:vAlign w:val="bottom"/>
            <w:gridSpan w:val="3"/>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78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OPERATIONS</w:t>
              </w:r>
            </w:hyperlink>
          </w:p>
        </w:tc>
        <w:tc>
          <w:tcPr>
            <w:tcW w:w="560" w:type="dxa"/>
            <w:vAlign w:val="bottom"/>
            <w:tcBorders>
              <w:top w:val="single" w:sz="8" w:color="CCEEFF"/>
            </w:tcBorders>
            <w:gridSpan w:val="3"/>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8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40" w:type="dxa"/>
            <w:vAlign w:val="bottom"/>
            <w:gridSpan w:val="25"/>
            <w:shd w:val="clear" w:color="auto" w:fill="CCEEFF"/>
          </w:tcPr>
          <w:p>
            <w:pPr>
              <w:ind w:left="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PART II. OTHER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96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8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340" w:type="dxa"/>
            <w:vAlign w:val="bottom"/>
            <w:gridSpan w:val="22"/>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10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459"/>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3760" w:type="dxa"/>
            <w:vAlign w:val="bottom"/>
            <w:tcBorders>
              <w:top w:val="single" w:sz="8" w:color="CCEEFF"/>
            </w:tcBorders>
            <w:gridSpan w:val="13"/>
          </w:tcPr>
          <w:p>
            <w:pPr>
              <w:ind w:left="3560"/>
              <w:spacing w:after="0"/>
              <w:rPr>
                <w:sz w:val="20"/>
                <w:szCs w:val="20"/>
                <w:color w:val="auto"/>
              </w:rPr>
            </w:pPr>
            <w:r>
              <w:rPr>
                <w:rFonts w:ascii="Arial" w:cs="Arial" w:eastAsia="Arial" w:hAnsi="Arial"/>
                <w:sz w:val="18"/>
                <w:szCs w:val="18"/>
                <w:color w:val="auto"/>
              </w:rPr>
              <w:t>1</w:t>
            </w:r>
          </w:p>
        </w:tc>
        <w:tc>
          <w:tcPr>
            <w:tcW w:w="14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color w:val="auto"/>
                <w:w w:val="90"/>
              </w:rPr>
              <w:t>(in millions, except per share amounts)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216.0</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Gas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revenue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oil and gas sales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383.7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Purchased oil and gas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Transportation and processing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191.5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0.19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0.19</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Used in basic calculation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240.5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diluted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740" w:type="dxa"/>
            <w:vAlign w:val="bottom"/>
            <w:gridSpan w:val="6"/>
          </w:tcPr>
          <w:p>
            <w:pPr>
              <w:ind w:left="56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Postretirement medical plan change</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(2)</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(3)</w:t>
            </w:r>
          </w:p>
        </w:tc>
        <w:tc>
          <w:tcPr>
            <w:tcW w:w="8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45.5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$1.0 million during the six months ended June 30, 2017.</w:t>
      </w:r>
    </w:p>
    <w:p>
      <w:pPr>
        <w:spacing w:after="0" w:line="2" w:lineRule="exact"/>
        <w:rPr>
          <w:rFonts w:ascii="Arial" w:cs="Arial" w:eastAsia="Arial" w:hAnsi="Arial"/>
          <w:sz w:val="25"/>
          <w:szCs w:val="25"/>
          <w:color w:val="auto"/>
          <w:vertAlign w:val="superscript"/>
        </w:rPr>
      </w:pPr>
    </w:p>
    <w:p>
      <w:pPr>
        <w:ind w:left="660" w:right="200" w:hanging="314"/>
        <w:spacing w:after="0" w:line="219"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$0.1 million and $0.2 million during the three and six months ended June 30, 2017, respectively. Presented net of income tax expense of $0.2 million and $0.3 million during the three and six months ended June 30, 2016, respectively.</w:t>
      </w:r>
    </w:p>
    <w:p>
      <w:pPr>
        <w:ind w:left="660" w:right="4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during the six months ended June 30, 2017. Presented net of income tax expense of $0.1 million during the three and six months ended June 30, 2016,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Hydrocarbon inventories, at lower of average cost or net realizable value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14,840.2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14,232.5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Gathering and other</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15,914.6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15,438.5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9,069.9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9,177.3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8,899.5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6,737.3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6,539.0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7,265.5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Commitments and contingencies (Note 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2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242.2 million and 240.7 million shares issued,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Treasury stock – 1.7 million and 1.1 million shares, respectively</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2,295.6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2,173.3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3,635.0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3,502.7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7,265.5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2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96" w:right="239" w:bottom="219"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20" w:type="dxa"/>
            <w:vAlign w:val="bottom"/>
            <w:gridSpan w:val="4"/>
          </w:tcPr>
          <w:p>
            <w:pPr>
              <w:jc w:val="center"/>
              <w:ind w:right="89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3"/>
          </w:tcPr>
          <w:p>
            <w:pPr>
              <w:jc w:val="center"/>
              <w:ind w:left="30"/>
              <w:spacing w:after="0"/>
              <w:rPr>
                <w:sz w:val="20"/>
                <w:szCs w:val="20"/>
                <w:color w:val="auto"/>
              </w:rPr>
            </w:pPr>
            <w:r>
              <w:rPr>
                <w:rFonts w:ascii="Arial" w:cs="Arial" w:eastAsia="Arial" w:hAnsi="Arial"/>
                <w:sz w:val="18"/>
                <w:szCs w:val="18"/>
                <w:color w:val="auto"/>
                <w:w w:val="86"/>
              </w:rPr>
              <w:t>June 30,</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gridSpan w:val="3"/>
          </w:tcPr>
          <w:p>
            <w:pPr>
              <w:jc w:val="center"/>
              <w:ind w:left="30"/>
              <w:spacing w:after="0"/>
              <w:rPr>
                <w:sz w:val="20"/>
                <w:szCs w:val="20"/>
                <w:color w:val="auto"/>
              </w:rPr>
            </w:pPr>
            <w:r>
              <w:rPr>
                <w:rFonts w:ascii="Arial" w:cs="Arial" w:eastAsia="Arial" w:hAnsi="Arial"/>
                <w:sz w:val="18"/>
                <w:szCs w:val="18"/>
                <w:color w:val="auto"/>
                <w:w w:val="96"/>
              </w:rPr>
              <w:t>(in millions)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Bargain purchase gain from acquisition</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loss from asset sales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(gains) losses on marketable securities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deposit held in escrow</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(477.9)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(552.2)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issuance costs paid</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repurchases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capital contributions</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net</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Excess tax (provision) benefit on share-based compensation</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(265.0)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311"/>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paid (refund received) for income taxes, net</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 in capital expenditure accruals and other non-cash adjustments</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QEP Resources, Inc. is an independent crude oil and natural gas exploration and production company focused in two regions of the United States: the Northern Region (primarily in North Dakota, Wyoming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Interim Condensed Consolidated Financial Statements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Generally Accepted Accounting Principles (GAAP) in the United States and with the instructions for Quarterly Reports on Form 10-Q and Regulation S-X. All significant intercompany accounts and transactions have been eliminated in consolidation.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2016.</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six months ended June 30, 2017, are not necessarily indicative of the results that may be expected for the year ending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Certain prior period balances on the Condensed Consolidated Statement of Operations have been reclassified to conform to the current year presentation. Such reclassifications had no effect on the Company's net income, earnings per share, cash flows or retained earnings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six months ended June 30, 2016, QEP recorded impairment charges of $1,183.2 million, of which $1,167.9 million was related to proved properties due to lower future oil and gas prices, $11.6 million was related to expiring leaseholds on unproved properties and $3.7 million was related to an impairment of goodwill. Of the $1,167.9 million impairment on proved properties, $1,164.0 million related to Pinedale properties, $3.5 million related to Other Northern properties and $0.4 million related to QEP's Other Southern properties.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9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which seeks to provide a single, comprehensive revenue recognition model for all contracts with customers to improve comparability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In addition, new and enhanced disclosures will be required. The amendment is effective prospectively for reporting periods beginning on or after December 15, 2017, and early adoption is permitted for periods beginning on or after December 15, 2016. The two permitted transition methods under the new standard are the full retrospective method, in which case the standard would be applied to each prior reporting period presented, or the modified retrospective method, in which case the cumulative effect of applying the standard would be recognized at the date of initial application. The Company has selected the modified retrospective method and is currently assessing the impact of the ASU on the Company's Condensed Consolidated Financial Statements.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the lease assets and lease liabilities classified as operating leases on the balance sheet and disclosing key quantitative and qualitative information about leasing arrangements. The amendment will be effective for reporting periods beginning after December 15, 2018, and early adoption is permitted. The Company is currently assessing the impact of the ASU on the Company's Condensed Consolidated Financial Statements.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March 2016, the FASB issued ASU No. 2016-06, </w:t>
      </w:r>
      <w:r>
        <w:rPr>
          <w:rFonts w:ascii="Arial" w:cs="Arial" w:eastAsia="Arial" w:hAnsi="Arial"/>
          <w:sz w:val="18"/>
          <w:szCs w:val="18"/>
          <w:i w:val="1"/>
          <w:iCs w:val="1"/>
          <w:color w:val="auto"/>
        </w:rPr>
        <w:t>Derivatives and hedging (Topic 815): Contingent put and call options in debt instruments</w:t>
      </w:r>
      <w:r>
        <w:rPr>
          <w:rFonts w:ascii="Arial" w:cs="Arial" w:eastAsia="Arial" w:hAnsi="Arial"/>
          <w:sz w:val="18"/>
          <w:szCs w:val="18"/>
          <w:color w:val="auto"/>
        </w:rPr>
        <w:t>, which clarifies the requirements for assessing whether contingent call (put) options that can accelerate the payment of principal on debt instruments are clearly and closely related to their debt hosts. The amendment will be effective prospectively for reporting periods beginning on or after December 15, 2016, and early adoption is permitted. The Company adopted this standard in the first quarter of 2017 and the adoption of this new standard did not have a material impact on the Company's Condensed Consolidated Financial Statements.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includes provisions intended to simplify various aspects related to how share-based compensation payments are accounted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the financial statements. This amendment was effective prospectively for reporting periods beginning after December 15, 2016, and early adoption was permitted. The Company adopted this standard in the first quarter of 2017 and the adoption of this new standard did not have a material impact on the Company's Condensed Consolidated Financial Statements.</w:t>
      </w:r>
    </w:p>
    <w:p>
      <w:pPr>
        <w:spacing w:after="0" w:line="18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clarifies the definition of a business with the objective of adding guidance to assist entities with evaluating whether transactions should be accounted for as acquisitions (or disposals) of businesses. The amendment will be effective prospectively for reporting periods beginning after December 15, 2017, and early adoption is permitted. The Company is currently assessing the impact of the ASU on the Company's Condensed Consolidated Financial Statements.</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which eliminates the requirement to calculate implied fair value of goodwill to measure the goodwill impairment charge. The amendment will be effective prospectively for reporting periods beginning after December 15, 2019, and early adoption is permitted. The Company early adopted this standard in the first quarter of 2017 and the adoption of this new standard did not have a material impact on the Company's Condensed Consolidated Financial Statements.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and net periodic postretirement benefit cost</w:t>
      </w:r>
      <w:r>
        <w:rPr>
          <w:rFonts w:ascii="Arial" w:cs="Arial" w:eastAsia="Arial" w:hAnsi="Arial"/>
          <w:sz w:val="18"/>
          <w:szCs w:val="18"/>
          <w:color w:val="auto"/>
        </w:rPr>
        <w:t>, which changes how employers of a defined benefit plan present net periodic benefit cost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 amendment will be effective retrospectively for reporting periods beginning after December 15, 2017, and early adoption is permitted. The Company early adopted this standard in the first quarter of 2017 and the adoption of this new standard did not have a material impact on the Company's Condensed Consolidated Financial Statements. See Note 11 – Employee Benefits for additional information regarding the Company's postretirement benefit plan.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Permian Basin Acquisition</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October 2016, QEP acquired oil and gas properties in the Permian Basin for an aggregate purchase price of approximately $591.0 million, subject to customary post-closing purchase price adjustments (the 2016 Permian Basin Acquisition). The 2016 Permian Basin Acquisition consists of approximately 9,600 net acres in Martin County, Texas, which are primarily held by production from existing vertical wells. The 2016 Permian Basin Acquisition was funded with cash on hand, which included proceeds from an equity offering in June 2016.</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2016 Permian Basin Acquisition meets the definition of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it includes significant proved properties. QEP allocated the cost of the 2016 Permian Basin Acquisition to assets acquired and liabilities assumed based on fair values as of the acquisition date. Revenues of $15.1 million and $19.8 million and net income of $2.1 million and $1.6 million were generated from the acquired properties during the three and six months ended June 30, 2017, respectively, and are included in QEP's Condensed Consolidated Statements of Operations. In conjunction with the 2016 Permian Basin Acquisition, the Company recorded an $18.2 million bargain purchase gain in 2016. The acquisition resulted in a bargain purchase gain primarily as a result of an increase in future oil prices from the execution of the purchase and sale agreement to the closing date of the acquisition. During the six months ended June 30, 2017, the Company reduced the bargain purchase gain by $0.4 million due to purchase price adjustments. The bargain purchase gain is reported on the Condensed Consolidated Statements of Operations within "Interest and other income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r>
              <w:rPr>
                <w:rFonts w:ascii="Arial" w:cs="Arial" w:eastAsia="Arial" w:hAnsi="Arial"/>
                <w:sz w:val="18"/>
                <w:szCs w:val="18"/>
                <w:color w:val="auto"/>
              </w:rPr>
              <w:t>The following table presents a summary of the Company's purchase accounting entries (in millions) as of June 30, 2017:</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Consideration:</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591.0</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9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for fair value of assets acquired and liabilities assumed:</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406.2</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Total fair value</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591.0</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following unaudited, pro forma results of operations are provided for the three and six months ended June 30, 2016. Pro forma results are not provided for the three and six months ended June 30, 2017, because the 2016 Permian Basin Acquisition occurred during the fourth quarter of 2016, and therefore, the results are included in QEP's results of operations for the three and six months ended June 30, 2017. These supplemental pro forma results of operations are provided for illustrative purposes only and may not be indicative of the actual results that would have been achieved by the acquired properties for the periods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condensed consolidated results of operations for the three and six months ended June 30, 2016,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 operations do not include any cost savings or other synergies that may result from the 2016 Permian Basin Acquisition or any estimated costs that have been or will be incurred by the Company to integrate the acquired properties.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jc w:val="right"/>
              <w:ind w:right="580"/>
              <w:spacing w:after="0"/>
              <w:rPr>
                <w:sz w:val="20"/>
                <w:szCs w:val="20"/>
                <w:color w:val="auto"/>
              </w:rPr>
            </w:pPr>
            <w:r>
              <w:rPr>
                <w:rFonts w:ascii="Arial" w:cs="Arial" w:eastAsia="Arial" w:hAnsi="Arial"/>
                <w:sz w:val="18"/>
                <w:szCs w:val="18"/>
                <w:color w:val="auto"/>
                <w:w w:val="96"/>
              </w:rPr>
              <w:t>Three Months Ended June 30, 2016</w:t>
            </w:r>
          </w:p>
        </w:tc>
        <w:tc>
          <w:tcPr>
            <w:tcW w:w="360" w:type="dxa"/>
            <w:vAlign w:val="bottom"/>
          </w:tcPr>
          <w:p>
            <w:pPr>
              <w:spacing w:after="0"/>
              <w:rPr>
                <w:sz w:val="20"/>
                <w:szCs w:val="20"/>
                <w:color w:val="auto"/>
              </w:rPr>
            </w:pPr>
          </w:p>
        </w:tc>
        <w:tc>
          <w:tcPr>
            <w:tcW w:w="3160" w:type="dxa"/>
            <w:vAlign w:val="bottom"/>
            <w:gridSpan w:val="3"/>
          </w:tcPr>
          <w:p>
            <w:pPr>
              <w:jc w:val="right"/>
              <w:ind w:right="450"/>
              <w:spacing w:after="0"/>
              <w:rPr>
                <w:sz w:val="20"/>
                <w:szCs w:val="20"/>
                <w:color w:val="auto"/>
              </w:rPr>
            </w:pPr>
            <w:r>
              <w:rPr>
                <w:rFonts w:ascii="Arial" w:cs="Arial" w:eastAsia="Arial" w:hAnsi="Arial"/>
                <w:sz w:val="18"/>
                <w:szCs w:val="18"/>
                <w:color w:val="auto"/>
                <w:w w:val="98"/>
              </w:rPr>
              <w:t>Six Months Ended June 30, 2016</w:t>
            </w:r>
          </w:p>
        </w:tc>
      </w:tr>
      <w:tr>
        <w:trPr>
          <w:trHeight w:val="27"/>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Actual</w:t>
            </w:r>
          </w:p>
        </w:tc>
        <w:tc>
          <w:tcPr>
            <w:tcW w:w="300" w:type="dxa"/>
            <w:vAlign w:val="bottom"/>
          </w:tcPr>
          <w:p>
            <w:pPr>
              <w:spacing w:after="0"/>
              <w:rPr>
                <w:sz w:val="20"/>
                <w:szCs w:val="20"/>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Pro forma</w:t>
            </w:r>
          </w:p>
        </w:tc>
        <w:tc>
          <w:tcPr>
            <w:tcW w:w="3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Actual</w:t>
            </w:r>
          </w:p>
        </w:tc>
        <w:tc>
          <w:tcPr>
            <w:tcW w:w="36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Pro forma</w:t>
            </w:r>
          </w:p>
        </w:tc>
      </w:tr>
      <w:tr>
        <w:trPr>
          <w:trHeight w:val="27"/>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4"/>
          </w:tcPr>
          <w:p>
            <w:pPr>
              <w:jc w:val="right"/>
              <w:ind w:right="330"/>
              <w:spacing w:after="0"/>
              <w:rPr>
                <w:sz w:val="20"/>
                <w:szCs w:val="20"/>
                <w:color w:val="auto"/>
              </w:rPr>
            </w:pPr>
            <w:r>
              <w:rPr>
                <w:rFonts w:ascii="Arial" w:cs="Arial" w:eastAsia="Arial" w:hAnsi="Arial"/>
                <w:sz w:val="18"/>
                <w:szCs w:val="18"/>
                <w:color w:val="auto"/>
                <w:w w:val="93"/>
              </w:rPr>
              <w:t>(in millions, except per share amounts)</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(1,062.0)</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4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the six months ended June 30, 2017, QEP acquired various oil and gas properties, primarily proved and unproved leaseholds and additional surface acreage in the Permian Basin, for an aggregate purchase price of $76.6 million. In conjunction with these acquisitions, the Company recorded $5.3 million of goodwill. The goodwill is reported on the Condensed Consolidated Balance Sheets within "Other noncurrent assets".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2016, QEP acquired various oil and gas properties, which primarily included additional interests in QEP's operated wells and the associated leasehold in the Permian and Williston basins, for an aggregate purchase price of $29.8 million. In conjunction with the acquisitions, the Company recorded $3.7 million of goodwill, all of which was subsequently impaired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the six months ended June 30, 2017, QEP received proceeds of $2.3 million and recorded accounts receivable of $36.7 million, resulting in a pre-tax gain on sale of $19.8 million, primarily related to the divestiture of certain non-core properties in the Other Northern area. Gains and losses are reported on the Condensed Consolidated Statements of Operations within "Net gain (loss) from asset sales".</w:t>
      </w:r>
    </w:p>
    <w:p>
      <w:pPr>
        <w:spacing w:after="0" w:line="18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During the six months ended June 30, 2016, QEP received proceeds of $23.7 million and recorded a pre-tax loss on sale of $0.3 million, primarily related to the divestiture of certain non-core properties in the Other Southern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 awards are included in weighted-average basic common shares outstanding because, once the shares are granted, the restricted share awards are considered issued and outstanding, the historical forfeiture rate is minimal and the restricted share awards are eligible to receive dividends.</w:t>
      </w:r>
    </w:p>
    <w:p>
      <w:pPr>
        <w:spacing w:after="0" w:line="18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share awards contain non-forfeitable dividend rights and participate equally with common stock with respect to dividends issued or declared. However, the Company’s unvested restricted share awards do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and six months ended June 30, 2017, there were no anti-dilutive shares. During the three and six months ended June 30, 2016, there were anti-dilutive shares of 0.1 million not included in diluted common shares outstanding as they were anti-dilutive to QEP's net loss.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6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180" w:type="dxa"/>
            <w:vAlign w:val="bottom"/>
            <w:gridSpan w:val="6"/>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180" w:type="dxa"/>
            <w:vAlign w:val="bottom"/>
            <w:gridSpan w:val="4"/>
          </w:tcPr>
          <w:p>
            <w:pPr>
              <w:jc w:val="center"/>
              <w:ind w:right="31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740" w:type="dxa"/>
            <w:vAlign w:val="bottom"/>
            <w:gridSpan w:val="3"/>
          </w:tcPr>
          <w:p>
            <w:pPr>
              <w:jc w:val="center"/>
              <w:ind w:left="85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ind w:left="50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1"/>
              </w:rPr>
              <w:t>Potential number of shares issuable upon exercise of in-the-money stock options</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under the Long-Term Stock Incentive Plan</w:t>
            </w: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Capitalized Exploratory Well Costs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Net changes in capitalized exploratory well costs are presented in the table below. The balance at June 30, 2017, represents the amount of capitalized exploratory well costs that are pending the determination of proved reserves.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4"/>
              </w:rPr>
              <w:t>Capitalized Exploratory Well</w:t>
            </w:r>
          </w:p>
        </w:tc>
      </w:tr>
      <w:tr>
        <w:trPr>
          <w:trHeight w:val="230"/>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color w:val="auto"/>
                <w:w w:val="86"/>
              </w:rPr>
              <w:t>Costs</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r>
      <w:tr>
        <w:trPr>
          <w:trHeight w:val="27"/>
        </w:trPr>
        <w:tc>
          <w:tcPr>
            <w:tcW w:w="9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exploratory well costs that have been capitalized for a period of one year or less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Capitalized exploratory well costs that have been capitalized for a period greater than one year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9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capitalized exploratory well costs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projects with exploratory well costs that have been capitalized for a period greater than one year</w:t>
            </w:r>
          </w:p>
        </w:tc>
        <w:tc>
          <w:tcPr>
            <w:tcW w:w="40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9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b w:val="1"/>
          <w:bCs w:val="1"/>
          <w:i w:val="1"/>
          <w:iCs w:val="1"/>
          <w:color w:val="auto"/>
        </w:rPr>
        <w:t xml:space="preserve">Central Basin Platform exploration project. </w:t>
      </w:r>
      <w:r>
        <w:rPr>
          <w:rFonts w:ascii="Arial" w:cs="Arial" w:eastAsia="Arial" w:hAnsi="Arial"/>
          <w:sz w:val="16"/>
          <w:szCs w:val="16"/>
          <w:color w:val="auto"/>
        </w:rPr>
        <w:t>As of June 30, 2017, QEP had approximately $13.8 million of exploratory well costs that are older than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all of which related to the Central Basin Platform exploration project in the Permian Basin targeting the Woodford Formation. QEP completed one exploratory well related to this project in the first quarter of 2016 and drilled a second exploratory well that was completed in the first half of 2017. In addition to the exploratory well costs, QEP has $28.6 million of unproved leasehold costs related to the Central Basin Platform exploration project as of June 30, 2017. QEP will continue to evaluate the performance of both wells to determine the ultimate economic feasibility of this exploration project.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records asset retirement obligations (ARO)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$231.7 million and $231.6 million ARO liability for the periods ended June 30, 2017 and December 31, 2016, respectively, $6.0 million and $5.8 million, respectively, were included as a liability within "Accounts payable and accrued expenses" on the Condensed Consolidated Balance Sheets.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78"/>
        </w:trPr>
        <w:tc>
          <w:tcPr>
            <w:tcW w:w="9140" w:type="dxa"/>
            <w:vAlign w:val="bottom"/>
          </w:tcPr>
          <w:p>
            <w:pPr>
              <w:spacing w:after="0"/>
              <w:rPr>
                <w:sz w:val="24"/>
                <w:szCs w:val="24"/>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0"/>
              </w:rPr>
              <w:t>Asset Retirement Obligations</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center"/>
              <w:ind w:right="31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ARO liability at June 30,</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231.7</w:t>
            </w:r>
          </w:p>
        </w:tc>
      </w:tr>
      <w:tr>
        <w:trPr>
          <w:trHeight w:val="27"/>
        </w:trPr>
        <w:tc>
          <w:tcPr>
            <w:tcW w:w="9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7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fair value of financial assets and liabilities at June 30, 2017 and December 31, 2016,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88"/>
              </w:rPr>
              <w:t>June 30, 2017</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2016</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derivative contracts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for the contracts that contain netting provisions. See Note 7 – Derivative Contracts for additional information regarding the Company's derivative contracts.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Level 1 Fair</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26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5"/>
              </w:rPr>
              <w:t>Level 1 Fair</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4"/>
          </w:tcPr>
          <w:p>
            <w:pPr>
              <w:ind w:left="580"/>
              <w:spacing w:after="0"/>
              <w:rPr>
                <w:sz w:val="20"/>
                <w:szCs w:val="20"/>
                <w:color w:val="auto"/>
              </w:rPr>
            </w:pPr>
            <w:r>
              <w:rPr>
                <w:rFonts w:ascii="Arial" w:cs="Arial" w:eastAsia="Arial" w:hAnsi="Arial"/>
                <w:sz w:val="18"/>
                <w:szCs w:val="18"/>
                <w:b w:val="1"/>
                <w:bCs w:val="1"/>
                <w:color w:val="auto"/>
              </w:rPr>
              <w:t>June 30, 2017</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2,023.0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2,036.4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2,104.3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017" w:right="239" w:bottom="1440" w:gutter="0" w:footer="0" w:header="0"/>
          <w:type w:val="continuous"/>
        </w:sectPr>
      </w:pPr>
    </w:p>
    <w:bookmarkStart w:id="14" w:name="page15"/>
    <w:bookmarkEnd w:id="14"/>
    <w:p>
      <w:pPr>
        <w:ind w:right="40"/>
        <w:spacing w:after="0" w:line="264" w:lineRule="auto"/>
        <w:rPr>
          <w:sz w:val="20"/>
          <w:szCs w:val="20"/>
          <w:color w:val="auto"/>
        </w:rPr>
      </w:pPr>
      <w:r>
        <w:rPr>
          <w:rFonts w:ascii="Arial" w:cs="Arial" w:eastAsia="Arial" w:hAnsi="Arial"/>
          <w:sz w:val="18"/>
          <w:szCs w:val="18"/>
          <w:color w:val="auto"/>
        </w:rPr>
        <w:t>The initial measurement of ARO at fair value is calculated using discounted cash flow techniques and is based on internal estimates of future retirement costs associated with property, plant and equipment. Significant Level 3 inputs used in the calculation of ARO includes plugging costs and reserve lives. A reconciliation of the Company’s ARO is presented in Note 5 – Asset Retirement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provisions of the fair value measurement standard are also applied to the Company's nonrecurring measurements. The Company utilizes fair value on a nonrecurring basis to review its proved oil and gas properties for potential impairment when events and circumstances indicate a possible decline in the recoverability of the carrying value of such property. During the six months ended June 30, 2017, the Company recorded no impairments on proved oil and gas properties. During the six months ended June 30, 2016, the Company recorded impairments on certain proved oil and gas properties of $1,167.9 million resulting in a reduction of the associated carrying value to fair value. The fair value of the property was measured utilizing the income approach and utilizing inputs that are primarily based upon internally developed cash flow models discounted at an appropriate weighted average cost of capital. Given the unobservable nature of the inputs, fair value calculations associated with proved oil and gas property impairments are considered Level 3 within the fair value hierarchy.</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Acquisitions of proved and unproved properties are also measured at fair value on a nonrecurring basis. The Company utilizes a discounted cash flow model to estimate the fair value of acquired property as of the acquisition date which utilizes the following inputs to estimate future net cash flows: (i) estimated quantities of oil, gas and NGL reserves; (ii) estimates of future commodity prices; and (iii) estimated production rates, future operating and development costs, which are based on the Company's historic experience with similar properties. In some instances, market comparable information of recent transactions is used to estimate fair value of unproved acreage. Due to the unobservable characteristics of the inputs, the fair value of the acquired properties is considered Level 3 within the fair value hierarchy. See Note 2 – Acquisitions and Divestitures for additional information on the fair value of acquired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but generally, QEP enters into commodity derivative contracts for approximately 50% to 75% of its forecasted annual production by the end of the first quarter of each fiscal year. In addition, QEP may enter into commodity derivative contracts on a portion of its storage transactions. QEP does not enter into commodity derivative contracts for speculative purposes.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oil or gas between the parties at settlement. All transactions are settled in cash with one party paying the other for the net difference in prices, multiplied by the contract volume, for the settlement period. Oil price derivative instruments are typically structured as NYMEX fixed-price swaps based at Cushing, Oklahoma or oil price swaps that use Intercontinental Exchange, Inc. (ICE) Brent oil prices as the reference price. Gas price derivative instruments are typically structured as fixed-price swaps or collars at regional price indices. QEP also enters into oil and gas basis swaps to achieve a fixed-price swap for a portion of its oil and gas sales at prices that reference specific regional index prices.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does not currently have any commodity derivative transactions that have margin requirements or collateral provisions that would require payments prior to the scheduled settlement dates. QEP's commodity derivative contract counterparties are typically financial institutions and energy trading firms with investment-grade credit ratings. QEP routinely monitors and manages its exposure to counterparty risk by requiring specific minimum credit standards for all counterparties, actively monitoring counterparties' public credit ratings and avoiding the concentration of credit exposure by transacting with multiple counterparties. The Company has master-netting agreements with some counterparties that allow the offsetting of receivables and payables in a default situation.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Production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QEP’s volumes and average prices for its commodity derivative swap contracts as of June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0"/>
              </w:rPr>
              <w:t>Index</w:t>
            </w:r>
          </w:p>
        </w:tc>
        <w:tc>
          <w:tcPr>
            <w:tcW w:w="100" w:type="dxa"/>
            <w:vAlign w:val="bottom"/>
          </w:tcPr>
          <w:p>
            <w:pPr>
              <w:spacing w:after="0"/>
              <w:rPr>
                <w:sz w:val="20"/>
                <w:szCs w:val="20"/>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90"/>
              </w:rPr>
              <w:t>Total Volumes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96"/>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sales</w:t>
            </w: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ind w:left="1520"/>
              <w:spacing w:after="0"/>
              <w:rPr>
                <w:sz w:val="20"/>
                <w:szCs w:val="20"/>
                <w:color w:val="auto"/>
              </w:rPr>
            </w:pPr>
            <w:r>
              <w:rPr>
                <w:rFonts w:ascii="Arial" w:cs="Arial" w:eastAsia="Arial" w:hAnsi="Arial"/>
                <w:sz w:val="18"/>
                <w:szCs w:val="18"/>
                <w:color w:val="auto"/>
              </w:rPr>
              <w:t>(bbls)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right"/>
              <w:ind w:right="20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rPr>
              <w:t>NYMEX WTI</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r>
      <w:tr>
        <w:trPr>
          <w:trHeight w:val="243"/>
        </w:trPr>
        <w:tc>
          <w:tcPr>
            <w:tcW w:w="2640" w:type="dxa"/>
            <w:vAlign w:val="bottom"/>
          </w:tcPr>
          <w:p>
            <w:pPr>
              <w:jc w:val="right"/>
              <w:ind w:right="20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rPr>
              <w:t>NYMEX WTI</w:t>
            </w:r>
          </w:p>
        </w:tc>
        <w:tc>
          <w:tcPr>
            <w:tcW w:w="100" w:type="dxa"/>
            <w:vAlign w:val="bottom"/>
          </w:tcPr>
          <w:p>
            <w:pPr>
              <w:spacing w:after="0"/>
              <w:rPr>
                <w:sz w:val="21"/>
                <w:szCs w:val="21"/>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53.59</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Gas sales</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(MMBtu)</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($/MMBtu)</w:t>
            </w:r>
          </w:p>
        </w:tc>
      </w:tr>
      <w:tr>
        <w:trPr>
          <w:trHeight w:val="243"/>
        </w:trPr>
        <w:tc>
          <w:tcPr>
            <w:tcW w:w="2640" w:type="dxa"/>
            <w:vAlign w:val="bottom"/>
          </w:tcPr>
          <w:p>
            <w:pPr>
              <w:jc w:val="right"/>
              <w:ind w:right="20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rPr>
              <w:t>NYMEX HH</w:t>
            </w:r>
          </w:p>
        </w:tc>
        <w:tc>
          <w:tcPr>
            <w:tcW w:w="100" w:type="dxa"/>
            <w:vAlign w:val="bottom"/>
          </w:tcPr>
          <w:p>
            <w:pPr>
              <w:spacing w:after="0"/>
              <w:rPr>
                <w:sz w:val="21"/>
                <w:szCs w:val="21"/>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right"/>
              <w:ind w:right="20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IFNPCR</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2640" w:type="dxa"/>
            <w:vAlign w:val="bottom"/>
          </w:tcPr>
          <w:p>
            <w:pPr>
              <w:jc w:val="right"/>
              <w:ind w:right="20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rPr>
              <w:t>NYMEX HH</w:t>
            </w:r>
          </w:p>
        </w:tc>
        <w:tc>
          <w:tcPr>
            <w:tcW w:w="100" w:type="dxa"/>
            <w:vAlign w:val="bottom"/>
          </w:tcPr>
          <w:p>
            <w:pPr>
              <w:spacing w:after="0"/>
              <w:rPr>
                <w:sz w:val="21"/>
                <w:szCs w:val="21"/>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right"/>
              <w:ind w:right="20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rPr>
              <w:t>NYMEX HH</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432"/>
        </w:trPr>
        <w:tc>
          <w:tcPr>
            <w:tcW w:w="9260" w:type="dxa"/>
            <w:vAlign w:val="bottom"/>
            <w:gridSpan w:val="12"/>
          </w:tcPr>
          <w:p>
            <w:pPr>
              <w:spacing w:after="0"/>
              <w:rPr>
                <w:sz w:val="20"/>
                <w:szCs w:val="20"/>
                <w:color w:val="auto"/>
              </w:rPr>
            </w:pPr>
            <w:r>
              <w:rPr>
                <w:rFonts w:ascii="Arial" w:cs="Arial" w:eastAsia="Arial" w:hAnsi="Arial"/>
                <w:sz w:val="18"/>
                <w:szCs w:val="18"/>
                <w:color w:val="auto"/>
                <w:w w:val="93"/>
              </w:rPr>
              <w:t>The following table presents QEP's volumes and average prices for its commodity derivative gas collars as of June 30, 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8"/>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8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Index</w:t>
            </w:r>
          </w:p>
        </w:tc>
        <w:tc>
          <w:tcPr>
            <w:tcW w:w="20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Total Volumes</w:t>
            </w:r>
          </w:p>
        </w:tc>
        <w:tc>
          <w:tcPr>
            <w:tcW w:w="100" w:type="dxa"/>
            <w:vAlign w:val="bottom"/>
          </w:tcPr>
          <w:p>
            <w:pPr>
              <w:spacing w:after="0"/>
              <w:rPr>
                <w:sz w:val="24"/>
                <w:szCs w:val="24"/>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rPr>
              <w:t>Average Price Floor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color w:val="auto"/>
                <w:w w:val="93"/>
              </w:rPr>
              <w:t>Average Price Ceiling</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(MMBtu)</w:t>
            </w:r>
          </w:p>
        </w:tc>
        <w:tc>
          <w:tcPr>
            <w:tcW w:w="100" w:type="dxa"/>
            <w:vAlign w:val="bottom"/>
          </w:tcPr>
          <w:p>
            <w:pPr>
              <w:spacing w:after="0"/>
              <w:rPr>
                <w:sz w:val="23"/>
                <w:szCs w:val="23"/>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264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NYMEX HH</w:t>
            </w:r>
          </w:p>
        </w:tc>
        <w:tc>
          <w:tcPr>
            <w:tcW w:w="220" w:type="dxa"/>
            <w:vAlign w:val="bottom"/>
            <w:gridSpan w:val="3"/>
            <w:shd w:val="clear" w:color="auto" w:fill="CCEEFF"/>
          </w:tcPr>
          <w:p>
            <w:pPr>
              <w:spacing w:after="0"/>
              <w:rPr>
                <w:sz w:val="19"/>
                <w:szCs w:val="19"/>
                <w:color w:val="auto"/>
              </w:rPr>
            </w:pP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41"/>
        </w:trPr>
        <w:tc>
          <w:tcPr>
            <w:tcW w:w="2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QEP uses oil and gas basis swaps, combined with NYMEX WTI and NYMEX HH fixed price swaps, to achieve fixed price swaps for the location at which it sells its physical production. The following table presents details of QEP's oil and gas basis swaps as of June 30,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w w:val="96"/>
              </w:rPr>
              <w:t>Weighted-Average</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Index Less Differential</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40" w:type="dxa"/>
            <w:vAlign w:val="bottom"/>
          </w:tcPr>
          <w:p>
            <w:pPr>
              <w:spacing w:after="0"/>
              <w:rPr>
                <w:sz w:val="20"/>
                <w:szCs w:val="20"/>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color w:val="auto"/>
              </w:rPr>
              <w:t>Differential</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0"/>
        </w:trPr>
        <w:tc>
          <w:tcPr>
            <w:tcW w:w="288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2740" w:type="dxa"/>
            <w:vAlign w:val="bottom"/>
          </w:tcPr>
          <w:p>
            <w:pPr>
              <w:jc w:val="center"/>
              <w:ind w:right="193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Argus WTI Midland</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HH</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2740" w:type="dxa"/>
            <w:vAlign w:val="bottom"/>
          </w:tcPr>
          <w:p>
            <w:pPr>
              <w:jc w:val="center"/>
              <w:ind w:right="193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HH</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Gas Storage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QEP enters into commodity derivative transactions to lock in a margin on gas volumes placed into storage. The following table presents QEP’s volumes and average prices for its storage commodity derivative swap contracts as of June 30,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shd w:val="clear" w:color="auto" w:fill="CCEEFF"/>
              </w:rPr>
              <w:t>SWAP</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shd w:val="clear" w:color="auto" w:fill="CCEEFF"/>
              </w:rPr>
              <w:t>IFNPCR</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891"/>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on the Condensed Consolidated Balance Sheets and the related fair values at the balance sheet dates: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4"/>
          </w:tcPr>
          <w:p>
            <w:pPr>
              <w:jc w:val="right"/>
              <w:ind w:right="50"/>
              <w:spacing w:after="0"/>
              <w:rPr>
                <w:sz w:val="20"/>
                <w:szCs w:val="20"/>
                <w:color w:val="auto"/>
              </w:rPr>
            </w:pPr>
            <w:r>
              <w:rPr>
                <w:rFonts w:ascii="Arial" w:cs="Arial" w:eastAsia="Arial" w:hAnsi="Arial"/>
                <w:sz w:val="18"/>
                <w:szCs w:val="18"/>
                <w:color w:val="auto"/>
                <w:w w:val="93"/>
              </w:rPr>
              <w:t>Gross liability derivative instruments fair</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6"/>
          </w:tcPr>
          <w:p>
            <w:pPr>
              <w:ind w:left="80"/>
              <w:spacing w:after="0"/>
              <w:rPr>
                <w:sz w:val="20"/>
                <w:szCs w:val="20"/>
                <w:color w:val="auto"/>
              </w:rPr>
            </w:pPr>
            <w:r>
              <w:rPr>
                <w:rFonts w:ascii="Arial" w:cs="Arial" w:eastAsia="Arial" w:hAnsi="Arial"/>
                <w:sz w:val="18"/>
                <w:szCs w:val="18"/>
                <w:color w:val="auto"/>
                <w:w w:val="93"/>
              </w:rPr>
              <w:t>Gross asset derivative instruments fair value</w:t>
            </w:r>
          </w:p>
        </w:tc>
        <w:tc>
          <w:tcPr>
            <w:tcW w:w="160" w:type="dxa"/>
            <w:vAlign w:val="bottom"/>
          </w:tcPr>
          <w:p>
            <w:pPr>
              <w:spacing w:after="0"/>
              <w:rPr>
                <w:sz w:val="20"/>
                <w:szCs w:val="20"/>
                <w:color w:val="auto"/>
              </w:rPr>
            </w:pPr>
          </w:p>
        </w:tc>
        <w:tc>
          <w:tcPr>
            <w:tcW w:w="2160" w:type="dxa"/>
            <w:vAlign w:val="bottom"/>
            <w:gridSpan w:val="3"/>
          </w:tcPr>
          <w:p>
            <w:pPr>
              <w:jc w:val="right"/>
              <w:ind w:right="370"/>
              <w:spacing w:after="0"/>
              <w:rPr>
                <w:sz w:val="20"/>
                <w:szCs w:val="20"/>
                <w:color w:val="auto"/>
              </w:rPr>
            </w:pPr>
            <w:r>
              <w:rPr>
                <w:rFonts w:ascii="Arial" w:cs="Arial" w:eastAsia="Arial" w:hAnsi="Arial"/>
                <w:sz w:val="18"/>
                <w:szCs w:val="18"/>
                <w:color w:val="auto"/>
              </w:rPr>
              <w:t>value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520"/>
              <w:spacing w:after="0"/>
              <w:rPr>
                <w:sz w:val="20"/>
                <w:szCs w:val="20"/>
                <w:color w:val="auto"/>
              </w:rPr>
            </w:pPr>
            <w:r>
              <w:rPr>
                <w:rFonts w:ascii="Arial" w:cs="Arial" w:eastAsia="Arial" w:hAnsi="Arial"/>
                <w:sz w:val="18"/>
                <w:szCs w:val="18"/>
                <w:color w:val="auto"/>
              </w:rPr>
              <w:t>Balance Sheet line item</w:t>
            </w: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2016</w:t>
            </w: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7"/>
        </w:trPr>
        <w:tc>
          <w:tcPr>
            <w:tcW w:w="18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40" w:type="dxa"/>
            <w:vAlign w:val="bottom"/>
            <w:gridSpan w:val="5"/>
          </w:tcPr>
          <w:p>
            <w:pPr>
              <w:ind w:left="540"/>
              <w:spacing w:after="0"/>
              <w:rPr>
                <w:sz w:val="20"/>
                <w:szCs w:val="20"/>
                <w:color w:val="auto"/>
              </w:rPr>
            </w:pPr>
            <w:r>
              <w:rPr>
                <w:rFonts w:ascii="Arial" w:cs="Arial" w:eastAsia="Arial" w:hAnsi="Arial"/>
                <w:sz w:val="18"/>
                <w:szCs w:val="18"/>
                <w:color w:val="auto"/>
              </w:rPr>
              <w:t>(in millions)</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91.6</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contracts not designated as cash flow hedges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Production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Storage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Total realized gains (losses) on commodity derivative contracts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Production</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Oil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Storage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unrealized gains (losses) on commodity derivative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w w:val="96"/>
              </w:rPr>
              <w:t>Total realized and unrealized gains (losses) on commodity derivative contracts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w w:val="90"/>
              </w:rPr>
              <w:t>Note 8</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 Debt</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0"/>
        </w:trPr>
        <w:tc>
          <w:tcPr>
            <w:tcW w:w="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r>
      <w:tr>
        <w:trPr>
          <w:trHeight w:val="234"/>
        </w:trPr>
        <w:tc>
          <w:tcPr>
            <w:tcW w:w="5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2016</w:t>
            </w: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6.80%</w:t>
            </w:r>
          </w:p>
        </w:tc>
        <w:tc>
          <w:tcPr>
            <w:tcW w:w="7140" w:type="dxa"/>
            <w:vAlign w:val="bottom"/>
          </w:tcPr>
          <w:p>
            <w:pPr>
              <w:ind w:left="20"/>
              <w:spacing w:after="0"/>
              <w:rPr>
                <w:sz w:val="20"/>
                <w:szCs w:val="20"/>
                <w:color w:val="auto"/>
              </w:rPr>
            </w:pPr>
            <w:r>
              <w:rPr>
                <w:rFonts w:ascii="Arial" w:cs="Arial" w:eastAsia="Arial" w:hAnsi="Arial"/>
                <w:sz w:val="18"/>
                <w:szCs w:val="18"/>
                <w:color w:val="auto"/>
              </w:rPr>
              <w:t>Senior Notes due 2018</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6.80%</w:t>
            </w: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2020</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6.875% Senior Notes due 2021</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625.0</w:t>
            </w:r>
          </w:p>
        </w:tc>
      </w:tr>
      <w:tr>
        <w:trPr>
          <w:trHeight w:val="27"/>
        </w:trPr>
        <w:tc>
          <w:tcPr>
            <w:tcW w:w="76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5.375% Senior Notes due 2022</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5.25%</w:t>
            </w:r>
          </w:p>
        </w:tc>
        <w:tc>
          <w:tcPr>
            <w:tcW w:w="71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650.0</w:t>
            </w:r>
          </w:p>
        </w:tc>
      </w:tr>
      <w:tr>
        <w:trPr>
          <w:trHeight w:val="27"/>
        </w:trPr>
        <w:tc>
          <w:tcPr>
            <w:tcW w:w="76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discount and unamortized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principal amount of debt (including current portion)</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2,020.9</w:t>
            </w:r>
          </w:p>
        </w:tc>
      </w:tr>
      <w:tr>
        <w:trPr>
          <w:trHeight w:val="27"/>
        </w:trPr>
        <w:tc>
          <w:tcPr>
            <w:tcW w:w="76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long-term debt outstanding</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1,889.0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2,020.9</w:t>
            </w:r>
          </w:p>
        </w:tc>
      </w:tr>
      <w:tr>
        <w:trPr>
          <w:trHeight w:val="27"/>
        </w:trPr>
        <w:tc>
          <w:tcPr>
            <w:tcW w:w="5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Of the total debt outstanding on June 30, 2017, the 6.80% Senior Notes due April 1, 2018, the 6.80% Senior Notes due March 1, 2020 and the 6.875% Senior Notes due March 1, 2021, will mature within the next five years. In addition, the revolving credit facility matures on December 2,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 The credit agreement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4.00 times for the quarters in fiscal year 2018, and 3.75 times thereafter and (iii) during a ratings trigger period, a present value coverage ratio which requires that the present value of the Company’s proved reserves must exceed net funded debt by 1.25 times at any time prior to January 1, 2018, and 1.50 times at any time on or after January 1, 2018. The Company is currently not subject to the present value coverage ratio. At June 30, 2017 and December 31, 2016, QEP was in compliance with the covenants under the credit agreement.</w:t>
      </w:r>
    </w:p>
    <w:p>
      <w:pPr>
        <w:spacing w:after="0" w:line="18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six months ended June 30, 2017 and 2016, QEP had no borrowings under the credit facility. Additionally, as of June 30, 2017 and December 31, 2016, QEP had no borrowings outstanding under the credit facility and had $1.0 million and $2.8 million, respectively, in letters of credit outstanding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At June 30, 2017, the Company had $2,045.0 million principal amount of senior notes outstanding with maturities ranging from April 2018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is involved in various commercial and regulatory claims, litigation and other legal proceedings that arise in the ordinary course of its business. In each reporting period, the Company assesses these claims in an effort to determine the degree of probability and range of possible loss for potential accrual in its Condensed Consolidated Financial Statements.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an accrual is recorded for a material loss contingency when its occurrence is probable and damages are reasonably estimable based on the anticipated most likely outcome or the minimum amount within a range of possible outcomes.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t>Legal proceedings are inherently unpredictable and unfavorable resolutions can occur. Assessing contingencies is highly subjective and requires judgment about uncertain future events. When evaluating contingencies related to legal proceedings, the Company may be unable to estimate losses due to a number of factors, including potential defenses, the procedural status of the matter in question, the presence of complex legal and/or factual issues, the ongoing discovery and/or development of information important to the matter.</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Claims of Former Limited Partners – </w:t>
      </w:r>
      <w:r>
        <w:rPr>
          <w:rFonts w:ascii="Arial" w:cs="Arial" w:eastAsia="Arial" w:hAnsi="Arial"/>
          <w:sz w:val="18"/>
          <w:szCs w:val="18"/>
          <w:color w:val="auto"/>
        </w:rPr>
        <w:t>The Company received a demand from certain former limited partners of terminated drilling partnerships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(acting as the general partner). The former limited partners allege that distributions to which they were entitled from the drilling partnerships were not made or were calculated incorrectly. Other former limited partners may assert claims. No litigation has been filed, and the Company continues to evaluate the allegations and its defenses.</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Department of Interior and Department of Justice Investigation regarding Indian Royalties – </w:t>
      </w:r>
      <w:r>
        <w:rPr>
          <w:rFonts w:ascii="Arial" w:cs="Arial" w:eastAsia="Arial" w:hAnsi="Arial"/>
          <w:sz w:val="17"/>
          <w:szCs w:val="17"/>
          <w:color w:val="auto"/>
        </w:rPr>
        <w:t>Pursuant to regulations published by the Office of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Revenue (ONRR) of the Department of the Interior (DOI), certain of the Company’s Indian leases are subject to “dual accounting” and “major portion” requirements. The Company must initially report royalties on production from these leases based upon its actual sales arrangements and, once ONRR publishes the major portion price (approximately 18 months after a calendar year), the Company must recalculate its previously reported royalties for the applicable calendar year and pay additional royalties if the dual accounting or major portion pricing results in higher royalties. In July 2016, the Company was notified that the Office of Inspector General of the DOI was investigating the Company’s compliance with ONRR dual accounting and major portion requirements to recalculate royalties for 2013 on production from certain Indian leases. In June 2017, the Company was notified by the Department of Justice that it was working with the DOI on the investigation due to the Company’s failure to pay gas royalties to tribal and allotted mineral interest owners through ONRR for 2013 and 2014.</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2B2B2B"/>
        </w:rPr>
        <w:t xml:space="preserve">EPA Request for Information </w:t>
      </w:r>
      <w:r>
        <w:rPr>
          <w:rFonts w:ascii="Arial" w:cs="Arial" w:eastAsia="Arial" w:hAnsi="Arial"/>
          <w:sz w:val="16"/>
          <w:szCs w:val="16"/>
          <w:i w:val="1"/>
          <w:iCs w:val="1"/>
          <w:color w:val="000000"/>
        </w:rPr>
        <w:t>–</w:t>
      </w:r>
      <w:r>
        <w:rPr>
          <w:rFonts w:ascii="Arial" w:cs="Arial" w:eastAsia="Arial" w:hAnsi="Arial"/>
          <w:sz w:val="16"/>
          <w:szCs w:val="16"/>
          <w:i w:val="1"/>
          <w:iCs w:val="1"/>
          <w:color w:val="2B2B2B"/>
        </w:rPr>
        <w:t xml:space="preserve"> </w:t>
      </w:r>
      <w:r>
        <w:rPr>
          <w:rFonts w:ascii="Arial" w:cs="Arial" w:eastAsia="Arial" w:hAnsi="Arial"/>
          <w:sz w:val="16"/>
          <w:szCs w:val="16"/>
          <w:color w:val="2B2B2B"/>
        </w:rPr>
        <w:t>I</w:t>
      </w:r>
      <w:r>
        <w:rPr>
          <w:rFonts w:ascii="Arial" w:cs="Arial" w:eastAsia="Arial" w:hAnsi="Arial"/>
          <w:sz w:val="16"/>
          <w:szCs w:val="16"/>
          <w:color w:val="000000"/>
        </w:rPr>
        <w:t>n July 2015, QEP received an information request from the Environmental Protection Agency (EPA) pursuant to Section</w:t>
      </w:r>
      <w:r>
        <w:rPr>
          <w:rFonts w:ascii="Arial" w:cs="Arial" w:eastAsia="Arial" w:hAnsi="Arial"/>
          <w:sz w:val="16"/>
          <w:szCs w:val="16"/>
          <w:i w:val="1"/>
          <w:iCs w:val="1"/>
          <w:color w:val="2B2B2B"/>
        </w:rPr>
        <w:t xml:space="preserve"> </w:t>
      </w:r>
      <w:r>
        <w:rPr>
          <w:rFonts w:ascii="Arial" w:cs="Arial" w:eastAsia="Arial" w:hAnsi="Arial"/>
          <w:sz w:val="16"/>
          <w:szCs w:val="16"/>
          <w:color w:val="000000"/>
        </w:rPr>
        <w:t>114(a) of the Clean Air Act. The information request sought facts and data about certain tank batteries in QEP’s Williston Basin operations. QEP timely responded to the information requests. In August 2016, the EPA requested a conference to review this matter. In addition, since February 2016, the North Dakota Department of Health (NDDH) has engaged with the oil and gas production industry in North Dakota to address potential noncompliance associated with emissions from tank batteries. QEP has participated in these discussions. While no formal federal or state enforcement action has been commenced in connection with the tank batteries to date, other operators have been assessed penalties following similar information requests. QEP anticipates that resolution of these matters will likely result in penalties and require QEP to incur additional capital expenditures to correct noncompliance issues.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the extent that the Company can reasonably estimate losses for contingencies where the risk of a material loss (in excess of accruals, if any) is reasonably possible, the Company estimates such losses could total between zero and approximately $25.0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QEP issues stock options, restricted share awards and restricted share units under its Long-Term Stock Incentive Plan (LTSIP) and awards performance share units under its Cash Incentive Plan (CIP) to certain officers, employees and non-employee directors. QEP recognizes the expense over the vesting periods for the stock options, restricted share awards, restricted share units and performance share units. There were 5.5 million shares available for future grants under the LTSIP at June 30, 2017.</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017" w:right="25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Share-based compensation expense is recognized within "General and administrative" expense on the Condensed Consolidated Statements of Operations and is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0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270"/>
        </w:trPr>
        <w:tc>
          <w:tcPr>
            <w:tcW w:w="6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60" w:type="dxa"/>
            <w:vAlign w:val="bottom"/>
            <w:gridSpan w:val="3"/>
          </w:tcPr>
          <w:p>
            <w:pPr>
              <w:jc w:val="right"/>
              <w:ind w:right="490"/>
              <w:spacing w:after="0"/>
              <w:rPr>
                <w:sz w:val="20"/>
                <w:szCs w:val="20"/>
                <w:color w:val="auto"/>
              </w:rPr>
            </w:pPr>
            <w:r>
              <w:rPr>
                <w:rFonts w:ascii="Arial" w:cs="Arial" w:eastAsia="Arial" w:hAnsi="Arial"/>
                <w:sz w:val="18"/>
                <w:szCs w:val="18"/>
                <w:color w:val="auto"/>
              </w:rPr>
              <w:t>June 30,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grant. Fair value calculations rely upon subjective assumptions used in the mathematical model and may not be representative of future results. The Black-Scholes-Merton model is intended for calculating the value of options not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 for the six months ended June 30,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w w:val="98"/>
              </w:rPr>
              <w:t>Stock Option Assumptions</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awards granted during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6.52</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1.81%</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80" w:type="dxa"/>
            <w:vAlign w:val="bottom"/>
            <w:shd w:val="clear" w:color="auto" w:fill="CCEEFF"/>
          </w:tcPr>
          <w:p>
            <w:pPr>
              <w:spacing w:after="0"/>
              <w:rPr>
                <w:sz w:val="21"/>
                <w:szCs w:val="21"/>
                <w:color w:val="auto"/>
              </w:rPr>
            </w:pP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27"/>
        </w:trPr>
        <w:tc>
          <w:tcPr>
            <w:tcW w:w="8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2,151,957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409,549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(202,260)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2,359,246</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23.63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980"/>
              <w:spacing w:after="0"/>
              <w:rPr>
                <w:sz w:val="20"/>
                <w:szCs w:val="20"/>
                <w:color w:val="auto"/>
              </w:rPr>
            </w:pPr>
            <w:r>
              <w:rPr>
                <w:rFonts w:ascii="Arial" w:cs="Arial" w:eastAsia="Arial" w:hAnsi="Arial"/>
                <w:sz w:val="18"/>
                <w:szCs w:val="18"/>
                <w:b w:val="1"/>
                <w:bCs w:val="1"/>
                <w:color w:val="auto"/>
              </w:rPr>
              <w:t>—</w:t>
            </w: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at June 30,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1,535,515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28.04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Unvested Options at June 30, 2017</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823,731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15.42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980"/>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six months ended June 30, 2017 and 2016, there were no exercises of stock options. As of June 30, 2017, $2.8 million of unrecognized compensation cost related to stock options granted under the LTSIP, which is included within "Additional paid-in capital" on the Condensed Consolidated Balance Sheets, is expected to be recognized over a weighted-average period of 2.43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Restricted share award grants typically vest in equal installments over a three-year period from the grant date. The grant date fair value is determined based on the closing bid price of the Company's common stock on the grant date. The total fair value of restricted share awards that vested during the six months ended June 30, 2017 and 2016 was $20.3 million and $21.4 million, respectively. The weighted-average grant date fair value of restricted share awards was $16.69 per share and $10.25 per share for the six months ended June 30, 2017 and 2016, respectively. As of June 30, 2017, $28.5 million of unrecognized compensation cost related to restricted share awards granted under the LTSIP, which is included within "Additional paid-in capital" on the Condensed Consolidated Balance Sheets, is expected to be recognized over a weighted-average vesting period of 2.38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restricted share awards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60" w:type="dxa"/>
            <w:vAlign w:val="bottom"/>
          </w:tcPr>
          <w:p>
            <w:pPr>
              <w:jc w:val="right"/>
              <w:ind w:right="50"/>
              <w:spacing w:after="0"/>
              <w:rPr>
                <w:sz w:val="20"/>
                <w:szCs w:val="20"/>
                <w:color w:val="auto"/>
              </w:rPr>
            </w:pPr>
            <w:r>
              <w:rPr>
                <w:rFonts w:ascii="Arial" w:cs="Arial" w:eastAsia="Arial" w:hAnsi="Arial"/>
                <w:sz w:val="18"/>
                <w:szCs w:val="18"/>
                <w:color w:val="auto"/>
                <w:w w:val="95"/>
              </w:rPr>
              <w:t>Restricted Share 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20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2016</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3,208,503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1,520,435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16.69</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(66,873)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15.19</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June 30, 2017</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3,424,732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payouts for performance share units are dependent upon the Company’s total shareholder return compared to a group of its peers over a three-year period. The awards are denominated in share units and have historically been delivered in cash. Beginning with awards granted in 2015, the Company has the option to settle earned awards in cash or shares of common stock under the Company's LTSIP; however, as of June 30, 2017, the Company expects to settle all awards in cash. These awards are classified as liabilities and are included within "Other long-term liabilities" on the Condensed Consolidated Balance Sheets. As these awards are dependent upon the Company's total shareholder return and stock price, they are remeasured at fair value at the end of each reporting period. The weighted-average grant date fair value of the performance share units was $16.98 per share and $10.12 per share for the six months ended</w:t>
      </w:r>
    </w:p>
    <w:p>
      <w:pPr>
        <w:spacing w:after="0" w:line="4"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June 30, 2017 and 2016, respectively. As of June 30, 2017, $0.4 million of unrecognized compensation cost, which represents the unvested portion of the fair market value of performance shares granted, is expected to be recognized over a weighted-average vesting period of 2.22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w w:val="91"/>
              </w:rPr>
              <w:t>Transactions involving performance share units under the terms of the CIP are summarized below:</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4"/>
        </w:trPr>
        <w:tc>
          <w:tcPr>
            <w:tcW w:w="7200" w:type="dxa"/>
            <w:vAlign w:val="bottom"/>
          </w:tcPr>
          <w:p>
            <w:pPr>
              <w:spacing w:after="0"/>
              <w:rPr>
                <w:sz w:val="24"/>
                <w:szCs w:val="24"/>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w w:val="94"/>
              </w:rPr>
              <w:t>Performance Share Units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200" w:type="dxa"/>
            <w:vAlign w:val="bottom"/>
          </w:tcPr>
          <w:p>
            <w:pPr>
              <w:spacing w:after="0"/>
              <w:rPr>
                <w:sz w:val="20"/>
                <w:szCs w:val="20"/>
                <w:color w:val="auto"/>
              </w:rPr>
            </w:pP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2016</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401,480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16.98</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Unvested balance at June 30, 2017</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1,213,321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14.60</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Restricted share units vest over a three-year period and are deferred into the Company's nonqualified, unfunded deferred compensation plan at the time of vesting. These awards are ultimately delivered in cash. They are classified as liabilities and are included in "Other long-term liabilities" on the Condensed Consolidated Balance Sheets and are measured at fair value at the end of each reporting period. The weighted-average grant date fair value of the restricted share units was $16.98 and $10.12 per share for the six months ended June 30, 2017 and 2016, respectively. As of June 30, 2017, $0.1 million of unrecognized compensation cost, which represents the unvested portion of the fair market value of restricted share units granted, is expected to be recognized over a weighted-average vesting period of 1.88 years.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w w:val="91"/>
              </w:rPr>
              <w:t>Transactions involving restricted share units under the terms of the LTSIP are summarized below:</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7160" w:type="dxa"/>
            <w:vAlign w:val="bottom"/>
          </w:tcPr>
          <w:p>
            <w:pPr>
              <w:spacing w:after="0"/>
              <w:rPr>
                <w:sz w:val="24"/>
                <w:szCs w:val="24"/>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Restricted Share Units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90"/>
              </w:rPr>
              <w:t>Weighted-Average Grant</w:t>
            </w:r>
          </w:p>
        </w:tc>
      </w:tr>
      <w:tr>
        <w:trPr>
          <w:trHeight w:val="230"/>
        </w:trPr>
        <w:tc>
          <w:tcPr>
            <w:tcW w:w="7160" w:type="dxa"/>
            <w:vAlign w:val="bottom"/>
          </w:tcPr>
          <w:p>
            <w:pPr>
              <w:spacing w:after="0"/>
              <w:rPr>
                <w:sz w:val="20"/>
                <w:szCs w:val="20"/>
                <w:color w:val="auto"/>
              </w:rPr>
            </w:pP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9"/>
              </w:rPr>
              <w:t>Date Fair Value</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color w:val="auto"/>
                <w:w w:val="86"/>
              </w:rPr>
              <w:t>(per share)</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2016</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9,924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16.98</w:t>
            </w:r>
          </w:p>
        </w:tc>
      </w:tr>
      <w:tr>
        <w:trPr>
          <w:trHeight w:val="27"/>
        </w:trPr>
        <w:tc>
          <w:tcPr>
            <w:tcW w:w="7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Unvested balance at June 30, 2017</w:t>
            </w: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21,946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13.22</w:t>
            </w:r>
          </w:p>
        </w:tc>
      </w:tr>
      <w:tr>
        <w:trPr>
          <w:trHeight w:val="27"/>
        </w:trPr>
        <w:tc>
          <w:tcPr>
            <w:tcW w:w="7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(the SERP), and a postretirement medical plan (the Medical Plan).</w:t>
      </w:r>
    </w:p>
    <w:p>
      <w:pPr>
        <w:spacing w:after="0" w:line="22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six months ended June 30, 2017, the Company changed the eligibility requirements for active employees eligible for the Medical Plan, as well as retirees currently enrolled. Effective July 1, 2017, the Company will no longer offer the Medical Plan to retirees and/or spouses that are Medicare eligible. The Company will no longer offer life insurance to anyone retiring on or after July 1, 2017.</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Pension Plan is a closed, qualified, defined-benefit pension plan that is funded and provides pension benefits to certain QEP employees. During the six months ended June 30, 2017, the Company made contributions of $4.0 million to the Pension Plan and does not expect to make additional contributions to the Pension Plan during the remainder of 2017. Contributions to the Pension Plan increase plan assets. The Pension Plan was amended in June 2015 and was frozen effective January 1, 2016, such that employees do not earn additional defined benefits for future services.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six months ended June 30, 2017, the Company made contributions of $1.8 million to its SERP and expects to contribute an additional $0.2 million to its SERP during the remainder of 2017. Contributions to the SERP are used to fund current benefit payments. The SERP was amended and restated in June 2015 and was closed to new participants effective January 1, 2016.</w:t>
      </w:r>
    </w:p>
    <w:p>
      <w:pPr>
        <w:spacing w:after="0" w:line="187"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The Medical Plan is unfunded and provides other postretirement benefits including certain health care and life insurance benefits for certain retired QEP employees. During the six months ended June 30, 2017, the Company made contributions of $0.1 million to its Medical Plan and expects to contribute an additional $0.1 million to its Medical Plan during the remainder of 2017. Contributions to the Medical Plan are used to fund current benefit payments.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17" w:right="239" w:bottom="1440" w:gutter="0" w:footer="0" w:header="0"/>
        </w:sectPr>
      </w:pPr>
    </w:p>
    <w:bookmarkStart w:id="22" w:name="page23"/>
    <w:bookmarkEnd w:id="22"/>
    <w:p>
      <w:pPr>
        <w:ind w:left="60" w:right="160"/>
        <w:spacing w:after="0" w:line="279" w:lineRule="auto"/>
        <w:rPr>
          <w:sz w:val="20"/>
          <w:szCs w:val="20"/>
          <w:color w:val="auto"/>
        </w:rPr>
      </w:pPr>
      <w:r>
        <w:rPr>
          <w:rFonts w:ascii="Arial" w:cs="Arial" w:eastAsia="Arial" w:hAnsi="Arial"/>
          <w:sz w:val="17"/>
          <w:szCs w:val="17"/>
          <w:color w:val="auto"/>
        </w:rPr>
        <w:t xml:space="preserve">In accordance with the adoption of ASU No.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and net periodic postretirement benefit cost, </w:t>
      </w:r>
      <w:r>
        <w:rPr>
          <w:rFonts w:ascii="Arial" w:cs="Arial" w:eastAsia="Arial" w:hAnsi="Arial"/>
          <w:sz w:val="17"/>
          <w:szCs w:val="17"/>
          <w:color w:val="auto"/>
        </w:rPr>
        <w:t>the Company recognizes service costs related to SERP and Medical Plan benefits within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 on the Condensed Consolidated Statements of Operations. All other expenses related to the Pension Plan, SERP and Medical Plan are recognized within "Interest and other income (expense)" on the Condensed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right"/>
              <w:ind w:right="510"/>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Amortization of actuarial losses</w:t>
            </w:r>
            <w:r>
              <w:rPr>
                <w:rFonts w:ascii="Arial" w:cs="Arial" w:eastAsia="Arial" w:hAnsi="Arial"/>
                <w:sz w:val="25"/>
                <w:szCs w:val="25"/>
                <w:color w:val="auto"/>
                <w:vertAlign w:val="superscript"/>
              </w:rPr>
              <w:t>(1)</w:t>
            </w: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(0.1)</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Amortization of prior service costs</w:t>
            </w:r>
            <w:r>
              <w:rPr>
                <w:rFonts w:ascii="Arial" w:cs="Arial" w:eastAsia="Arial" w:hAnsi="Arial"/>
                <w:sz w:val="25"/>
                <w:szCs w:val="25"/>
                <w:color w:val="auto"/>
                <w:vertAlign w:val="superscript"/>
              </w:rPr>
              <w:t>(1)</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40" w:hanging="314"/>
        <w:spacing w:after="0" w:line="211"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out of accumulated other comprehensive income are recognized on the Condensed Consolidated Statements of Operations within "Interest and other income (expense)".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2017, QEP entered into a purchase and sale agreement to sell its assets in Pinedale for an aggregate purchase price of approximately $740.0 million, subject to customary purchase price adjustments. As part of the purchase and sale agreement, QEP has agreed to reimburse the buyer for certain deficiency charges it incurs related to gas processing and NGL transportation and fractionation contracts, if any, between the effective date of the sale and December 31, 2019, in an aggregate amount not to exceed $45.0 million. The net book value of the Pinedale properties being sold is approximately $488.0 million as of June 30, 2017, which primarily consists of property, plant and equipment included on the Consolidated Balance Sheet. QEP expects to close the transaction in the third quarter of 2017.</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QEP also entered into a definitive agreement to acquire oil and gas properties in the Permian Basin for an aggregate purchase price of $732.1 million, subject to customary purchase price adjustments. The transaction is expected to be funded with proceeds from the Pinedale divestiture, cash on hand and borrowings under the credit facility, if needed, and is expected to close in the fourth quarter of 2017. In addition, in July 2017, QEP closed a separate transaction to acquire oil and gas properties in the Permian Basin for an aggregate purchase price of $15.9 million, subject to customary purchase price adjustments.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the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information updates the discussion of QEP's financial condition provided in its Annual Report on Form 10-K for the year ended December 31, 2016 (2016 Form 10-K) and analyzes the changes in the results of operations between the three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3" w:name="page24"/>
    <w:bookmarkEnd w:id="23"/>
    <w:p>
      <w:pPr>
        <w:ind w:right="60"/>
        <w:spacing w:after="0" w:line="277" w:lineRule="auto"/>
        <w:rPr>
          <w:sz w:val="20"/>
          <w:szCs w:val="20"/>
          <w:color w:val="auto"/>
        </w:rPr>
      </w:pPr>
      <w:r>
        <w:rPr>
          <w:rFonts w:ascii="Arial" w:cs="Arial" w:eastAsia="Arial" w:hAnsi="Arial"/>
          <w:sz w:val="18"/>
          <w:szCs w:val="18"/>
          <w:color w:val="auto"/>
        </w:rPr>
        <w:t>and six months ended June 30, 2017 and 2016. For definitions of commonly used oil and gas terms found in this Quarterly Report on Form 10-Q, please refer to the "Glossary of Terms" provided in the 2016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QEP Resources, Inc. is an independent crude oil and natural gas exploration and production company focused in two regions of the United States: the Northern Region (primarily in North Dakota, Wyoming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carbonates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believes it has a large inventory of lower-risk, predictable development drilling locations across its acreage holdings in the onshore U.S., which provide a solid base for organic growth in production and reserves.</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While historically the Company has been more natural gas weighted, in recent years the Company has increased its focus on growing oil production and reserves. Since the beginning of 2012, the Company has acquired over $3.0 billion of oil-weighted properties and invested approximately 60% of its capital expenditures (excluding property acquisitions) on its oil-weighted properties. The Company has emphasized development of its oil-weighted Permian Basin assets increasing its oil production by 21% during the six months ended June 30, 2017 compared to the six months ended June 30,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Since the commodity price downturn in late 2014, the Company has focused on lowering operating costs, reducing capital investment and preserving its liquidity. We believe our strong balance sheet and ample liquidity will allow us to grow oil production, primarily in the Permian Basin, and gas production, primarily in Haynesville/Cotton Valley, during 2017. We remain focused on continuing to grow our oil assets both organically and through acquisitions.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current commodity prices, we expect to be able to fund our 2017 planned capital program with cash on hand and cash flow from operating activities and borrowings under our credit facility. Our total capital expenditures (excluding property acquisitions), for 2017 are expected to be approximately $1,075.0 million, an increase of approximately 100% from 2016 capital expenditures. We continuously evaluate our level of drilling and completion activity in light of drilling results, commodity prices and changes in our operating and development costs and may make adjustments to our capital investment program based on such evaluations. See "Cash Flow from Investing Activities" for further discussion of our capital expenditures.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QEP believes its extensive inventory of identified drilling locations provides a solid base for growth in production and reserves, the Company continues to evaluate and acquire properties in its existing areas of operations to add additional acreage and facilitate the drilling of long lateral wells. QEP believes that its experience, expertise and presence in its core operating areas, combined with its low-cost operating model and financial strength, enhances its ability to pursue acquisition opportunities. The Company continuously evaluates potential acquisition, divestiture and joint venture opportunities that align with its strategic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July 2017, QEP entered into a definitive agreement to acquire oil and gas properties in the Permian Basin for an aggregate purchase price of $732.1 million, subject to customary purchase price adjustments. The transaction is expected to be funded with proceeds from the Pinedale divestiture, cash on hand and borrowings under the credit facility, if needed, and is expected to close in the four quarter of 2017. In addition, in July 2017, QEP closed a separate transaction to acquire oil and gas properties in the Permian Basin for an aggregate purchase price of $15.9 million, subject to customary purchase price adjustments.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4" w:name="page25"/>
    <w:bookmarkEnd w:id="24"/>
    <w:p>
      <w:pPr>
        <w:ind w:right="40"/>
        <w:spacing w:after="0" w:line="276" w:lineRule="auto"/>
        <w:rPr>
          <w:sz w:val="20"/>
          <w:szCs w:val="20"/>
          <w:color w:val="auto"/>
        </w:rPr>
      </w:pPr>
      <w:r>
        <w:rPr>
          <w:rFonts w:ascii="Arial" w:cs="Arial" w:eastAsia="Arial" w:hAnsi="Arial"/>
          <w:sz w:val="17"/>
          <w:szCs w:val="17"/>
          <w:color w:val="auto"/>
        </w:rPr>
        <w:t>During the six months ended June 30, 2017, QEP acquired various oil and gas properties, primarily proved and unproved leaseholds and additional surface acreage in the Permian Basin, for an aggregate purchase price of $76.6 million. In conjunction with these acquisitions, the Company recorded $5.3 million of goodwill. During the six months ended June 30, 2016, QEP acquired various oil and gas properties, which primarily included additional interests in QEP's operated wells and associated leaseholds in the Permian and Williston basins, for an aggregate purchase price of $29.8 million. In conjunction with these acquisitions, the Company recorded $3.7 million of goodwill, all of which was subsequently impaired in 2016.</w:t>
      </w:r>
    </w:p>
    <w:p>
      <w:pPr>
        <w:spacing w:after="0" w:line="1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2016, QEP acquired oil and gas properties in the Permian Basin for an aggregate purchase price of approximately $591.0 million, subject to customary post-closing purchase price adjustments (the 2016 Permian Basin Acquisition). The 2016 Permian Basin Acquisition consists of approximately 9,600 net acres in Martin County, Texas, which are primarily held by production from existing vertical wells. The 2016 Permian Basin Acquisition was funded with proceeds from an equity offering in June 2016 and cash on hand.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2017, QEP entered into a purchase and sale agreement to sell its assets in Pinedale for an aggregate purchase price of approximately $740.0 million, subject to customary purchase price adjustments. As part of the purchase and sale agreement, QEP has agreed to reimburse the buyer for certain deficiency charges it incurs related to gas processing and NGL transportation and fractionation contracts, if any, between the effective date of the sale and December 31, 2019, in an aggregate amount not to exceed $45.0 million. The net book value of the Pinedale properties being sold is approximately $488.0 million as of June 30, 2017, which primarily consists of property, plant and equipment included on the Consolidated Balance Sheet. QEP expects to close the transaction in the third quarter of 2017.</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six months ended June 30, 2017, QEP received proceeds of $2.3 million and recorded accounts receivable of $36.7 million, resulting in a pre-tax gain on sale of $19.8 million, primarily related to the divestiture of certain non-core properties in the Other Northern area. During the six months ended June 30, 2016, QEP received proceeds of $23.7 million and recorded a pre-tax loss on sale of $0.3 million, primarily related to the divestiture of certain non-core properties in the Other Southern area.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2017, QEP:</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oil production of 4,870.3 Mbbls, including 1,449.6 Mbbls in the Permian Basin and 3,076.5 Mbbls in the Williston Basin;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gas production over 2016 in the Haynesville/Cotton Valley by 86% to 16.7 Bcf due to a successful refracturing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realized oil prices of $46.72 per bbl, a 7% increase over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realized gas prices of $2.82 per Mcf, a 12% increase and realized NGL prices of $16.86 per bbl, a 13% increase over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Generated net income of $45.4 million, or $0.19 per diluted share;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Adjusted EBITDA (a non-GAAP financial measure defined and reconciled below) of $177.2 million, a 5% increase over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2017, QEP:</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oil production of 9,553.0 Mbbls, including 2,451.3 Mbbls in the Permian Basin and 6,413.2 Mbbls in the Williston Basin;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gas production over 2016 in the Haynesville/Cotton Valley by 60% to 28.9 Bcf due to a successful refracturing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realized oil prices of $46.81 per bbl, a 18% increase over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realized gas prices of $2.83 per Mcf, a 14% increase and realized NGL prices of $19.11 per bbl, a 52% increase over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Generated net income of $122.3 million, or $0.51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Reported Adjusted EBITDA (a non-GAAP financial measure defined and reconciled below) of $347.9 million, a 22% increase over 2016;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$178.8 million of cash and cash equivalents and had no borrowings under its credit facility at June 30, 2017.</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80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Market Risk and their Impact on Oil and Gas Prices</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Oil and gas prices are affected by many factors outside of our control, including changes in market supply and demand, which are impacted by weather conditions, pipeline capacity constraints, inventory storage levels, basis differentials, export capacity, strength of the U.S. dollar and other factors. In recent years, oil and gas prices have been affected by supply growth, particularly in U.S. oil and gas production, driven by advances in drilling and completion technologies, and fluctuations in demand driven by a variety of factors.</w:t>
      </w:r>
    </w:p>
    <w:p>
      <w:pPr>
        <w:spacing w:after="0" w:line="1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Changes in the market prices for oil, gas and NGL directly impact many aspects of QEP's business, including its financial condition, revenues, results of operations, planned drilling and completion activity and related capital expenditures, liquidity, rate of growth, costs of goods and services required to drill, complete and operate wells, and the carrying value of its oil and gas properties. Historically, field-level prices received for QEP’s oil and gas production have been volatile. During the past five years, the posted price for WTI crude oil has ranged from a low of $26.19 per barrel in February 2016 to a high of $110.62 per barrel in September 2013. The Henry Hub spot market price of natural gas has ranged from a low of $1.49 per MMBtu in March 2016 to a high of $8.15 per MMBtu in February 2014. If prices of oil, gas and NGL decline to early 2016 levels or further, our operations, financial condition and level of expenditures for the development of our oil and gas reserves may be materially and adversely affected.</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NGL prices have also been volatile due to increased U.S. hydrocarbon production and insufficient domestic demand and export capacity. In addition to commodity price movements, QEP's composite NGL prices are affected by ethane recovery or rejection. When ethane is recovered as a discrete NGL component instead of being sold as part of the natural gas stream, the average sales price of a NGL barrel decreases as the ethane price is generally lower than the prices of the remaining NGL components. As permitted in some of its processing agreements, QEP recovers ethane when gas processing economics support the recovery of ethane from the natural gas stream. When gas processing economics do not support ethane recovery, and processing agreements permit it to do so, QEP elects to reject ethane from the NGL stream. In instances where QEP can make an election, QEP rejected ethane during the six months ended June 30, 2017, and will likely continue to reject ethane for the remainder of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QEP continues to monitor the global economy, including Europe and China's economic outlook; the Organization of Petroleum Exporting Countries (OPEC) countries oil production and policies regarding production quotas; political unrest and economic issues in certain countries in South America, Asia, Europe, the Middle East, and Africa; slowing growth in certain emerging market economies; actions taken by the U.S. Congress and the president of the United States; the U.S. federal budget deficit; changes in regulatory oversight policy; commodity price volatility; the impact of a potential increase in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oil, gas and NGL supply, demand and prices and the Company's ability to continue its planned drilling programs and could materially impact the Company's financial position, results of operations and cash flow from operations. In December 2015, the U.S. lifted a 40-year ban on the export of oil, giving U.S. producers access to a wider market. As a result, the U.S. may in the future become a significant exporter of oil if the necessary infrastructure is built to support oil exports. Disruption to the global oil supply system, political and/or economic instability, fluctuations in currency values, and/or other factors could trigger additional volatility in oil prices.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Due to continued global economic uncertainty and the corresponding volatility of commodity prices, QEP continues to maintain a strong liquidity position to ensure financial flexibility.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June 30, 2017, QEP forecasted its 2017 annual production to be approximately 58.8 MMboe and had approximately 65% of its forecasted oil production and 74% of its forecasted gas production covered with fixed-price swaps and collars. See Part 1, Item 3 – "Quantitative and Qualitative Disclosures about Market Risk-Commodity Price Risk Management" for further details on QEP’s commodity derivatives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carrying values of the Company’s properties are sensitive to declines in oil, gas and NGL prices as well as increases in various development and operating costs and expenses and, therefore, are at risk of impairment. The Company uses a cash flow model to assess its proved properties for impairment. The cash flow model includes numerous assumptions, including estimates of future oil, gas and NGL production, estimates of future prices for production that are based on the price forecast that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96" w:right="259" w:bottom="1440" w:gutter="0" w:footer="0" w:header="0"/>
        </w:sectPr>
      </w:pPr>
    </w:p>
    <w:bookmarkStart w:id="26" w:name="page27"/>
    <w:bookmarkEnd w:id="26"/>
    <w:p>
      <w:pPr>
        <w:ind w:right="200"/>
        <w:spacing w:after="0" w:line="279" w:lineRule="auto"/>
        <w:rPr>
          <w:sz w:val="20"/>
          <w:szCs w:val="20"/>
          <w:color w:val="auto"/>
        </w:rPr>
      </w:pPr>
      <w:r>
        <w:rPr>
          <w:rFonts w:ascii="Arial" w:cs="Arial" w:eastAsia="Arial" w:hAnsi="Arial"/>
          <w:sz w:val="17"/>
          <w:szCs w:val="17"/>
          <w:color w:val="auto"/>
        </w:rPr>
        <w:t>management uses to make investment decisions, including estimates of basis differentials, future operating costs, transportation expenses, production taxes, and development costs that management believes are consistent with its price forecast, and discount rates. Management also considers a number of other factors, including the forward curve for future oil and gas prices, and developments in regional transportation infrastructure when developing its estimate of future prices for production. All inputs for the cash flow model are evaluated at each date of estimate.</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base our fair value estimates on projected financial information that we believe to be reasonably likely to occur. An assessment of the sensitivity of our capitalized costs to changes in the assumptions in our cash flow calculations is not practicable, given the numerous assumptions (e.g., future oil, gas and NGL prices; production and reserves; pace and timing of development plans; timing of capital expenditures; operating costs; drilling and development costs; and inflation and discount rates) that can materially affect our estimates. Unfavorable adjustments to some of the above listed assumptions would likely be offset by favorable adjustments in other assumptions. For example, the impact of sustained reduced oil, gas and NGL prices on future undiscounted cash flows would likely be offset by lower drilling and development costs and lower operating costs.</w:t>
      </w:r>
    </w:p>
    <w:p>
      <w:pPr>
        <w:spacing w:after="0" w:line="17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six months ended June 30, 2016, the Company recorded impairments of $1,183.2 million, of which $1,167.9 million was related to proved properties due to lower future prices, primarily in Pinedale, $11.6 million was related to expiring leaseholds on unproved properties and $3.7 million was related to an impairment of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reduce the costs of well location construction and rig mobilization and demobilization and to obtain other efficiencies, QEP utilizes multi-well pad drilling where practical. In certain of our producing areas, wells drilled on a pad are not completed and brought into production until all wells on the pad are drilled and the drilling rig is moved from the location. As a result, multi-well pad drilling delays the commencement of production. In addition, existing wells that offset new wells being completed by QEP or offset operators may need to be temporarily shut-in during the completion process. Such delays and well shut-ins have caused and may continue to cause volatility in QEP’s quarterly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Related to Claims</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QEP is currently subject to claims that could adversely impact QEP’s liquidity, operating results and/or capital expenditures for a particular reporting period, including, but not limited to those described in Note 9 – Commitments and Contingencies, in Item 1 of Part I of this Quarterly Report on Form 10-Q. Given the uncertainties involved in these matters, QEP is unable to predict the ultimate outcomes.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QEP's significant accounting policies are described in Item 7 of Part II of its 2016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long-lived assets, asset retirement obligations, revenue recognition, litigation and other contingencies, environmental obligations, derivative contracts, pension and other postretirement benefits, share-based compensation, income taxes and purchase price allocations, among others, may involve a high degree of complexity and judgment on the part of management.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Drilling and Completion Activity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six months ended June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3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Six Months Ended</w:t>
            </w:r>
          </w:p>
        </w:tc>
        <w:tc>
          <w:tcPr>
            <w:tcW w:w="2240" w:type="dxa"/>
            <w:vAlign w:val="bottom"/>
            <w:gridSpan w:val="4"/>
          </w:tcPr>
          <w:p>
            <w:pPr>
              <w:ind w:left="320"/>
              <w:spacing w:after="0"/>
              <w:rPr>
                <w:sz w:val="20"/>
                <w:szCs w:val="20"/>
                <w:color w:val="auto"/>
              </w:rPr>
            </w:pPr>
            <w:r>
              <w:rPr>
                <w:rFonts w:ascii="Arial" w:cs="Arial" w:eastAsia="Arial" w:hAnsi="Arial"/>
                <w:sz w:val="18"/>
                <w:szCs w:val="18"/>
                <w:color w:val="auto"/>
              </w:rPr>
              <w:t>Three Months Ended</w:t>
            </w:r>
          </w:p>
        </w:tc>
        <w:tc>
          <w:tcPr>
            <w:tcW w:w="2140" w:type="dxa"/>
            <w:vAlign w:val="bottom"/>
            <w:gridSpan w:val="3"/>
          </w:tcPr>
          <w:p>
            <w:pPr>
              <w:jc w:val="right"/>
              <w:ind w:right="290"/>
              <w:spacing w:after="0"/>
              <w:rPr>
                <w:sz w:val="20"/>
                <w:szCs w:val="20"/>
                <w:color w:val="auto"/>
              </w:rPr>
            </w:pPr>
            <w:r>
              <w:rPr>
                <w:rFonts w:ascii="Arial" w:cs="Arial" w:eastAsia="Arial" w:hAnsi="Arial"/>
                <w:sz w:val="18"/>
                <w:szCs w:val="18"/>
                <w:color w:val="auto"/>
              </w:rPr>
              <w:t>Six Months Ended</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June 30, 2017</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June 30, 2017</w:t>
            </w:r>
          </w:p>
        </w:tc>
        <w:tc>
          <w:tcPr>
            <w:tcW w:w="2240" w:type="dxa"/>
            <w:vAlign w:val="bottom"/>
            <w:gridSpan w:val="4"/>
          </w:tcPr>
          <w:p>
            <w:pPr>
              <w:ind w:left="580"/>
              <w:spacing w:after="0"/>
              <w:rPr>
                <w:sz w:val="20"/>
                <w:szCs w:val="20"/>
                <w:color w:val="auto"/>
              </w:rPr>
            </w:pPr>
            <w:r>
              <w:rPr>
                <w:rFonts w:ascii="Arial" w:cs="Arial" w:eastAsia="Arial" w:hAnsi="Arial"/>
                <w:sz w:val="18"/>
                <w:szCs w:val="18"/>
                <w:color w:val="auto"/>
              </w:rPr>
              <w:t>June 30, 2017</w:t>
            </w:r>
          </w:p>
        </w:tc>
        <w:tc>
          <w:tcPr>
            <w:tcW w:w="2140" w:type="dxa"/>
            <w:vAlign w:val="bottom"/>
            <w:gridSpan w:val="3"/>
          </w:tcPr>
          <w:p>
            <w:pPr>
              <w:jc w:val="right"/>
              <w:ind w:right="470"/>
              <w:spacing w:after="0"/>
              <w:rPr>
                <w:sz w:val="20"/>
                <w:szCs w:val="20"/>
                <w:color w:val="auto"/>
              </w:rPr>
            </w:pPr>
            <w:r>
              <w:rPr>
                <w:rFonts w:ascii="Arial" w:cs="Arial" w:eastAsia="Arial" w:hAnsi="Arial"/>
                <w:sz w:val="18"/>
                <w:szCs w:val="18"/>
                <w:color w:val="auto"/>
              </w:rPr>
              <w:t>June 30, 2017</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242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Northern Region</w:t>
            </w: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in the process of being drilled or waiting on completion at June 30,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4"/>
          </w:tcPr>
          <w:p>
            <w:pPr>
              <w:ind w:left="380"/>
              <w:spacing w:after="0"/>
              <w:rPr>
                <w:sz w:val="20"/>
                <w:szCs w:val="20"/>
                <w:color w:val="auto"/>
              </w:rPr>
            </w:pPr>
            <w:r>
              <w:rPr>
                <w:rFonts w:ascii="Arial" w:cs="Arial" w:eastAsia="Arial" w:hAnsi="Arial"/>
                <w:sz w:val="18"/>
                <w:szCs w:val="18"/>
                <w:color w:val="auto"/>
              </w:rPr>
              <w:t>Operated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4"/>
          </w:tcPr>
          <w:p>
            <w:pPr>
              <w:ind w:left="180"/>
              <w:spacing w:after="0"/>
              <w:rPr>
                <w:sz w:val="20"/>
                <w:szCs w:val="20"/>
                <w:color w:val="auto"/>
              </w:rPr>
            </w:pPr>
            <w:r>
              <w:rPr>
                <w:rFonts w:ascii="Arial" w:cs="Arial" w:eastAsia="Arial" w:hAnsi="Arial"/>
                <w:sz w:val="18"/>
                <w:szCs w:val="18"/>
                <w:color w:val="auto"/>
              </w:rPr>
              <w:t>Non-operated</w:t>
            </w:r>
          </w:p>
        </w:tc>
        <w:tc>
          <w:tcPr>
            <w:tcW w:w="8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rPr>
              <w:t>Drilling</w:t>
            </w:r>
          </w:p>
        </w:tc>
        <w:tc>
          <w:tcPr>
            <w:tcW w:w="1320" w:type="dxa"/>
            <w:vAlign w:val="bottom"/>
            <w:gridSpan w:val="3"/>
          </w:tcPr>
          <w:p>
            <w:pPr>
              <w:ind w:left="700"/>
              <w:spacing w:after="0"/>
              <w:rPr>
                <w:sz w:val="20"/>
                <w:szCs w:val="20"/>
                <w:color w:val="auto"/>
              </w:rPr>
            </w:pPr>
            <w:r>
              <w:rPr>
                <w:rFonts w:ascii="Arial" w:cs="Arial" w:eastAsia="Arial" w:hAnsi="Arial"/>
                <w:sz w:val="18"/>
                <w:szCs w:val="18"/>
                <w:color w:val="auto"/>
              </w:rPr>
              <w:t>Drilling</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Waiting on completion</w:t>
            </w: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Drilling</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Rigs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Net</w:t>
            </w:r>
          </w:p>
        </w:tc>
        <w:tc>
          <w:tcPr>
            <w:tcW w:w="128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Net</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Gross</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230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Northern Region</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3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typically utilizes multi-well pad drilling where practical. Wells drilled are not completed and brought into production until all wells on the pad are drilled and the drilling rig is moved from the location. QEP sometimes suspends completion activities due to adverse weather conditions, operational factors or other macroeconomic circumstances, such as low commodity prices. QEP had 24 gross operated wells waiting on completion as of June 30,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QEP generated net income during the second quarter of 2017 of $45.4 million, or $0.19 per diluted share, compared to a net loss of $197.0 million, or $0.90 per diluted share, in the second quarter of 2016. QEP's increased net income was primarily due to a $330.3 million increase in unrealized derivative gains, a $20.6 million increase in net gain from asset sales, a 6% increase in average realized prices and a 27% decrease in general and administrative expenses. These changes were partially offset by a 38% increase in production and property tax expense and a 33% increase in lease operating expense in the second quarter of 2017 compared to the second quarter of 2016.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t>QEP generated net income during the first half of 2017 of $122.3 million, or $0.51 per diluted share, compared to a net loss of $1,060.8 million, or $5.21 per diluted share, in the first half of 2016. QEP's increased net income was primarily due to a decrease in impairment expense of $1,183.1 million, a 16% increase in average realized prices, a $521.1 million increase in unrealized derivative gains and a 29% decrease in general and administrative expenses. These changes were partially offset by a 3% decrease in oil equivalent production, a 50% increase in production and property tax expense and a 24% increase in lease operating expense in the first half of 2017 compared to the first half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defines Adjusted EBITDA as earnings before interest, income taxes, depreciation, depletion and amortization (EBITDA), adjusted to exclude changes in fair value of derivative contracts, exploration expenses, gains and losses from asset sales, impairment and certain other items. Management uses Adjusted EBITDA to evaluate QEP's financial performance and trends, make operating decisions and allocate resources. Management believes the measure is useful supplemental information for investors because it eliminates the impact of certain nonrecurring, non-cash and/or other items that management does not consider as indicative of QEP's performance from period to period. QEP's Adjusted EBITDA may be determined or calculated differently than similarly titled measures of other companies in our industry, which would reduce the usefulness of this non-GAAP financial measure when comparing our performance to that of other companies.</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Below is a reconciliation of net income (loss) (a GAAP measure) to Adjusted EBITDA. This non-GAAP measure should be considered by the reader in addition to, but not instead of, the financial statements prepared in accordance with GAAP.</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420" w:type="dxa"/>
            <w:vAlign w:val="bottom"/>
            <w:gridSpan w:val="6"/>
          </w:tcPr>
          <w:p>
            <w:pPr>
              <w:ind w:left="580"/>
              <w:spacing w:after="0"/>
              <w:rPr>
                <w:sz w:val="20"/>
                <w:szCs w:val="20"/>
                <w:color w:val="auto"/>
              </w:rPr>
            </w:pPr>
            <w:r>
              <w:rPr>
                <w:rFonts w:ascii="Arial" w:cs="Arial" w:eastAsia="Arial" w:hAnsi="Arial"/>
                <w:sz w:val="18"/>
                <w:szCs w:val="18"/>
                <w:color w:val="auto"/>
              </w:rPr>
              <w:t>Three Months Ended June 30,</w:t>
            </w:r>
          </w:p>
        </w:tc>
        <w:tc>
          <w:tcPr>
            <w:tcW w:w="500" w:type="dxa"/>
            <w:vAlign w:val="bottom"/>
          </w:tcPr>
          <w:p>
            <w:pPr>
              <w:spacing w:after="0"/>
              <w:rPr>
                <w:sz w:val="20"/>
                <w:szCs w:val="20"/>
                <w:color w:val="auto"/>
              </w:rPr>
            </w:pPr>
          </w:p>
        </w:tc>
        <w:tc>
          <w:tcPr>
            <w:tcW w:w="2800" w:type="dxa"/>
            <w:vAlign w:val="bottom"/>
            <w:gridSpan w:val="4"/>
          </w:tcPr>
          <w:p>
            <w:pPr>
              <w:jc w:val="right"/>
              <w:ind w:right="550"/>
              <w:spacing w:after="0"/>
              <w:rPr>
                <w:sz w:val="20"/>
                <w:szCs w:val="20"/>
                <w:color w:val="auto"/>
              </w:rPr>
            </w:pPr>
            <w:r>
              <w:rPr>
                <w:rFonts w:ascii="Arial" w:cs="Arial" w:eastAsia="Arial" w:hAnsi="Arial"/>
                <w:sz w:val="18"/>
                <w:szCs w:val="18"/>
                <w:color w:val="auto"/>
                <w:w w:val="97"/>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1"/>
              </w:rPr>
              <w:t>(100.3)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0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14"/>
        <w:spacing w:after="0" w:line="223"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Reflects legal expenses incurred during the six months ended June 30, 2016. The Company believes that these amounts do not reflect expected future operating performance or provide meaningful comparisons to past operating performance and therefore has excluded these amounts from the calculation of Adjusted EBITDA.</w:t>
      </w:r>
    </w:p>
    <w:p>
      <w:pPr>
        <w:spacing w:after="0" w:line="20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Adjusted EBITDA increased to $177.2 million in the second quarter of 2017 from $169.1 million in the second quarter of 2016, primarily due to a 6% increase in the average realized prices and a 27% decrease in general and administrative expenses. These changes were partially offset by a 38% increase in production and property tax expense and a 33% increase in lease operating expense in the second quarter of 2017 compared to the second quarter of 2016.</w:t>
      </w:r>
    </w:p>
    <w:p>
      <w:pPr>
        <w:spacing w:after="0" w:line="14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Adjusted EBITDA increased to $347.9 million in the first half of 2017 from $284.4 million in the first half of 2016, primarily due to a 16% increase in the average realized prices and a 29% decrease in general and administrative expenses. These changes were partially offset by a 3% decrease in oil equivalent production, a 50% increase in production and property tax expense and a 24% increase in lease operating expense in the first half of 2017 compared to the first half of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Volume and Price Variance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volume and price related changes for each of QEP’s production-related revenue categories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compared to the three and six months ended June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Oil</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Gas</w:t>
            </w:r>
          </w:p>
        </w:tc>
        <w:tc>
          <w:tcPr>
            <w:tcW w:w="5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NGL</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June 30, 2016</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Changes associated with volumes</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Changes associated with prices</w:t>
            </w:r>
            <w:r>
              <w:rPr>
                <w:rFonts w:ascii="Arial" w:cs="Arial" w:eastAsia="Arial" w:hAnsi="Arial"/>
                <w:sz w:val="25"/>
                <w:szCs w:val="25"/>
                <w:color w:val="auto"/>
                <w:vertAlign w:val="superscript"/>
              </w:rPr>
              <w:t>(2)</w:t>
            </w:r>
          </w:p>
        </w:tc>
        <w:tc>
          <w:tcPr>
            <w:tcW w:w="10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74.1</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2017</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2016</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Changes associated with volumes</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Changes associated with prices</w:t>
            </w:r>
            <w:r>
              <w:rPr>
                <w:rFonts w:ascii="Arial" w:cs="Arial" w:eastAsia="Arial" w:hAnsi="Arial"/>
                <w:sz w:val="25"/>
                <w:szCs w:val="25"/>
                <w:color w:val="auto"/>
                <w:vertAlign w:val="superscript"/>
              </w:rPr>
              <w:t>(2)</w:t>
            </w:r>
          </w:p>
        </w:tc>
        <w:tc>
          <w:tcPr>
            <w:tcW w:w="10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114.4</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101.1</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233.1</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758.2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right="380" w:hanging="314"/>
        <w:spacing w:after="0" w:line="223"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 from the three and six months ended June 30, 2017, as compared to the three and six months ended June 30, 2016, by the average field-level price for the three and six months ended June 30, 2016.</w:t>
      </w:r>
    </w:p>
    <w:p>
      <w:pPr>
        <w:ind w:left="660" w:right="160" w:hanging="314"/>
        <w:spacing w:after="0" w:line="228"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 from the three and six months ended June 30, 2017, as compared to the three and six months ended June 30, 2016, by the respective volumes for the three and six months ended June 30, 2017. Pricing changes are driven by changes in commodity average field-level prices, excluding the impact from commodity derivatives.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Production, Prices and Production Costs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5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production volumes (Mboe)</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4,573.9</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5,272.9</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(699.0)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9,407.9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10,165.5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897.0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1,865.3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2,792.3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4,839.0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13,860.6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13,882.3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26,950.9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27,658.8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Total equivalent prices (per Boe)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equivalent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equivalent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96"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5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3,076.5</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3,799.3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(722.8)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6,413.2</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7,517.3</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(1,104.1)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4,870.3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5,209.5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9,553.0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2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43.86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45.27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Oil revenues increased $8.3 million, or 4%, in the second quarter of 2017 compared to the second quarter of 2016, due to higher average field-level prices, partially offset by lower volumes. Average field-level oil prices increased 11% in the second quarter of 2017 compared to the second quarter of 2016 primarily driven by an increase in average NYMEX-WTI oil prices for the comparable periods. The 7% decrease in production volumes was driven by the Williston and Uinta basins due to a reduction in activity throughout 2016 combined with timing of 2017 Williston Basin completions, partially offset by a production increase in the Permian Basin due to increased drilling and completion activity and the additional production from the 2016 Permian Basin Acquisition.</w:t>
      </w:r>
    </w:p>
    <w:p>
      <w:pPr>
        <w:spacing w:after="0" w:line="19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Oil revenues increased $86.2 million, or 25%, in the first half of 2017 compared to the first half of 2016, due to higher average field-level prices, partially offset by lower volumes. Average field-level oil prices increased 35% in the first half of 2017 compared to the first half of 2016 primarily driven by an increase in average NYMEX-WTI oil prices for the comparable periods. The 8% decrease in production volumes was driven by the Williston and Uinta basins and in Pinedale due to a reduction in activity throughout 2016 combined with timing of 2017 Williston Basin completions, partially offset by a production increase in the Permian Basin due to increased drilling and completion activity and the additional production from the 2016 Permian Basin Acquisition.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5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Gas revenues increased $55.0 million, or 69%, in the second quarter of 2017 compared to the second quarter of 2016, due to higher average field-level prices and higher gas production. Average field-level gas prices increased 59% in the second quarter of 2017 compared to the second quarter of 2016, primarily driven by an increase in average NYMEX-HH gas prices for the comparable periods. The 7% increase in production volumes was primarily driven by a production increase in Haynesville/Cotton Valley due to a well refracturing program beginning in 2016 and continuing in 2017. This increase was partially offset by production decreases in Pinedale and Uinta Basin due to reduced completion activity throughout 2016.</w:t>
      </w:r>
    </w:p>
    <w:p>
      <w:pPr>
        <w:spacing w:after="0" w:line="1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Gas revenues increased $104.4 million, or 64%, in the first half of 2017 compared to the first half of 2016, due to higher average field-level prices and higher gas production. Average field-level gas prices increased 61% in the first half of 2017 compared to the first half of 2016, primarily driven by an increase in average NYMEX-HH gas prices for the comparable periods. The 2% increase in production volumes was primarily driven by a production increase in Haynesville/Cotton Valley due to a well refracturing program beginning in 2016 and continuing in 2017. This increase was partially offset by a production decrease in Pinedale and the Uinta Basin due to reduced completion activity throughout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5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7"/>
              </w:rPr>
              <w:t>Williston Basin</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822.7</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802.4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1,645.9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1,441.9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1,354.9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2,710.3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2,886.3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17.37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19.82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NGL production volumes and revenues represent the sale of product derived from the processing of QEP's natural gas production. NGL revenues were flat during the second quarter of 2017 compared to the second quarter of 2016, due to higher average field-level prices, offset by lower production volumes. NGL prices increased 13% during the second quarter of 2017 compared to the second quarter of 2016, primarily driven by an increase in propane, ethane and butane prices. The 11% decrease in NGL production volumes was driven by decreases in Pinedale due to reduced completion activity throughout 2016 and our midstream provider withholding an additional 56.5 Mbbls to meet linefill requirements. The increase in the Williston Basin is due to additional gas and related NGLs recovered by midstream providers.</w:t>
      </w:r>
    </w:p>
    <w:p>
      <w:pPr>
        <w:spacing w:after="0" w:line="19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NGL revenues increased $15.4 million, or 42%, during the first half of 2017 compared to the first half of 2016, due to higher average field-level prices, partially offset by lower production volumes. NGL prices increased 52% during the first half of 2017 compared to the first half of 2016, primarily driven by an increase in propane, ethane and butane prices. The 6% decrease in NGL production volumes was driven by a decrease in Pinedale due to reduced completion activity and our midstream provider withholding an additional 56.5 Mbbls to meet linefill requirements and a decrease in the Permian Basin due to lower gas volumes. The increase in the Williston Basin is due to additional gas and related NGLs recovered by midstream providers.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Resale Margin and Storage Activity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QEP purchases and resells oil and gas primarily to mitigate losses on unutilized capacity related to firm transportation commitments and storage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QEP's financial results from its resale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20" w:type="dxa"/>
            <w:vAlign w:val="bottom"/>
            <w:gridSpan w:val="8"/>
          </w:tcPr>
          <w:p>
            <w:pPr>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324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oil and gas sales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Purchased oil and gas expense</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6"/>
              </w:rPr>
              <w:t>(9.1)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gains (losses) on gas storage derivative</w:t>
            </w:r>
          </w:p>
        </w:tc>
        <w:tc>
          <w:tcPr>
            <w:tcW w:w="780" w:type="dxa"/>
            <w:vAlign w:val="bottom"/>
            <w:shd w:val="clear" w:color="auto" w:fill="CCEEFF"/>
          </w:tcPr>
          <w:p>
            <w:pPr>
              <w:spacing w:after="0"/>
              <w:rPr>
                <w:sz w:val="19"/>
                <w:szCs w:val="19"/>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7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Purchased oil and gas sales decreased by $16.5 million, or 67%, during the second quarter of 2017 compared to second quarter of 2016, due to lower resale volumes, which is the result of the Company's increased production in areas where it has oil and gas transportation commitments.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Purchased oil and gas sales decreased by $2.1 million, or 5%, during the first half of 2017 compared to first half of 2016, due to lower resale volumes, which is the result of the Company's increased production in areas where it has oil and gas transportation commitments.</w:t>
      </w:r>
    </w:p>
    <w:p>
      <w:pPr>
        <w:spacing w:after="0" w:line="3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Purchased oil and gas expense, which includes transportation expense, decreased $17.7 million, or 66%, during the second quarter of 2017 compared to the second quarter of 2016, due to lower resale volumes as a result of the Company's increased production in areas where it has oil and gas transportation commitments.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Purchased oil and gas expense, which includes transportation expense, decreased $5.2 million, or 12%, during the first half of 2017 compared to the first half of 2016, due to lower resale volumes, which is the of result of the Company's increased production in areas where it has oil and gas transportation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 production costs on a per unit of production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8"/>
          </w:tcPr>
          <w:p>
            <w:pPr>
              <w:ind w:left="520"/>
              <w:spacing w:after="0"/>
              <w:rPr>
                <w:sz w:val="20"/>
                <w:szCs w:val="20"/>
                <w:color w:val="auto"/>
              </w:rPr>
            </w:pPr>
            <w:r>
              <w:rPr>
                <w:rFonts w:ascii="Arial" w:cs="Arial" w:eastAsia="Arial" w:hAnsi="Arial"/>
                <w:sz w:val="18"/>
                <w:szCs w:val="18"/>
                <w:color w:val="auto"/>
              </w:rPr>
              <w:t>Three Months Ended June 30,</w:t>
            </w:r>
          </w:p>
        </w:tc>
        <w:tc>
          <w:tcPr>
            <w:tcW w:w="320" w:type="dxa"/>
            <w:vAlign w:val="bottom"/>
          </w:tcPr>
          <w:p>
            <w:pPr>
              <w:spacing w:after="0"/>
              <w:rPr>
                <w:sz w:val="20"/>
                <w:szCs w:val="20"/>
                <w:color w:val="auto"/>
              </w:rPr>
            </w:pPr>
          </w:p>
        </w:tc>
        <w:tc>
          <w:tcPr>
            <w:tcW w:w="330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(per Boe)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Transportation and processing costs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property taxes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production costs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(LOE). </w:t>
      </w:r>
      <w:r>
        <w:rPr>
          <w:rFonts w:ascii="Arial" w:cs="Arial" w:eastAsia="Arial" w:hAnsi="Arial"/>
          <w:sz w:val="18"/>
          <w:szCs w:val="18"/>
          <w:color w:val="auto"/>
        </w:rPr>
        <w:t>QEP’s LOE increased $17.4 million, or $1.26 per Boe, during the second quarter of 2017 compared to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increase in expense was driven by an increase in workovers in the Williston and Permian basins and in Haynesville/Cotton Valley and increased repairs and maintenance costs in the Williston Basin.</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QEP’s LOE increased $26.6 million, or $1.10 per Boe, during the first half of 2017 compared to the first half of 2016. The increase in expense was driven by an increase in workovers in the Williston and Permian basins and in Haynesville/Cotton Valley and increased fuel costs in the Permian Basin.</w:t>
      </w:r>
    </w:p>
    <w:p>
      <w:pPr>
        <w:spacing w:after="0" w:line="124"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 xml:space="preserve">Transportation and processing costs. </w:t>
      </w:r>
      <w:r>
        <w:rPr>
          <w:rFonts w:ascii="Arial" w:cs="Arial" w:eastAsia="Arial" w:hAnsi="Arial"/>
          <w:sz w:val="18"/>
          <w:szCs w:val="18"/>
          <w:color w:val="auto"/>
        </w:rPr>
        <w:t>Transportation and processing costs increased $2.7 million, or $0.20 per Boe, during the second quarter of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second quarter of 2016. The increase in expense was primarily attributable to Haynesville/Cotton Valley from higher volumes and the Williston Basin due to higher processing rates for QEP's gas production.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4" w:name="page35"/>
    <w:bookmarkEnd w:id="34"/>
    <w:p>
      <w:pPr>
        <w:jc w:val="both"/>
        <w:ind w:right="40"/>
        <w:spacing w:after="0" w:line="286" w:lineRule="auto"/>
        <w:rPr>
          <w:sz w:val="20"/>
          <w:szCs w:val="20"/>
          <w:color w:val="auto"/>
        </w:rPr>
      </w:pPr>
      <w:r>
        <w:rPr>
          <w:rFonts w:ascii="Arial" w:cs="Arial" w:eastAsia="Arial" w:hAnsi="Arial"/>
          <w:sz w:val="17"/>
          <w:szCs w:val="17"/>
          <w:color w:val="auto"/>
        </w:rPr>
        <w:t>Transportation and processing costs decreased $0.7 million, but increased $0.11 per Boe, during the first half of 2017 compared to the first half of 2016. The decrease in expense was primarily attributable to Pinedale and Uinta Basin from lower volumes and the Permian Basin from lower rate, partially offset by the Williston Basin due to higher processing rates for QEP's gas production and Haynesville/Cotton Valley due to increased volumes.</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operates, QEP pays production taxes based on a percentage of field-level revenue, except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Louisiana, where severance taxes are volume-based. Production and property taxes increased $7.8 million, or $0.58 per Boe, during the second quarter of 2017 compared to the second quarter of 2016, primarily as a result of increased oil and gas revenues from higher field-level prices, partially offset by lower production.</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Production and property taxes increased $19.1 million, or $0.75 per Boe, during the first half of 2017 compared to the first half of 2016, primarily as a result of increased oil and gas revenues from higher field-level prices, partially offset by lower production.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Depreciation, depletion and amortization (DD&amp;A). </w:t>
      </w:r>
      <w:r>
        <w:rPr>
          <w:rFonts w:ascii="Arial" w:cs="Arial" w:eastAsia="Arial" w:hAnsi="Arial"/>
          <w:sz w:val="18"/>
          <w:szCs w:val="18"/>
          <w:color w:val="auto"/>
        </w:rPr>
        <w:t>DD&amp;A expense decreased $18.2 million in the second quarter of 2017 compared to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due to decreased rates in the Permian Basin and Haynesville/Cotton Valley. The lower rates in the Permian Basin and Haynesville/Cotton Valley are a result of higher proved reserves.</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DD&amp;A expense decreased $66.4 million in the first half of 2017 compared to the first half of 2016, due to decreased rates in Pinedale, Permian Basin and Haynesville/Cotton Valley. The Pinedale lower rate is a result of the 2016 impairment while the lower rates in the Permian Basin and Haynesville/Cotton Valley are a result of higher proved reserves.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During the second quarter of 2016, QEP recorded impairment charges of $0.8 million which was related to expiring leaseholds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unproved properties.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half of 2017, QEP recorded impairment charges of $0.1 million which was related to expiring leaseholds on unproved properties. During the first half of 2016, QEP recorded impairment charges of $1,183.2 million, of which $1,167.9 million was related to proved properties due to lower future prices, $11.6 million was related to expiring leaseholds on unproved properties and $3.7 million related to an impairment of goodwill. Of the $1,167.9 million impairment on proved properties, $1,164.0 million related to Pinedale properties, $3.5 million related to Other Northern properties and $0.4 million related to Other Southern properties.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(G&amp;A) expense. </w:t>
      </w:r>
      <w:r>
        <w:rPr>
          <w:rFonts w:ascii="Arial" w:cs="Arial" w:eastAsia="Arial" w:hAnsi="Arial"/>
          <w:sz w:val="18"/>
          <w:szCs w:val="18"/>
          <w:color w:val="auto"/>
        </w:rPr>
        <w:t>During the second quarter of 2017, G&amp;A expense decreased $11.6 million, or 27%, compared to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2016, primarily due to a $12.2 million decrease in share based compensation from changes in the mark-to-market value of the Deferred Compensation Wrap Plan and Cash Incentive Plan (CIP) and a $1.4 million decrease in outside services. These decreases were partially offset by higher labor, benefits and employee expenses of $1.8 million.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half of 2017, G&amp;A expense decreased $26.5 million, or 29%, compared to the first half of 2016, primarily due to a $17.3 million decrease in share based compensation from changes in the mark-to-market value of the Deferred Compensation Wrap Plan and Cash Incentive Plan, a $8.7 million decrease in legal expenses and a $2.7 million decrease in outside services. These decreases were partially offset by higher labor, benefits and employee expenses of $1.3 million.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During the second quarter of 2017, QEP recognized a gain on the sale of assets of $19.8 million compared to a loss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assets of $0.8 million in the second quarter of 2016. The gain on the sale of assets in the second quarter of 2017 primarily related to the sale of non-core Other Northern properties. The loss on sale of assets in the second quarter of 2016 primarily related to continued divestitures of non-core Other Southern properties.</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first half of 2017, QEP recognized a gain on the sale of assets of $19.8 million compared to a loss on the sale of assets of $0.3 million in the first half of 2016. The gain on the sale of assets in the first half of 2017 primarily related to the sale of non-core Other Northern properties. The loss on sale of assets in the first half of 2016 primarily related to continued divestitures of non-core Other Southern properties.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Non-operating Expenses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 xml:space="preserve">Realized and unrealized gains (losses) on derivative contracts. </w:t>
      </w:r>
      <w:r>
        <w:rPr>
          <w:rFonts w:ascii="Arial" w:cs="Arial" w:eastAsia="Arial" w:hAnsi="Arial"/>
          <w:sz w:val="16"/>
          <w:szCs w:val="16"/>
          <w:color w:val="auto"/>
        </w:rPr>
        <w:t>Gains and losses on derivative contracts are comprised of both realized and unrealized gains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losses on QEP’s commodity derivative contracts, which are marked-to-market each quarter. During the second quarter of 2017, gains on commodity derivative contracts were $106.7 million, of which $100.3 million were unrealized gains and $6.4 million were realized gains. During the second quarter of 2016, losses on commodity derivative contracts were $180.5 million, of which $230.0 million were unrealized losses and $49.5 million were realized gains.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half of 2017, gains on commodity derivative contracts were $267.6 million, of which $277.6 million were unrealized gains and $10.0 million were realized losses. During the first half of 2016, losses on commodity derivative contracts were $129.6 million, of which $243.5 million were unrealized losses and $113.9 million were realized gains.</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$1.7 million, or 5%, during the second quarter of 2017 compared to the second quarter of 2016. The decrease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second quarter of 2017 was primarily related to the repayment of $176.8 million of senior notes in September 2016.</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decreased $4.6 million, or 6%, during the first half of 2017 compared to the first half of 2016. The decrease during the first half of 2017 was primarily related to the repayment of $176.8 million of senior notes in September 2016.</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Income tax expense increased $140.6 million during the second quarter of 2017 compared to the second quarter of 2016.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expense was the result of net income before income taxes compared to a net loss, partially offset by a higher combined effective federal and state income tax rate of 37.6% during the second quarter of 2017 compared to a rate of 36.5% during the second quarter of 2016. The increase in income tax rate was primarily the result of being subject to a higher average state tax rate in 2017 due to a change in the contribution of income between different states.</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Income tax expense increased $685.1 million during the first half of 2017 compared to the first half of 2016. The increase in expense was the result of net income before income taxes compared to a net loss, partially offset by a higher combined effective federal and state income tax rate of 37.3% during the first half of 2017 compared to a rate of 36.6% during the first half of 2016. The increase in income tax rate was primarily the result of being subject to a higher average state tax rate in 2017 due to a change in the contribution of income between different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QEP strives to maintain a strong liquidity position to ensure financial flexibility, withstand commodity price volatility and fund its development projects, operations and capital expenditures. The Company utilizes derivative contracts to reduce the financial impact of commodity price volatility and provide a level of certainty to the Company’s cash flows. QEP generally funds its operations and planned capital expenditures with cash flow from its operating activities, cash on hand and borrowings under its revolving credit facility. The Company expects that these sources of cash will be sufficient to fund its operations and capital expenditures during the next 12 months and the foreseeable future.</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provide additional liquidity, QEP also periodically accesses debt and equity markets and sells properties. In 2016, QEP issued 60.95 million shares of common stock through two public offerings and received net proceeds of approximately $781.4 million, which the Company used to fund the 2016 Permian Basin Acquisition and for general corporate purposes. QEP received aggregate proceeds of approximately $2.3 million and $23.7 million related to the sale of non-core properties during the six months ended June 30, 2017 and 2016, respectively.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estimates, that with its cash balance as of June 30, 2017, it could incur additional indebtedness of approximately $1.2 billion and continue to be in compliance with the covenants contained in its revolving credit facility. To the extent actual operating results, realized commodity prices or uses of cash differ from the Company’s assumptions, QEP's liquidity could be adversely affected.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79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 The credit agreement contains financial covenants (that are defined in the credit agreement) that limit the amount of debt the Company can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4.00 times for the quarters in fiscal year 2018, and 3.75 times thereafter and (iii) during a ratings trigger period, a present value coverage ratio which requires that the present value of the Company’s proved reserves must exceed net funded debt by 1.25 times at any time prior to January 1, 2018, and 1.50 times at any time on or after January 1, 2018. The Company is currently not subject to the present value coverage ratio.</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both June 30, 2017 and December 31, 2016, QEP had no borrowings outstanding under the credit facility, had $1.0 million and $2.8 million, respectively, in letters of credit outstanding under the credit facility and was in compliance with the covenants under the credit agreement. As of July 21, 2017, QEP had no borrowings outstanding under the credit facility, had $1.0 million of letters of credit outstanding under the credit facility and was in compliance with the covenants under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June 30, 2017, totaled $2,045.0 million principal amount and are comprised of five issuances as follows:</w:t>
      </w:r>
    </w:p>
    <w:p>
      <w:pPr>
        <w:spacing w:after="0" w:line="22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repay its $134.0 million Senior Notes due April 2018 with cash on hand or borrowings under the revolving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from operating activities are primarily affected by oil, gas and NGL production volumes and commodity prices (including the effects of settlements of the Company’s derivative contracts) and by changes in working capital. QEP typically enters into commodity derivative transactions covering a substantial, but varying, portion of its anticipated future oil and gas production for the next 12 to 24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operating activities is presented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center"/>
              <w:ind w:left="590"/>
              <w:spacing w:after="0"/>
              <w:rPr>
                <w:sz w:val="20"/>
                <w:szCs w:val="20"/>
                <w:color w:val="auto"/>
              </w:rPr>
            </w:pPr>
            <w:r>
              <w:rPr>
                <w:rFonts w:ascii="Arial" w:cs="Arial" w:eastAsia="Arial" w:hAnsi="Arial"/>
                <w:sz w:val="18"/>
                <w:szCs w:val="18"/>
                <w:color w:val="auto"/>
                <w:w w:val="90"/>
              </w:rPr>
              <w:t>Six Months Ended June 30,</w:t>
            </w:r>
          </w:p>
        </w:tc>
        <w:tc>
          <w:tcPr>
            <w:tcW w:w="9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8"/>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Net cash provided by operating activities was $295.2 million during the first half of 2017, which included $122.3 million of net income, $163.0 million of non-cash adjustments to net income and a $9.9 million increase in operating assets and liabilities. Non-cash adjustments to net income primarily included DD&amp;A expense of $383.3 million and $67.2 million of deferred income taxes, partially offset by unrealized gains on derivative contracts of $277.6 million. The increase in cash from operating assets and liabilities primarily resulted from a decrease in accounts receivable of $26.2 million, partially offset by a decrease in accounts payable and accrued expenses of $6.7 million and a decrease in the ARO liability of $2.0 million.</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was $219.6 million during the first half of 2016, which included a $1,060.8 million net loss, $1,338.6 million of non-cash adjustments to the net loss and a $58.2 million decrease in operating assets and liabilities. Non-cash adjustments to the net loss primarily included impairment expense of $1,183.2 million and DD&amp;A expense of $449.7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ind w:right="20"/>
        <w:spacing w:after="0" w:line="264" w:lineRule="auto"/>
        <w:rPr>
          <w:sz w:val="20"/>
          <w:szCs w:val="20"/>
          <w:color w:val="auto"/>
        </w:rPr>
      </w:pPr>
      <w:r>
        <w:rPr>
          <w:rFonts w:ascii="Arial" w:cs="Arial" w:eastAsia="Arial" w:hAnsi="Arial"/>
          <w:sz w:val="18"/>
          <w:szCs w:val="18"/>
          <w:color w:val="auto"/>
        </w:rPr>
        <w:t>million and unrealized losses on derivative contracts of $243.5 million, partially offset by a decrease in deferred income taxes of $559.9 million. The decrease in operating assets and liabilities primarily included a decrease in accounts payable and accrued expenses of $106.2 million and an increase in income taxes receivable of $83.2 million, partially offset by a decrease in accounts receivable of $118.5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capital expenditures for the first half of 2017 and 2016, are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6"/>
          </w:tcPr>
          <w:p>
            <w:pPr>
              <w:jc w:val="center"/>
              <w:ind w:left="590"/>
              <w:spacing w:after="0"/>
              <w:rPr>
                <w:sz w:val="20"/>
                <w:szCs w:val="20"/>
                <w:color w:val="auto"/>
              </w:rPr>
            </w:pPr>
            <w:r>
              <w:rPr>
                <w:rFonts w:ascii="Arial" w:cs="Arial" w:eastAsia="Arial" w:hAnsi="Arial"/>
                <w:sz w:val="18"/>
                <w:szCs w:val="18"/>
                <w:color w:val="auto"/>
                <w:w w:val="90"/>
              </w:rPr>
              <w:t>Six Months Ended June 30,</w:t>
            </w: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8"/>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 (including acquisition deposits held in escrow)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capital expenditures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277.6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Change in accruals and other non-cash adjustments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first half of 2017, on an accrual basis, the Company invested $520.3 million on property, plant and equipment capital expenditures, excluding property acquisitions, an increase of $277.6 million compared to the first half of 2016. In the first half of 2017, QEP's significant capital expenditures were $297.7 million in the Permian Basin, $128.1 million in the Williston Basin, $72.2 million in Haynesville/Cotton Valley and $12.3 million in Pinedale. In addition, in the first half of 2017, QEP acquired various oil and gas properties, primarily proved and unproved leaseholds and additional surface acreage primarily in the Permian Basin, for an aggregate purchase price of $76.6 million.</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first half of 2016, on an accrual basis, the Company invested $242.7 million on property, plant and equipment capital expenditures, excluding property acquisitions, which included $119.4 million in the Williston Basin, $72.0 million in the Permian Basin, $21.9 million in Haynesville/Cotton Valley, $15.9 million in Pinedale and $10.4 million in the Uinta Basin. In addition, during the first half of 2016, QEP acquired various oil and gas properties in the Williston and Permian basins, primarily to acquire additional interests in QEP's operated wells and the associated undeveloped leasehold, for a total purchase price of $29.8 million, of which $23.6 million was cash and $6.2 million was non-cash related to the settlement of an accounts receivable balance. Lastly, QEP paid a deposit of $30.0 million that is held in escrow related to the 2016 Permian Basin Acquisition.</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mid-point of our 2017 forecasted capital expenditures (excluding property acquisitions) is $1,075.0 million with the majority of the funds directed towards drilling and completion activity. Nearly 60% of our planned capital investment is allocated to the Permian Basin, and approximately $70.0 to $80.0 million of investment is budgeted for midstream infrastructure, primarily in the Permian Basin. Based on current commodity prices, QEP intends to fund its 2017 forecasted capital expenditures (excluding acquisitions) with cash flow from operating activities and cash on hand. The aggregate levels of capital expenditures for 2017 and the allocation of those expenditures are dependent on a variety of factors, including drilling results, oil, gas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first half of 2017, net cash used in financing activities was $8.0 million compared to net cash provided by financing activities of $749.1 million in the first half of 2016. During the first half of 2017, QEP had a decrease in treasury stock repurchases of $6.4 million, a decrease in long-term debt issuance costs paid of $1.1 million and a decrease in checks outstanding in excess of cash balances of $0.5 million. During the first half of 2016, QEP had net proceeds from the March and June 2016 equity offerings of approximately $781.6 million and had a decrease in checks outstanding in excess of cash balances of $29.8 million.</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2017, the Company did not have any borrowings outstanding under the credit facility and had $2,045.0 million in senior notes outstanding (excluding $22.0 million of net original issue discount and unamortized debt issuance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QEP’s primary market risks arise from changes in the market price for oil, gas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has long-term contracts for pipeline capacity and is obligated to pay for transportation services with no guarantee that it also will be able to fully utilize the contractual capacity of these transportation commitments. In addition, additional non-cash impairment expense of the Company’s oil and gas properties may be required if future oil and gas commodity prices experience a significant decline. Furthermore, the Company’s credit facility has a floating interest rate, which exposes QEP to interest rate risk if QEP has borrowings outstanding. To partially manage the Company’s exposure to these risks, QEP enters into commodity derivative contracts in the form of fixed-price and basis swaps and collars to manage commodity price risk and periodically enters into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QEP uses commodity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and basis swaps and collars. The volume of commodity derivative instruments utilized by the Company may vary from year to year based on QEP's forecasted production. The Company's current derivative instruments do not have margin requirements or collateral provisions that would require payments prior to the scheduled cash settlement dates. As of June 30, 2017, QEP held commodity price derivative contracts totaling 17.1 million barrels of oil, 174.1 million MMBtu of gas and 1.1 million MMBtu of gas storage.</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796" w:right="299" w:bottom="144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color w:val="auto"/>
        </w:rPr>
        <w:t>The following tables present QEP's volumes and average prices for its derivative positions as of July 21, 2017. See Note 7 – Derivative Contracts in Part 1, Item 1 of this Quarterly Report on Form 10-Q for open derivative positions as of June 30,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5100" w:type="dxa"/>
            <w:vAlign w:val="bottom"/>
            <w:gridSpan w:val="5"/>
          </w:tcPr>
          <w:p>
            <w:pPr>
              <w:ind w:left="1700"/>
              <w:spacing w:after="0"/>
              <w:rPr>
                <w:sz w:val="20"/>
                <w:szCs w:val="20"/>
                <w:color w:val="auto"/>
              </w:rPr>
            </w:pPr>
            <w:r>
              <w:rPr>
                <w:rFonts w:ascii="Arial" w:cs="Arial" w:eastAsia="Arial" w:hAnsi="Arial"/>
                <w:sz w:val="18"/>
                <w:szCs w:val="18"/>
                <w:b w:val="1"/>
                <w:bCs w:val="1"/>
                <w:color w:val="auto"/>
                <w:w w:val="95"/>
              </w:rPr>
              <w:t>Production Commodity Derivative Swaps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24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Year</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Index</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2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420" w:type="dxa"/>
            <w:vAlign w:val="bottom"/>
          </w:tcPr>
          <w:p>
            <w:pPr>
              <w:jc w:val="center"/>
              <w:ind w:right="1610"/>
              <w:spacing w:after="0"/>
              <w:rPr>
                <w:sz w:val="20"/>
                <w:szCs w:val="20"/>
                <w:color w:val="auto"/>
              </w:rPr>
            </w:pPr>
            <w:r>
              <w:rPr>
                <w:rFonts w:ascii="Arial" w:cs="Arial" w:eastAsia="Arial" w:hAnsi="Arial"/>
                <w:sz w:val="18"/>
                <w:szCs w:val="18"/>
                <w:b w:val="1"/>
                <w:bCs w:val="1"/>
                <w:color w:val="auto"/>
                <w:w w:val="86"/>
              </w:rPr>
              <w:t>Oil sales</w:t>
            </w: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2017</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r>
      <w:tr>
        <w:trPr>
          <w:trHeight w:val="243"/>
        </w:trPr>
        <w:tc>
          <w:tcPr>
            <w:tcW w:w="2420" w:type="dxa"/>
            <w:vAlign w:val="bottom"/>
          </w:tcPr>
          <w:p>
            <w:pPr>
              <w:jc w:val="center"/>
              <w:ind w:right="1610"/>
              <w:spacing w:after="0"/>
              <w:rPr>
                <w:sz w:val="20"/>
                <w:szCs w:val="20"/>
                <w:color w:val="auto"/>
              </w:rPr>
            </w:pPr>
            <w:r>
              <w:rPr>
                <w:rFonts w:ascii="Arial" w:cs="Arial" w:eastAsia="Arial" w:hAnsi="Arial"/>
                <w:sz w:val="18"/>
                <w:szCs w:val="18"/>
                <w:color w:val="auto"/>
                <w:w w:val="89"/>
              </w:rPr>
              <w:t>2018</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53.22</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2019</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WTI</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w:t>
            </w:r>
          </w:p>
        </w:tc>
      </w:tr>
      <w:tr>
        <w:trPr>
          <w:trHeight w:val="243"/>
        </w:trPr>
        <w:tc>
          <w:tcPr>
            <w:tcW w:w="2420" w:type="dxa"/>
            <w:vAlign w:val="bottom"/>
          </w:tcPr>
          <w:p>
            <w:pPr>
              <w:jc w:val="center"/>
              <w:ind w:right="1550"/>
              <w:spacing w:after="0"/>
              <w:rPr>
                <w:sz w:val="20"/>
                <w:szCs w:val="20"/>
                <w:color w:val="auto"/>
              </w:rPr>
            </w:pPr>
            <w:r>
              <w:rPr>
                <w:rFonts w:ascii="Arial" w:cs="Arial" w:eastAsia="Arial" w:hAnsi="Arial"/>
                <w:sz w:val="18"/>
                <w:szCs w:val="18"/>
                <w:b w:val="1"/>
                <w:bCs w:val="1"/>
                <w:color w:val="auto"/>
                <w:w w:val="83"/>
              </w:rPr>
              <w:t>Gas sales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2017</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2420" w:type="dxa"/>
            <w:vAlign w:val="bottom"/>
          </w:tcPr>
          <w:p>
            <w:pPr>
              <w:jc w:val="center"/>
              <w:ind w:right="1610"/>
              <w:spacing w:after="0"/>
              <w:rPr>
                <w:sz w:val="20"/>
                <w:szCs w:val="20"/>
                <w:color w:val="auto"/>
              </w:rPr>
            </w:pPr>
            <w:r>
              <w:rPr>
                <w:rFonts w:ascii="Arial" w:cs="Arial" w:eastAsia="Arial" w:hAnsi="Arial"/>
                <w:sz w:val="18"/>
                <w:szCs w:val="18"/>
                <w:color w:val="auto"/>
                <w:w w:val="89"/>
              </w:rPr>
              <w:t>2017</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IFNPCR</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ind w:right="1610"/>
              <w:spacing w:after="0"/>
              <w:rPr>
                <w:sz w:val="20"/>
                <w:szCs w:val="20"/>
                <w:color w:val="auto"/>
              </w:rPr>
            </w:pPr>
            <w:r>
              <w:rPr>
                <w:rFonts w:ascii="Arial" w:cs="Arial" w:eastAsia="Arial" w:hAnsi="Arial"/>
                <w:sz w:val="18"/>
                <w:szCs w:val="18"/>
                <w:color w:val="auto"/>
                <w:w w:val="89"/>
              </w:rPr>
              <w:t>2018</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2420" w:type="dxa"/>
            <w:vAlign w:val="bottom"/>
          </w:tcPr>
          <w:p>
            <w:pPr>
              <w:jc w:val="center"/>
              <w:ind w:right="1610"/>
              <w:spacing w:after="0"/>
              <w:rPr>
                <w:sz w:val="20"/>
                <w:szCs w:val="20"/>
                <w:color w:val="auto"/>
              </w:rPr>
            </w:pPr>
            <w:r>
              <w:rPr>
                <w:rFonts w:ascii="Arial" w:cs="Arial" w:eastAsia="Arial" w:hAnsi="Arial"/>
                <w:sz w:val="18"/>
                <w:szCs w:val="18"/>
                <w:color w:val="auto"/>
                <w:w w:val="89"/>
              </w:rPr>
              <w:t>2019</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3"/>
          </w:tcPr>
          <w:p>
            <w:pPr>
              <w:jc w:val="center"/>
              <w:ind w:right="400"/>
              <w:spacing w:after="0"/>
              <w:rPr>
                <w:sz w:val="20"/>
                <w:szCs w:val="20"/>
                <w:color w:val="auto"/>
              </w:rPr>
            </w:pPr>
            <w:r>
              <w:rPr>
                <w:rFonts w:ascii="Arial" w:cs="Arial" w:eastAsia="Arial" w:hAnsi="Arial"/>
                <w:sz w:val="18"/>
                <w:szCs w:val="18"/>
                <w:color w:val="auto"/>
              </w:rPr>
              <w:t>NYMEX HH</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2.85</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gridSpan w:val="7"/>
          </w:tcPr>
          <w:p>
            <w:pPr>
              <w:ind w:left="1160"/>
              <w:spacing w:after="0"/>
              <w:rPr>
                <w:sz w:val="20"/>
                <w:szCs w:val="20"/>
                <w:color w:val="auto"/>
              </w:rPr>
            </w:pPr>
            <w:r>
              <w:rPr>
                <w:rFonts w:ascii="Arial" w:cs="Arial" w:eastAsia="Arial" w:hAnsi="Arial"/>
                <w:sz w:val="18"/>
                <w:szCs w:val="18"/>
                <w:b w:val="1"/>
                <w:bCs w:val="1"/>
                <w:color w:val="auto"/>
              </w:rPr>
              <w:t>Production Commodity Derivative Gas Collars</w:t>
            </w: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00" w:type="dxa"/>
            <w:vAlign w:val="bottom"/>
          </w:tcPr>
          <w:p>
            <w:pPr>
              <w:spacing w:after="0"/>
              <w:rPr>
                <w:sz w:val="23"/>
                <w:szCs w:val="23"/>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Average Price Floor</w:t>
            </w:r>
          </w:p>
        </w:tc>
        <w:tc>
          <w:tcPr>
            <w:tcW w:w="200" w:type="dxa"/>
            <w:vAlign w:val="bottom"/>
          </w:tcPr>
          <w:p>
            <w:pPr>
              <w:spacing w:after="0"/>
              <w:rPr>
                <w:sz w:val="23"/>
                <w:szCs w:val="23"/>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w w:val="95"/>
              </w:rPr>
              <w:t>Average Price Ceiling</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0"/>
        </w:trPr>
        <w:tc>
          <w:tcPr>
            <w:tcW w:w="264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shd w:val="clear" w:color="auto" w:fill="CCEEFF"/>
              </w:rPr>
              <w:t>2017</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NYMEX HH</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41"/>
        </w:trPr>
        <w:tc>
          <w:tcPr>
            <w:tcW w:w="2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gridSpan w:val="5"/>
          </w:tcPr>
          <w:p>
            <w:pPr>
              <w:ind w:left="1020"/>
              <w:spacing w:after="0"/>
              <w:rPr>
                <w:sz w:val="20"/>
                <w:szCs w:val="20"/>
                <w:color w:val="auto"/>
              </w:rPr>
            </w:pPr>
            <w:r>
              <w:rPr>
                <w:rFonts w:ascii="Arial" w:cs="Arial" w:eastAsia="Arial" w:hAnsi="Arial"/>
                <w:sz w:val="18"/>
                <w:szCs w:val="18"/>
                <w:b w:val="1"/>
                <w:bCs w:val="1"/>
                <w:color w:val="auto"/>
                <w:w w:val="91"/>
              </w:rPr>
              <w:t>Production Commodity Derivative Basis Swaps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6"/>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w w:val="96"/>
              </w:rPr>
              <w:t>Weighted-Average</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Index Less Differential</w:t>
            </w:r>
          </w:p>
        </w:tc>
        <w:tc>
          <w:tcPr>
            <w:tcW w:w="256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Index</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Total Volumes</w:t>
            </w:r>
          </w:p>
        </w:tc>
        <w:tc>
          <w:tcPr>
            <w:tcW w:w="240" w:type="dxa"/>
            <w:vAlign w:val="bottom"/>
          </w:tcPr>
          <w:p>
            <w:pPr>
              <w:spacing w:after="0"/>
              <w:rPr>
                <w:sz w:val="20"/>
                <w:szCs w:val="20"/>
                <w:color w:val="auto"/>
              </w:rPr>
            </w:pPr>
          </w:p>
        </w:tc>
        <w:tc>
          <w:tcPr>
            <w:tcW w:w="1820" w:type="dxa"/>
            <w:vAlign w:val="bottom"/>
          </w:tcPr>
          <w:p>
            <w:pPr>
              <w:jc w:val="right"/>
              <w:ind w:right="510"/>
              <w:spacing w:after="0"/>
              <w:rPr>
                <w:sz w:val="20"/>
                <w:szCs w:val="20"/>
                <w:color w:val="auto"/>
              </w:rPr>
            </w:pPr>
            <w:r>
              <w:rPr>
                <w:rFonts w:ascii="Arial" w:cs="Arial" w:eastAsia="Arial" w:hAnsi="Arial"/>
                <w:sz w:val="18"/>
                <w:szCs w:val="18"/>
                <w:color w:val="auto"/>
              </w:rPr>
              <w:t>Differential</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0"/>
        </w:trPr>
        <w:tc>
          <w:tcPr>
            <w:tcW w:w="288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56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6"/>
              </w:rPr>
              <w:t>Argus WTI Midland</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2740" w:type="dxa"/>
            <w:vAlign w:val="bottom"/>
          </w:tcPr>
          <w:p>
            <w:pPr>
              <w:jc w:val="center"/>
              <w:ind w:right="193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5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Argus WTI Midland</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560" w:type="dxa"/>
            <w:vAlign w:val="bottom"/>
            <w:tcBorders>
              <w:bottom w:val="single" w:sz="8" w:color="CCEEFF"/>
            </w:tcBorders>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6"/>
              </w:rPr>
              <w:t>Argus WTI Midland</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HH</w:t>
            </w:r>
          </w:p>
        </w:tc>
        <w:tc>
          <w:tcPr>
            <w:tcW w:w="2560" w:type="dxa"/>
            <w:vAlign w:val="bottom"/>
            <w:tcBorders>
              <w:bottom w:val="single" w:sz="8" w:color="CCEEFF"/>
            </w:tcBorders>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2"/>
              </w:rPr>
              <w:t>IFNPCR</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2740" w:type="dxa"/>
            <w:vAlign w:val="bottom"/>
          </w:tcPr>
          <w:p>
            <w:pPr>
              <w:jc w:val="center"/>
              <w:ind w:right="193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HH</w:t>
            </w:r>
          </w:p>
        </w:tc>
        <w:tc>
          <w:tcPr>
            <w:tcW w:w="256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IFNPCR</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9"/>
              </w:rPr>
              <w:t>Gas Storage Commodity Derivative Swaps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56"/>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w w:val="89"/>
              </w:rPr>
              <w:t>Average Swap Price per</w:t>
            </w: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48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Index</w:t>
            </w: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Unit</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shd w:val="clear" w:color="auto" w:fill="CCEEFF"/>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shd w:val="clear" w:color="auto" w:fill="CCEEFF"/>
              </w:rPr>
              <w:t>SWAP</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shd w:val="clear" w:color="auto" w:fill="CCEEFF"/>
              </w:rPr>
              <w:t>IFNPCR</w:t>
            </w: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purchases</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shd w:val="clear" w:color="auto" w:fill="CCEEFF"/>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shd w:val="clear" w:color="auto" w:fill="CCEEFF"/>
              </w:rPr>
              <w:t>SWAP</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shd w:val="clear" w:color="auto" w:fill="CCEEFF"/>
              </w:rPr>
              <w:t>IFNPCR</w:t>
            </w: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675"/>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2016 to June 30, 2017, are presented below:</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9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3"/>
              </w:rPr>
              <w:t>Commodity derivative</w:t>
            </w:r>
          </w:p>
        </w:tc>
      </w:tr>
      <w:tr>
        <w:trPr>
          <w:trHeight w:val="230"/>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0"/>
              </w:rPr>
              <w:t>contracts</w:t>
            </w:r>
          </w:p>
        </w:tc>
      </w:tr>
      <w:tr>
        <w:trPr>
          <w:trHeight w:val="27"/>
        </w:trPr>
        <w:tc>
          <w:tcPr>
            <w:tcW w:w="9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color w:val="auto"/>
                <w:w w:val="98"/>
              </w:rPr>
              <w:t>(in millions)</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and gas derivative contracts outstanding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oil and gas prices on futures markets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1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7.4</w:t>
            </w:r>
          </w:p>
        </w:tc>
      </w:tr>
      <w:tr>
        <w:trPr>
          <w:trHeight w:val="27"/>
        </w:trPr>
        <w:tc>
          <w:tcPr>
            <w:tcW w:w="9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oil and gas derivative contracts outstanding at June 30,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75.9</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sensitivity of the fair value of oil and gas derivative contracts to changes in the market price of oil, gas and basis differentials: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2017</w:t>
            </w:r>
          </w:p>
        </w:tc>
      </w:tr>
      <w:tr>
        <w:trPr>
          <w:trHeight w:val="27"/>
        </w:trPr>
        <w:tc>
          <w:tcPr>
            <w:tcW w:w="9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(in millions)</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if market prices of oil, gas and basis differentials decline by 10%</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68.3</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gas and basis differentials increase by 10%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w:t>
            </w:r>
          </w:p>
        </w:tc>
      </w:tr>
      <w:tr>
        <w:trPr>
          <w:trHeight w:val="27"/>
        </w:trPr>
        <w:tc>
          <w:tcPr>
            <w:tcW w:w="9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Utilizing the actual derivative contractual volumes, a 10% increase in underlying commodity prices would reduce the fair value of these instruments by $7.5 million, while a 10% decrease in underlying commodity prices would increase the fair value of these instruments by $7.6 million as of June 30, 2017. However, a gain or loss eventually would be offset by the actual sales value of the physical production covered by the derivative instruments. For additional information regarding the Company’s commodity derivative transactions, see Note 7 – Derivative Contracts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and the Company's credit rating, as described in the risk factors in Item 1A of Part I of its 2016 Form 10-K. The Company’s revolving credit facility has a floating interest rate, which exposes QEP to interest rate risk if QEP has borrowings outstanding. At June 30, 2017, the Company did not have any borrowings outstanding under its revolving credit facility.</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remaining $2,045.0 million of the Company’s debt is senior notes with fixed interest rates; therefore, it is not affected by interest rate movements. For additional information regarding the Company’s debt instruments, see Note 8 – Debt, in Item I of Part I of this Quarterly Report on Form 10-Q.</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quarterly report contains information that includes or is based upon "forward-looking statements" within the meaning of Section 27A of the Securities Act of 1933, as amended (the Securities Act),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strong liquidity position providing financial flexibility and the ability to grow production;</w:t>
      </w:r>
    </w:p>
    <w:p>
      <w:pPr>
        <w:spacing w:after="0" w:line="9" w:lineRule="exact"/>
        <w:rPr>
          <w:rFonts w:ascii="Arial" w:cs="Arial" w:eastAsia="Arial" w:hAnsi="Arial"/>
          <w:sz w:val="18"/>
          <w:szCs w:val="18"/>
          <w:color w:val="auto"/>
        </w:rPr>
      </w:pPr>
    </w:p>
    <w:p>
      <w:pPr>
        <w:ind w:left="740" w:right="40" w:hanging="327"/>
        <w:spacing w:after="0" w:line="250"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liquidity and the sufficiency of our cash flows from operations and cash on hand to fund our operations and forecasted capital expenditures for 2017;</w:t>
      </w: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and 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inventory of drilling locations;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drilling and completion plans and strategies;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to increase oil and gas production;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oil exports from and imports to the U.S.;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development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incur additional indebtedness under our revolving credit facility;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contingencies;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regarding oil, gas and NGL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of oil, gas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to enter into derivative contracts and the anticipated benefits from our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divestitures of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for capital expenditures to address air emission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 and allocation of forecasted capital expenditures (excluding acquisitions) and plans for funding operations and capital investments;</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assumptions regarding equity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settlement of performance share units in cash;</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usefulness of Adjusted EBITDA (a non-GAAP financial measure) and adjustments made to net income to arrive at Adjusted EBITDA;</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caused by multi-well pad drilling;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fair values and critical accounting estimates, including estimated asset retirement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implementation and impact of new accounting pronouncements;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of shutting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for asset impairments and impact of impairments on financial statements;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divestiture of Pinedale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counterparty risk exposure;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outcome and impact of various claims.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discussed in Item 1A of Part I of the 2016 Form 10-K and Item 1A of Part II of this Quarterly Report on Form 10-Q;</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oil, gas and NGL prices;</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796" w:right="339" w:bottom="1440" w:gutter="0" w:footer="0" w:header="0"/>
        </w:sectPr>
      </w:pPr>
    </w:p>
    <w:bookmarkStart w:id="42" w:name="page43"/>
    <w:bookmarkEnd w:id="42"/>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 impairments;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liquidity constraints, including those resulting from the cost and availability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drilling and completion strategies, methods and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assumptions around well density/spacing and recoverable reserves per well prove to be inaccurate;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processing volumes and pipeline throughput;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risks and liabilities associated with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hydraulic fracturing;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obtaining permits and governmental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 and risks inherent in the production of oil and gas;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jc w:val="both"/>
        <w:ind w:left="820" w:hanging="326"/>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adoption of and compliance with laws and regulations, including decisions and policies concerning: the environment, climate change, greenhouse gas or other emissions, natural resources, fish and wildlife, hydraulic fracturing, water use and drilling and completion techniques, as well as the risk of legal and other proceedings arising from such matters, whether involving public or private claimants or regulatory investigative or enforcement measures;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financial losses or earnings reductions from our commodity price risk management programs;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 to prevent a cyberattack;</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severance and property taxation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actions of, or inaction by federal, state, local or tribal governments, foreign countries and the Organization of Petroleum Exporting Countries;</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and sales volumes;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oil and gas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creditworthiness and performance of the Company's counterparties, including financial institutions, operating partners and other parties;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securities, capital and credit markets;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by credit rating agencies and their impact on the Company;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on</w:t>
      </w:r>
    </w:p>
    <w:p>
      <w:pPr>
        <w:spacing w:after="0" w:line="2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Form 10-Q, in other documents, or on the Company's website to reflect future events or circumstances. All such statements are expressly qualified by this cautionary statement.</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80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June 30, 2017. Based on such evaluation, such officers have concluded that, as of June 30, 2017,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quarter ended June 30, 2017, that have materially affected, or are reasonably likely to materially affect, the Company's internal control over financial reporting.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with respect to the legal proceedings reported in our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2016. Below are material changes to such risk factors that have occurred during the three and six months ended June 30, 2017.</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QEP may be unable to dispose of assets on financially attractive terms, resulting in reduced cash proceeds. </w:t>
      </w:r>
      <w:r>
        <w:rPr>
          <w:rFonts w:ascii="Arial" w:cs="Arial" w:eastAsia="Arial" w:hAnsi="Arial"/>
          <w:sz w:val="17"/>
          <w:szCs w:val="17"/>
          <w:color w:val="auto"/>
        </w:rPr>
        <w:t>QEP continually evaluates its portfolio of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relative to capital investments, divestitures and joint venture opportunities. The success of such activity depends, in part, upon QEP’s ability to identify suitable buyers or joint venture partners; assess potential transaction terms; negotiate agreements; and, if applicable, obtain required approvals. Various factors could materially affect QEP's ability to dispose of assets on terms acceptable to QEP. Such factors include, but are not limited to, current commodity prices, laws, regulations and the permitting process impacting oil and gas operations in the areas where the assets are located, covenants under QEP's credit agreement, tax impacts, willingness of the purchaser to assume certain liabilities such as asset retirement obligations, QEP's willingness to indemnify buyers for certain matters, and other factors. Inability to achieve a desired price for assets, or underestimation of amounts of retained liabilities or indemnification obligations, can result in a reduction of cash proceeds, a loss on sale due to an excess of the asset's net book value over proceeds, or liabilities that must be settled in the future at amounts that are higher than QEP had expected.</w:t>
      </w:r>
    </w:p>
    <w:p>
      <w:pPr>
        <w:spacing w:after="0" w:line="182"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QEP is subject to complex federal, state, tribal, local and other laws and regulations that could adversely affect its cost of doing business and recording of proved reserves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operations are subject to extensive federal, state, tribal and local tax, energy, environmental, health and safety laws and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failure to comply with applicable laws and regulations can result in substantial penalties and may threaten the Company's authorization to operate.</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Environmental laws and regulations are complex, change frequently and have tended to become more onerous over time. The regulatory burden on the Company's operations increases its cost of doing business and, consequently, affects its profitability. In addition to the costs of compliance, substantial costs may be incurred to take corrective actions at both owned and previously owned facilities. Accidental spills and leaks requiring cleanup may occur in the ordinary course of QEP's business.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7" w:right="239" w:bottom="1440" w:gutter="0" w:footer="0" w:header="0"/>
        </w:sectPr>
      </w:pPr>
    </w:p>
    <w:bookmarkStart w:id="44" w:name="page45"/>
    <w:bookmarkEnd w:id="44"/>
    <w:p>
      <w:pPr>
        <w:ind w:right="80"/>
        <w:spacing w:after="0" w:line="264" w:lineRule="auto"/>
        <w:rPr>
          <w:sz w:val="20"/>
          <w:szCs w:val="20"/>
          <w:color w:val="auto"/>
        </w:rPr>
      </w:pPr>
      <w:r>
        <w:rPr>
          <w:rFonts w:ascii="Arial" w:cs="Arial" w:eastAsia="Arial" w:hAnsi="Arial"/>
          <w:sz w:val="18"/>
          <w:szCs w:val="18"/>
          <w:color w:val="auto"/>
        </w:rPr>
        <w:t>standards change, the Company may incur significant costs in cases where past operations followed practices that were considered acceptable at the time, but now require remedial work to meet current standards. Failure to comply with these laws and regulations may result in fines, significant costs for remedial activities, other damages, or injunctions that could limit the scope of QEP's planned operations.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Clean Air Act regulations at 40 C.F.R Part 60, Subpart OOOO (Subpart OOOO) became effective in 2012, with further amendments effective in 2013 and 2014. Subpart OOOO imposes air quality controls and requirements upon QEP's operations. Additionally, in June 2016, the Environmental Protection Agency (EPA) finalized closely related rules in new Subpart OOOOa to achieve additional methane and volatile organic compound reductions from certain activities in the oil and gas industry. The new rules include, among others, new requirements for finding and repairing leaks at new well sites and "reduced emission completion" requirements for hydraulically fractured oil wells. The status of Subpart OOOOa remains uncertain given ongoing litigation and administrative regulatory actions. The regulatory uncertainty surrounding the implementation of this rule poses some complications for QEP’s operations and compliance efforts. Additionally, many states are adopting air permitting and other air quality control regulations specific to oil and gas exploration, production, gathering and processing that are more stringent than existing requirements under federal regulations.</w:t>
      </w:r>
    </w:p>
    <w:p>
      <w:pPr>
        <w:spacing w:after="0" w:line="1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June 2016, the EPA also issued a Federal Implementation Plan (FIP) to implement the Federal Minor New Source Review Program on tribal lands for oil and gas production. The FIP primarily impacts QEP’s operations on the Fort Berthold Reservation in the Williston Basin and on the Uintah and Ouray Indian Reservations in the Uinta Basin. The FIP creates a permit-by-rule process for minor sources that also incorporates emission limits and other requirements under various federal air quality standards, applying them to a range of equipment and processes used in oil and gas production. However, the FIP does not apply in areas of ozone non-attainment. As a result, the EPA may impose area-specific regulations in parts of the Uinta Basin identified as tribal lands that may require additional emissions controls on existing equipment as a result of expected designation of a portion of the Uinta Basin as a marginal nonattainment area for ozone. The proposals will likely result in increased operating and compliance costs.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FERC has jurisdiction over the operation of QEP's Clear Creek underground gas storage facility by virtue of the facility's connection to interstate pipelines (also subject to FERC jurisdiction) at both its inlet and outlet. Clear Creek is subject to specific FERC regulations governing interstate transmission facilities and activities, including but not limited to rates charged for transmission, open access/non-discrimination, and public disclosure via an electronic bulletin board of daily capacity and flows.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Regulatory requirements to reduce gas flaring and to further restrict emissions could have an adverse effect on our operations. </w:t>
      </w:r>
      <w:r>
        <w:rPr>
          <w:rFonts w:ascii="Arial" w:cs="Arial" w:eastAsia="Arial" w:hAnsi="Arial"/>
          <w:sz w:val="16"/>
          <w:szCs w:val="16"/>
          <w:color w:val="auto"/>
        </w:rPr>
        <w:t>Wells in the Williston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Basin of North Dakota and the Permian Basin of Texas, where QEP has significant operations, produce natural gas as well as crude oil. Constraints in third party gas gathering and processing systems in certain areas have resulted in some of that natural gas being flared instead of gathered, processed and sold. In June 2014, the North Dakota Industrial Commission, North Dakota's chief energy regulator, adopted a policy to reduce the volume of natural gas flared from oil wells in the Williston Basin. The Commission requires operators to develop gas capture plans that describe how much natural gas is expected to be produced, how it will be delivered to a processor and where it will be processed. Production caps or penalties will be imposed on certain wells that cannot meet the capture goals. It is possible that other states will require gas capture plans in the future to reduce flaring. Additionally, in November 2016, the Bureau of Land Management (BLM) finalized a new rule related to further controls on the venting and flaring of natural gas on BLM and tribal leases. The rule took effect in January 2017. BLM venting and flaring rule is the subject of active litigation in the U.S. District Court for the District of Wyoming. Some provisions of the rule are in effect, including the royalty provisions. Other provisions, however, including those related to further controls on the venting and flaring of natural gas do not take effect until January 2018. BLM has indefinitely stayed those compliance dates pursuant to Section 705 of the Administrative Procedure Act. The Section 705 stay is the subject of litigation filed in July 2017 in the U.S. District Court for the Northern District of California. These gas capture requirements, and any similar future obligations in North Dakota or our other locations, may increase our operational costs or restrict our production, which could materially and adversely affect our financial condition, results of operations and cash flows.</w:t>
      </w:r>
    </w:p>
    <w:p>
      <w:pPr>
        <w:spacing w:after="0" w:line="172"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b w:val="1"/>
          <w:bCs w:val="1"/>
          <w:i w:val="1"/>
          <w:iCs w:val="1"/>
          <w:color w:val="auto"/>
        </w:rPr>
        <w:t>As a result of future legislation, certain U.S. federal income tax deductions currently available with respect to oil and gas exploration and development may be eliminated or modified, and QEP may be subject to the imposition of increased or new taxes</w:t>
      </w:r>
      <w:r>
        <w:rPr>
          <w:rFonts w:ascii="Arial" w:cs="Arial" w:eastAsia="Arial" w:hAnsi="Arial"/>
          <w:sz w:val="15"/>
          <w:szCs w:val="15"/>
          <w:color w:val="auto"/>
        </w:rPr>
        <w:t>. Legislation may be proposed in the future that could,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if enacted into law, make significant changes to U.S. tax laws. Such changes could include, but would not be limited to, the elimination or modification of U.S. federal income tax provisions currently available to QEP such as: (i) the repeal of the percentage depletion allowance for oil and natural gas properties;</w:t>
      </w:r>
    </w:p>
    <w:p>
      <w:pPr>
        <w:spacing w:after="0" w:line="2" w:lineRule="exact"/>
        <w:rPr>
          <w:sz w:val="20"/>
          <w:szCs w:val="20"/>
          <w:color w:val="auto"/>
        </w:rPr>
      </w:pPr>
    </w:p>
    <w:p>
      <w:pPr>
        <w:jc w:val="both"/>
        <w:ind w:right="140" w:firstLine="8"/>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elimination of current deductions for intangible drilling and development costs; (iii) the elimination of the deduction for certain domestic production activities; and (iv) an extension of the amortization period for certain geological and geophysical expenditures. It is unclear whether these or similar changes will be enacted and, if enacted, how soon any such changes could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5" w:name="page46"/>
    <w:bookmarkEnd w:id="45"/>
    <w:p>
      <w:pPr>
        <w:ind w:right="20"/>
        <w:spacing w:after="0" w:line="279" w:lineRule="auto"/>
        <w:rPr>
          <w:sz w:val="20"/>
          <w:szCs w:val="20"/>
          <w:color w:val="auto"/>
        </w:rPr>
      </w:pPr>
      <w:r>
        <w:rPr>
          <w:rFonts w:ascii="Arial" w:cs="Arial" w:eastAsia="Arial" w:hAnsi="Arial"/>
          <w:sz w:val="17"/>
          <w:szCs w:val="17"/>
          <w:color w:val="auto"/>
        </w:rPr>
        <w:t>become effective. The passage of any legislation could eliminate or postpone certain tax deductions that are currently available with respect to oil and gas exploration and development, or could generally affect the taxes imposed on QEP, including the imposition of new U.S. federal, state or local taxes (including the imposition of, or increase in, production, severance, environmental, sales, gross receipts, or similar taxes), could increase the cost of exploration and development of oil and gas resources, which would negatively affect QEP’s financial condition and results of operations.</w:t>
      </w:r>
    </w:p>
    <w:p>
      <w:pPr>
        <w:spacing w:after="0" w:line="17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i w:val="1"/>
          <w:iCs w:val="1"/>
          <w:color w:val="auto"/>
        </w:rPr>
        <w:t>Climate change and climate change legislation and regulatory initiatives could result in increased operating costs and decreased demand for the oil and natural gas that we produce</w:t>
      </w:r>
      <w:r>
        <w:rPr>
          <w:rFonts w:ascii="Arial" w:cs="Arial" w:eastAsia="Arial" w:hAnsi="Arial"/>
          <w:sz w:val="16"/>
          <w:szCs w:val="16"/>
          <w:color w:val="auto"/>
        </w:rPr>
        <w:t>. Climate change, the costs that may be associated with its effects and the regulation of greenhouse gas (GHG) emissions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potential to affect our business in many ways, including increasing the costs to provide our products and services, reducing the demand for and consumption of our products and services (due to change in both costs and weather patterns) and the economic health of the regions in which we operate, all of which can create financial risks. In addition, legislative and regulatory responses related to GHG emissions and climate change may result in increased operating costs, delays in obtaining air pollution permits for new or modified facilities and reduced demand for the oil, gas and NGL that QEP produces. Federal and state courts and administrative agencies are considering the scope and scale of climate change regulation under various laws pertaining to the environment, energy use and development. Federal, state and local governments may also pass laws mandating the use of alternative energy sources, such as wind power and solar energy, which may reduce demand for oil and natural gas. QEP's ability to access and develop new oil and gas reserves may be restricted by climate change regulation, including GHG reporting and regulation. Congress has previously considered proposed legislation aimed at reducing GHG emissions. The EPA has adopted final regulations for the measurement and reporting of GHG emitted from certain large facilities and, as discussed above, has adopted additional regulations at 40 C.F.R Part 60, Subparts OOOO and OOOOa to include additional requirements to reduce methane emissions from oil and natural gas facilities. As mentioned above, the status of Subpart OOOOa is uncertain given the ongoing litigation and administrative actions. In June 2014, the United States Supreme Court’s holding in Utility Air Regulatory Group v. EPA upheld a portion of EPA’s GHG stationary source permitting program, but also invalidated a portion of it. Upon remand, the EPA is considering how to implement the Court’s decision. The Court’s holding does not prevent states from considering and adopting state-only major source permitting requirements based solely on GHG emission levels.</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December 2015, over 190 countries, including the U.S., reached an agreement in Paris (COP 21) to reduce global emissions of GHG (the Paris Agreement). The Paris Agreement provides for the cutting of carbon emissions every five years, beginning in 2023, and sets a goal of keeping global warming to a maximum limit of two degrees Celsius and a target limit of 1.5 degrees Celsius. On June 1, 2017, President Trump announced that the U.S. would initiate the formal process to withdraw from the Paris Agreement. Withdrawal will take a few years to implement due to the Paris Agreement’s legal structure and language.</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in several of the states in which QEP operates the regulatory authorities are considering various GHG registration and reduction programs, including methane leak detection monitoring and repair requirements specific to oil and gas facilities. Following the initiation of withdrawal from the Paris Agreement, state and local regulation efforts are expected to increase. Any local or state success in reducing carbon emissions could adversely impact our business by limiting our ability to develop new oil and gas reserves.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Moreover, some experts believe climate change poses potential physical risks, including an increase in sea level and changes in weather conditions, such as an increase in precipitation and extreme weather events. In addition, warmer winters as a result of global warming could also decrease demand for natural gas. To the extent that such unfavorable weather conditions are exacerbated by climate change or otherwise, our operations may be adversely affected to a greater degree than we have previously experienced, including increased delays and costs. However, the uncertain nature of changes in extreme weather events (such as increased frequency, duration, and severity) and the long period of time over which any changes would take place make any estimations of future financial risk to our operations caused by these potential physical risks of climate change unreliable.</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Restrictions on drilling activities intended to protect certain species of wildlife may adversely affect our ability to conduct drilling activities in areas where we operate. </w:t>
      </w:r>
      <w:r>
        <w:rPr>
          <w:rFonts w:ascii="Arial" w:cs="Arial" w:eastAsia="Arial" w:hAnsi="Arial"/>
          <w:sz w:val="17"/>
          <w:szCs w:val="17"/>
          <w:color w:val="auto"/>
        </w:rPr>
        <w:t>Oil and natural gas operations in our operating areas may be adversely affected by seasonal or permanent restrictions on drilling activities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protect various species and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or materially increase our operating and capital costs. Permanent restrictions imposed to protect threatened and endangered species could prohibit drilling in certain areas or require the implementation of expensive mitigation measures. The designation of previously unprotected species as threatened or endangered in areas where we operate could cause us to incur increased costs arising from species protection measures or could result in limitations on our exploration and production activities that could have a material adverse effect on our ability to develop and produce our reserves.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6" w:name="page47"/>
    <w:bookmarkEnd w:id="46"/>
    <w:p>
      <w:pPr>
        <w:spacing w:after="0" w:line="269" w:lineRule="auto"/>
        <w:rPr>
          <w:sz w:val="20"/>
          <w:szCs w:val="20"/>
          <w:color w:val="auto"/>
        </w:rPr>
      </w:pPr>
      <w:r>
        <w:rPr>
          <w:rFonts w:ascii="Arial" w:cs="Arial" w:eastAsia="Arial" w:hAnsi="Arial"/>
          <w:sz w:val="17"/>
          <w:szCs w:val="17"/>
          <w:color w:val="auto"/>
        </w:rPr>
        <w:t>Current federal regulations restrict activities during certain times of the year on significant portions of QEP leasehold due to wildlife activity and/or habitat. QEP has worked with federal and state officials in Wyoming to obtain authorization for limited winter drilling activities in Pinedale and has developed measures, such as drilling multiple wells from a single pad location, to minimize the impact of its activities on wildlife and wildlife habitat in its operations on federal lands. Many of QEP's operations are subject to the requirements of NEPA, and are therefore evaluated under NEPA for their direct, indirect and cumulative environmental impacts. This is done in Environmental Assessments or Environmental Impact Statements prepared for a lead agency under Council on Environmental Quality and other agency regulations, usually for the BLM in the areas where QEP operates currently. In September 2008, the BLM issued a Record of Decision (ROD) on the Final Supplemental Environmental Impact Statement (FSEIS) for long-term development of gas resources in the Pinedale Anticline Project Area (PAPA). Under the ROD, QEP is allowed to drill and complete wells year-round in one of five Concentrated Development Areas. Additionally, the Department of Interior’s Fish and Wildlife Service ("FWS") plans to issue a proposed rule on whether to list the Lesser Prairie-Chicken as an endangered species. This decision could come as early as September 2017, according to a listing in the Administration’s Unified Agenda of Federal Regulatory and Deregulatory Actions that was released in July 2017. The Lesser Prairie-Chicken is a grouse species native to Texas including parts of the Permian Basin.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share awards withheld for taxes.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6"/>
              </w:rPr>
              <w:t>Weighted-average</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Total shares purchased as part</w:t>
            </w: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color w:val="auto"/>
                <w:w w:val="91"/>
              </w:rPr>
              <w:t>Remaining dollar amount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color w:val="auto"/>
              </w:rPr>
              <w:t>Total shares</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price paid per</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publicly announced plans</w:t>
            </w:r>
          </w:p>
        </w:tc>
        <w:tc>
          <w:tcPr>
            <w:tcW w:w="2160" w:type="dxa"/>
            <w:vAlign w:val="bottom"/>
            <w:gridSpan w:val="2"/>
          </w:tcPr>
          <w:p>
            <w:pPr>
              <w:ind w:left="40"/>
              <w:spacing w:after="0"/>
              <w:rPr>
                <w:sz w:val="20"/>
                <w:szCs w:val="20"/>
                <w:color w:val="auto"/>
              </w:rPr>
            </w:pPr>
            <w:r>
              <w:rPr>
                <w:rFonts w:ascii="Arial" w:cs="Arial" w:eastAsia="Arial" w:hAnsi="Arial"/>
                <w:sz w:val="18"/>
                <w:szCs w:val="18"/>
                <w:color w:val="auto"/>
                <w:w w:val="89"/>
              </w:rPr>
              <w:t>that may be purchased under</w:t>
            </w:r>
          </w:p>
        </w:tc>
      </w:tr>
      <w:tr>
        <w:trPr>
          <w:trHeight w:val="257"/>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210"/>
              <w:spacing w:after="0" w:line="257" w:lineRule="exact"/>
              <w:rPr>
                <w:sz w:val="20"/>
                <w:szCs w:val="20"/>
                <w:color w:val="auto"/>
              </w:rPr>
            </w:pPr>
            <w:r>
              <w:rPr>
                <w:rFonts w:ascii="Arial" w:cs="Arial" w:eastAsia="Arial" w:hAnsi="Arial"/>
                <w:sz w:val="18"/>
                <w:szCs w:val="18"/>
                <w:color w:val="auto"/>
              </w:rPr>
              <w:t>purchased</w:t>
            </w:r>
            <w:r>
              <w:rPr>
                <w:rFonts w:ascii="Arial" w:cs="Arial" w:eastAsia="Arial" w:hAnsi="Arial"/>
                <w:sz w:val="25"/>
                <w:szCs w:val="25"/>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share</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 programs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the plans or programs</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2017 - April 30,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May 1, 2017 - May 31, 2017</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Pr>
          <w:p>
            <w:pPr>
              <w:ind w:left="174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2017 - June 30, 2017</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12"/>
        </w:trPr>
        <w:tc>
          <w:tcPr>
            <w:tcW w:w="36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ind w:left="660" w:right="780" w:hanging="314"/>
        <w:spacing w:after="0" w:line="222"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All of the 640 shares purchased during the three-month period ended June 30, 2017, were acquired from employees in connection with the settlement of income tax and related benefit withholding obligations arising from vesting of restricted share grants.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00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2"/>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Amended and Restated Certificate of Incorporation dated May 17, 2017 (incorporated by reference to Exhibit 3.1 to the Company's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Report on Form 8-K, filed with the Securities and Exchange Commission on May 18, 2017).</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Bylaws, effective May 17, 2017 (incorporated by reference to Exhibit 3.2 to the Company's Current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8-K, filed with the Securities and Exchange Commission on May 18, 2017).</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212121"/>
                <w:w w:val="94"/>
              </w:rPr>
              <w:t xml:space="preserve">Sixth </w:t>
            </w:r>
            <w:r>
              <w:rPr>
                <w:rFonts w:ascii="Arial" w:cs="Arial" w:eastAsia="Arial" w:hAnsi="Arial"/>
                <w:sz w:val="18"/>
                <w:szCs w:val="18"/>
                <w:color w:val="252525"/>
                <w:w w:val="94"/>
              </w:rPr>
              <w:t>Amendment</w:t>
            </w:r>
            <w:r>
              <w:rPr>
                <w:rFonts w:ascii="Arial" w:cs="Arial" w:eastAsia="Arial" w:hAnsi="Arial"/>
                <w:sz w:val="18"/>
                <w:szCs w:val="18"/>
                <w:color w:val="212121"/>
                <w:w w:val="94"/>
              </w:rPr>
              <w:t xml:space="preserve"> to </w:t>
            </w:r>
            <w:r>
              <w:rPr>
                <w:rFonts w:ascii="Arial" w:cs="Arial" w:eastAsia="Arial" w:hAnsi="Arial"/>
                <w:sz w:val="18"/>
                <w:szCs w:val="18"/>
                <w:color w:val="252525"/>
                <w:w w:val="94"/>
              </w:rPr>
              <w:t>Credit Agreement</w:t>
            </w:r>
            <w:r>
              <w:rPr>
                <w:rFonts w:ascii="Arial" w:cs="Arial" w:eastAsia="Arial" w:hAnsi="Arial"/>
                <w:sz w:val="18"/>
                <w:szCs w:val="18"/>
                <w:color w:val="212121"/>
                <w:w w:val="94"/>
              </w:rPr>
              <w:t>, dated as of May 5, 2017 (incorporated by reference to Exhibit 10.1 to the Company's Current</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12121"/>
              </w:rPr>
              <w:t>Report on Form 8-K, filed with the Securities and Exchange Commission on May 9, 2017).</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Amended and Restated QEP Resources, Inc. Deferred Compensation Wrap Plan, dated May 15, 2017.</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Amended and Restated QEP Resources, Inc. Deferred Compensation Plan for Directors, dated July 24, 2017.</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Certification signed by Charles B. Stanley, QEP Resources, Inc.’s Chief Executive Officer, pursuant to Section 302 of the Sarbanes-Oxley</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Certification signed by Richard J. Doleshek, QEP Resources, Inc.’s Chief Financial Officer, pursuant to Section 302 of the Sarbanes-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6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Certification signed by Charles B. Stanley and Richard J. Doleshek, QEP Resources, Inc.’s Chief Executive Officer and Chief Financial</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Officer, respectively, pursuant to Section 906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Schema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w:t>
      </w:r>
    </w:p>
    <w:p>
      <w:pPr>
        <w:spacing w:after="0" w:line="27" w:lineRule="exact"/>
        <w:rPr>
          <w:sz w:val="20"/>
          <w:szCs w:val="20"/>
          <w:color w:val="auto"/>
        </w:rPr>
      </w:pPr>
    </w:p>
    <w:p>
      <w:pPr>
        <w:ind w:left="340" w:right="5620" w:hanging="8"/>
        <w:spacing w:after="0" w:line="250"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 Filed herewith</w:t>
      </w:r>
    </w:p>
    <w:p>
      <w:pPr>
        <w:ind w:left="660" w:right="20" w:hanging="324"/>
        <w:spacing w:after="0" w:line="255" w:lineRule="auto"/>
        <w:rPr>
          <w:rFonts w:ascii="Arial" w:cs="Arial" w:eastAsia="Arial" w:hAnsi="Arial"/>
          <w:sz w:val="18"/>
          <w:szCs w:val="18"/>
          <w:color w:val="auto"/>
        </w:rPr>
      </w:pPr>
      <w:r>
        <w:rPr>
          <w:rFonts w:ascii="Arial" w:cs="Arial" w:eastAsia="Arial" w:hAnsi="Arial"/>
          <w:sz w:val="18"/>
          <w:szCs w:val="18"/>
          <w:color w:val="auto"/>
        </w:rPr>
        <w:t>** 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 liability under those sections.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280" w:type="dxa"/>
            <w:vAlign w:val="bottom"/>
            <w:gridSpan w:val="2"/>
          </w:tcPr>
          <w:p>
            <w:pPr>
              <w:spacing w:after="0"/>
              <w:rPr>
                <w:sz w:val="20"/>
                <w:szCs w:val="20"/>
                <w:color w:val="auto"/>
              </w:rPr>
            </w:pPr>
            <w:r>
              <w:rPr>
                <w:rFonts w:ascii="Arial" w:cs="Arial" w:eastAsia="Arial" w:hAnsi="Arial"/>
                <w:sz w:val="18"/>
                <w:szCs w:val="18"/>
                <w:color w:val="auto"/>
              </w:rPr>
              <w:t>July 26, 2017</w:t>
            </w:r>
          </w:p>
        </w:tc>
        <w:tc>
          <w:tcPr>
            <w:tcW w:w="26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96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280" w:type="dxa"/>
            <w:vAlign w:val="bottom"/>
            <w:gridSpan w:val="2"/>
          </w:tcPr>
          <w:p>
            <w:pPr>
              <w:spacing w:after="0"/>
              <w:rPr>
                <w:sz w:val="20"/>
                <w:szCs w:val="20"/>
                <w:color w:val="auto"/>
              </w:rPr>
            </w:pPr>
            <w:r>
              <w:rPr>
                <w:rFonts w:ascii="Arial" w:cs="Arial" w:eastAsia="Arial" w:hAnsi="Arial"/>
                <w:sz w:val="18"/>
                <w:szCs w:val="18"/>
                <w:color w:val="auto"/>
              </w:rPr>
              <w:t>July 26, 2017</w:t>
            </w:r>
          </w:p>
        </w:tc>
        <w:tc>
          <w:tcPr>
            <w:tcW w:w="26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96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QEP RESOURCES,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DEFERRED COMPENSATION WRAP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incorporating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Program</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401(k) Supplemental Program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Amended and Restated On May 15, 2017</w:t>
      </w:r>
    </w:p>
    <w:p>
      <w:pPr>
        <w:sectPr>
          <w:pgSz w:w="11900" w:h="16838" w:orient="portrait"/>
          <w:cols w:equalWidth="0" w:num="1">
            <w:col w:w="9019"/>
          </w:cols>
          <w:pgMar w:left="1440" w:top="1409"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COMPENSATION WRAP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Purpose</w:t>
      </w:r>
      <w:r>
        <w:rPr>
          <w:rFonts w:ascii="Arial" w:cs="Arial" w:eastAsia="Arial" w:hAnsi="Arial"/>
          <w:sz w:val="21"/>
          <w:szCs w:val="21"/>
          <w:color w:val="auto"/>
        </w:rPr>
        <w:t>. QEP Resources, Inc. hereby amends this QEP Resources, Inc. Deferred Compensation Wrap Plan (the “Plan” or “Wrap Plan”). This Plan was created in order to provide specified benefits to a select group of management and highly compensated employees and to allow such employees to defer the receipt of compensation. The Plan consists of a common Deferred Compensation Wrap Plan containing definitions and other operative provisions and two separate component Programs - the Deferred Compensation Program and the 401(k) Supplemental Program.</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Status of Plan</w:t>
      </w:r>
      <w:r>
        <w:rPr>
          <w:rFonts w:ascii="Arial" w:cs="Arial" w:eastAsia="Arial" w:hAnsi="Arial"/>
          <w:sz w:val="19"/>
          <w:szCs w:val="19"/>
          <w:color w:val="auto"/>
        </w:rPr>
        <w:t>. This Plan and its component Programs are intended to constitute two unfunded, nonqualified deferred compensation arrangements for the purpose of providing deferred compensation to “a select group of management or highly-compensated employees” within the meaning of Sections 201(2), 301(a)(3), and 401(a)(1) of the Employee Retirement Income Security Act of 1974, as amended. The Plan and its component Programs are also intended to comply with Section 409A of the Internal Revenue Code of 1986, as amended, and the regulations and guidance promulgated thereunder. Finally, each of the component Programs is intended to qualify as a separate “plan, program, or arrangement” for purposes of 4 U.S.C. 114, thus making payments under the 401(k) Supplemental Program subject to state income tax solely of the state in which the recipient of the payment resides or is domiciled at the time payment is made. Notwithstanding any other provision herein, this Plan and its component Programs shall be interpreted, operated and administered in a manner consistent with these intentions.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purposes of the Plan and each component Program established under the Plan, the following terms or phrases shall have the following indicated meanings, unless the context clearly requires otherwise: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401(k) Supplemental Program</w:t>
      </w:r>
      <w:r>
        <w:rPr>
          <w:rFonts w:ascii="Arial" w:cs="Arial" w:eastAsia="Arial" w:hAnsi="Arial"/>
          <w:sz w:val="19"/>
          <w:szCs w:val="19"/>
          <w:color w:val="auto"/>
        </w:rPr>
        <w:t>” means the component benefit program of this Plan attached hereto as Exhibit B.</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Account</w:t>
      </w:r>
      <w:r>
        <w:rPr>
          <w:rFonts w:ascii="Arial" w:cs="Arial" w:eastAsia="Arial" w:hAnsi="Arial"/>
          <w:sz w:val="22"/>
          <w:szCs w:val="22"/>
          <w:color w:val="auto"/>
        </w:rPr>
        <w:t>” or “</w:t>
      </w:r>
      <w:r>
        <w:rPr>
          <w:rFonts w:ascii="Arial" w:cs="Arial" w:eastAsia="Arial" w:hAnsi="Arial"/>
          <w:sz w:val="22"/>
          <w:szCs w:val="22"/>
          <w:u w:val="single" w:color="auto"/>
          <w:color w:val="auto"/>
        </w:rPr>
        <w:t>Account Balance</w:t>
      </w:r>
      <w:r>
        <w:rPr>
          <w:rFonts w:ascii="Arial" w:cs="Arial" w:eastAsia="Arial" w:hAnsi="Arial"/>
          <w:sz w:val="22"/>
          <w:szCs w:val="22"/>
          <w:color w:val="auto"/>
        </w:rPr>
        <w:t>” means, for each Participant, the account or accounts established for his or her benefit under each Program, which records the credit on the records of the Employer equal to the amounts set aside under the Program and the deemed earnings, if any, credited to such account. The Account Balance shall be a bookkeeping entry only and shall be used solely as a device for the measurement and determination of the amounts to be paid to a Participant, or his or her designated Beneficiary, pursuant to this Plan and its component Programs.</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2.3 “</w:t>
      </w:r>
      <w:r>
        <w:rPr>
          <w:rFonts w:ascii="Arial" w:cs="Arial" w:eastAsia="Arial" w:hAnsi="Arial"/>
          <w:sz w:val="21"/>
          <w:szCs w:val="21"/>
          <w:u w:val="single" w:color="auto"/>
          <w:color w:val="auto"/>
        </w:rPr>
        <w:t>Affiliated Company</w:t>
      </w:r>
      <w:r>
        <w:rPr>
          <w:rFonts w:ascii="Arial" w:cs="Arial" w:eastAsia="Arial" w:hAnsi="Arial"/>
          <w:sz w:val="21"/>
          <w:szCs w:val="21"/>
          <w:color w:val="auto"/>
        </w:rPr>
        <w:t>” means any entity that is treated as the same employer as the Company under Sections 414(b), (c), (m), or (o) of the Code, any entity required to be aggregated with the Company pursuant to regulations adopted under Code Section 409A, or any entity otherwise designated as an Affiliated Company by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25" w:right="239" w:bottom="1440" w:gutter="0" w:footer="0" w:header="0"/>
        </w:sectPr>
      </w:pPr>
    </w:p>
    <w:bookmarkStart w:id="52" w:name="page53"/>
    <w:bookmarkEnd w:id="52"/>
    <w:p>
      <w:pPr>
        <w:jc w:val="both"/>
        <w:ind w:firstLine="648"/>
        <w:spacing w:after="0" w:line="358" w:lineRule="auto"/>
        <w:rPr>
          <w:sz w:val="20"/>
          <w:szCs w:val="20"/>
          <w:color w:val="auto"/>
        </w:rPr>
      </w:pPr>
      <w:r>
        <w:rPr>
          <w:rFonts w:ascii="Arial" w:cs="Arial" w:eastAsia="Arial" w:hAnsi="Arial"/>
          <w:sz w:val="19"/>
          <w:szCs w:val="19"/>
          <w:color w:val="auto"/>
        </w:rPr>
        <w:t>2.4 “</w:t>
      </w:r>
      <w:r>
        <w:rPr>
          <w:rFonts w:ascii="Arial" w:cs="Arial" w:eastAsia="Arial" w:hAnsi="Arial"/>
          <w:sz w:val="19"/>
          <w:szCs w:val="19"/>
          <w:u w:val="single" w:color="auto"/>
          <w:color w:val="auto"/>
        </w:rPr>
        <w:t>Beneficiary</w:t>
      </w:r>
      <w:r>
        <w:rPr>
          <w:rFonts w:ascii="Arial" w:cs="Arial" w:eastAsia="Arial" w:hAnsi="Arial"/>
          <w:sz w:val="19"/>
          <w:szCs w:val="19"/>
          <w:color w:val="auto"/>
        </w:rPr>
        <w:t>” means that person or persons who become entitled to receive a distribution of benefits under the component Programs in the event of the death of a Participant prior to the distribution of all benefits to which he or she is entitled.</w:t>
      </w:r>
    </w:p>
    <w:p>
      <w:pPr>
        <w:spacing w:after="0" w:line="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2.6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if: (i) any individual, entity, or group (within the meaning of Section 13(d)(3) or 14(d)(2) of the Securities Exchange Act of 1934 (the “Exchange Act”))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there is consummated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before any such payment can be made.</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such other person or entity to which any responsibilities may be delegated by such Committee.</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no par value common stock of the Company.</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Company</w:t>
      </w:r>
      <w:r>
        <w:rPr>
          <w:rFonts w:ascii="Arial" w:cs="Arial" w:eastAsia="Arial" w:hAnsi="Arial"/>
          <w:sz w:val="22"/>
          <w:szCs w:val="22"/>
          <w:color w:val="auto"/>
        </w:rPr>
        <w:t>” means QEP Resources, Inc., a corporation organized and existing under the laws of the State of Delaware, or its successor or successors.</w:t>
      </w:r>
    </w:p>
    <w:p>
      <w:pPr>
        <w:spacing w:after="0" w:line="16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means: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53" w:name="page54"/>
    <w:bookmarkEnd w:id="53"/>
    <w:p>
      <w:pPr>
        <w:jc w:val="both"/>
        <w:ind w:firstLine="1305"/>
        <w:spacing w:after="0" w:line="260" w:lineRule="auto"/>
        <w:tabs>
          <w:tab w:leader="none" w:pos="173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Deferred Compensation Program</w:t>
      </w:r>
      <w:r>
        <w:rPr>
          <w:rFonts w:ascii="Arial" w:cs="Arial" w:eastAsia="Arial" w:hAnsi="Arial"/>
          <w:sz w:val="21"/>
          <w:szCs w:val="21"/>
          <w:color w:val="auto"/>
        </w:rPr>
        <w:t>. For purposes of the Deferred Compensation Program, the total earnings paid by an Employer to an Employee and properly reportable on IRS Form W-2 for an applicable Plan Year (including payments under annual incentive compensation plans) and all amounts that are not included in such Employee’s gross income for federal income tax purposes solely on account of his or her election to have compensation reduced pursuant to the Plan, a qualified cash or deferred arrangement described in Section 401(k) of the Code, a cafeteria plan as defined in Section 125 of the Code, or a qualified transportation fringe benefit plan as defined in Section 132(f)(4) of the Code, but excluding the following forms of compensation, unless otherwise determined by the Committee: the Employer’s cost for any public or private employee benefit plan, any income recognized by the Employee as a result of exercising stock options, moving expenses, loan forgiveness, welfare benefits, and severance payments.</w:t>
      </w:r>
    </w:p>
    <w:p>
      <w:pPr>
        <w:spacing w:after="0" w:line="184" w:lineRule="exact"/>
        <w:rPr>
          <w:rFonts w:ascii="Arial" w:cs="Arial" w:eastAsia="Arial" w:hAnsi="Arial"/>
          <w:sz w:val="21"/>
          <w:szCs w:val="21"/>
          <w:color w:val="auto"/>
        </w:rPr>
      </w:pPr>
    </w:p>
    <w:p>
      <w:pPr>
        <w:jc w:val="both"/>
        <w:ind w:firstLine="1305"/>
        <w:spacing w:after="0" w:line="270" w:lineRule="auto"/>
        <w:tabs>
          <w:tab w:leader="none" w:pos="172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401(k) Supplemental Program</w:t>
      </w:r>
      <w:r>
        <w:rPr>
          <w:rFonts w:ascii="Arial" w:cs="Arial" w:eastAsia="Arial" w:hAnsi="Arial"/>
          <w:sz w:val="21"/>
          <w:szCs w:val="21"/>
          <w:color w:val="auto"/>
        </w:rPr>
        <w:t>. For purposes of the 401(k) Supplemental Program, the same meaning as Benefit Compensation as defined in the Investment Plan, but (i) without regard to the Compensation Limit and (ii) including all amounts that are not included in such Employee’s gross income for federal income tax purposes solely on account of his or her election to make Deferral Contributions to the 401(k) Supplemental Program.</w:t>
      </w:r>
    </w:p>
    <w:p>
      <w:pPr>
        <w:spacing w:after="0" w:line="16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2.12 “</w:t>
      </w:r>
      <w:r>
        <w:rPr>
          <w:rFonts w:ascii="Arial" w:cs="Arial" w:eastAsia="Arial" w:hAnsi="Arial"/>
          <w:sz w:val="19"/>
          <w:szCs w:val="19"/>
          <w:u w:val="single" w:color="auto"/>
          <w:color w:val="auto"/>
        </w:rPr>
        <w:t>Compensation Limit</w:t>
      </w:r>
      <w:r>
        <w:rPr>
          <w:rFonts w:ascii="Arial" w:cs="Arial" w:eastAsia="Arial" w:hAnsi="Arial"/>
          <w:sz w:val="19"/>
          <w:szCs w:val="19"/>
          <w:color w:val="auto"/>
        </w:rPr>
        <w:t>” means the annual limit of compensation that may be taken into account for purposes of providing benefits under a tax-qualified retirement plan pursuant to Section 401(a)(17) of the Code, as adjusted from time to time.</w:t>
      </w:r>
    </w:p>
    <w:p>
      <w:pPr>
        <w:spacing w:after="0" w:line="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Deferral Contributions</w:t>
      </w:r>
      <w:r>
        <w:rPr>
          <w:rFonts w:ascii="Arial" w:cs="Arial" w:eastAsia="Arial" w:hAnsi="Arial"/>
          <w:sz w:val="22"/>
          <w:szCs w:val="22"/>
          <w:color w:val="auto"/>
        </w:rPr>
        <w:t>” means that portion of a Participant’s Compensation that is deferred by a Participant pursuant to the Programs.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Deferred Compensation Program</w:t>
      </w:r>
      <w:r>
        <w:rPr>
          <w:rFonts w:ascii="Arial" w:cs="Arial" w:eastAsia="Arial" w:hAnsi="Arial"/>
          <w:sz w:val="19"/>
          <w:szCs w:val="19"/>
          <w:color w:val="auto"/>
        </w:rPr>
        <w:t>” means the component benefit program of this Plan attached hereto as Exhibit A.</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u w:val="single" w:color="auto"/>
          <w:color w:val="auto"/>
        </w:rPr>
        <w:t>Deferred Compensation Sub-Account</w:t>
      </w:r>
      <w:r>
        <w:rPr>
          <w:rFonts w:ascii="Arial" w:cs="Arial" w:eastAsia="Arial" w:hAnsi="Arial"/>
          <w:sz w:val="22"/>
          <w:szCs w:val="22"/>
          <w:color w:val="auto"/>
        </w:rPr>
        <w:t>” means the sub-account described in Section 5.1 of the Deferred Compensation Program.</w:t>
      </w:r>
    </w:p>
    <w:p>
      <w:pPr>
        <w:spacing w:after="0" w:line="16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2.16 “</w:t>
      </w:r>
      <w:r>
        <w:rPr>
          <w:rFonts w:ascii="Arial" w:cs="Arial" w:eastAsia="Arial" w:hAnsi="Arial"/>
          <w:sz w:val="19"/>
          <w:szCs w:val="19"/>
          <w:u w:val="single" w:color="auto"/>
          <w:color w:val="auto"/>
        </w:rPr>
        <w:t>Disability</w:t>
      </w:r>
      <w:r>
        <w:rPr>
          <w:rFonts w:ascii="Arial" w:cs="Arial" w:eastAsia="Arial" w:hAnsi="Arial"/>
          <w:sz w:val="19"/>
          <w:szCs w:val="19"/>
          <w:color w:val="auto"/>
        </w:rPr>
        <w:t>” means a condition that renders a Participant unable to engage in any substantial gainful activity by reason of any medically determinable physical or mental impairment which can be expected to result in death or can be expected to last for a continuous period of not less than 12 months, as described in Treas. Reg. Section 1.409A-3(i)(4)(i)(A). A Participant shall not be considered to be disabled unless the Participant furnishes proof of the existence of such disability in such form and manner as may be required by regulations promulgated under, or applicable to, Code Section 409A.</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Employee who meets the eligibility requirements set forth in the applicable Program.</w:t>
      </w:r>
    </w:p>
    <w:p>
      <w:pPr>
        <w:spacing w:after="0" w:line="23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Employee</w:t>
      </w:r>
      <w:r>
        <w:rPr>
          <w:rFonts w:ascii="Arial" w:cs="Arial" w:eastAsia="Arial" w:hAnsi="Arial"/>
          <w:sz w:val="19"/>
          <w:szCs w:val="19"/>
          <w:color w:val="auto"/>
        </w:rPr>
        <w:t>” means any individual who is among a select group of management or highly compensated employees (as determined in accordance with Section 3401(c) of the Code and the Treasury Regulations thereunder) of an Employer.</w:t>
      </w:r>
    </w:p>
    <w:p>
      <w:pPr>
        <w:spacing w:after="0" w:line="9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Employer</w:t>
      </w:r>
      <w:r>
        <w:rPr>
          <w:rFonts w:ascii="Arial" w:cs="Arial" w:eastAsia="Arial" w:hAnsi="Arial"/>
          <w:sz w:val="19"/>
          <w:szCs w:val="19"/>
          <w:color w:val="auto"/>
        </w:rPr>
        <w:t>” means the Company and each Affiliated Company that consents to the adoption of the Plan.</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shall mean the Employee Retirement Income Security Act of 1974, as amended.</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the closing benchmark price of the Company’s Common Stock as reported on the composite tape of the New York Stock Exchange for any given valuation date, or if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Common Stock shall not have been traded on such date, the closing price on the next preceding day on which a sale occurred.</w:t>
      </w:r>
    </w:p>
    <w:p>
      <w:pPr>
        <w:spacing w:after="0" w:line="25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Investment Plan</w:t>
      </w:r>
      <w:r>
        <w:rPr>
          <w:rFonts w:ascii="Arial" w:cs="Arial" w:eastAsia="Arial" w:hAnsi="Arial"/>
          <w:sz w:val="22"/>
          <w:szCs w:val="22"/>
          <w:color w:val="auto"/>
        </w:rPr>
        <w:t>” means the QEP Resources, Inc. Employee Investment Plan, as amended from time to time, or any successor plan.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Matching Contributions</w:t>
      </w:r>
      <w:r>
        <w:rPr>
          <w:rFonts w:ascii="Arial" w:cs="Arial" w:eastAsia="Arial" w:hAnsi="Arial"/>
          <w:sz w:val="22"/>
          <w:szCs w:val="22"/>
          <w:color w:val="auto"/>
        </w:rPr>
        <w:t>” means Employer contribution amounts credited to Participants under the Deferred Compensation Program and 401(k) Supplemental Program in addition to (and made on account of) the Participants’ Deferral Contributions under such Programs.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Matching Contribution Sub-Account</w:t>
      </w:r>
      <w:r>
        <w:rPr>
          <w:rFonts w:ascii="Arial" w:cs="Arial" w:eastAsia="Arial" w:hAnsi="Arial"/>
          <w:sz w:val="22"/>
          <w:szCs w:val="22"/>
          <w:color w:val="auto"/>
        </w:rPr>
        <w:t>” means the sub-account described in Section 5.1 of the Deferred Compensation Program.</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Participant</w:t>
      </w:r>
      <w:r>
        <w:rPr>
          <w:rFonts w:ascii="Arial" w:cs="Arial" w:eastAsia="Arial" w:hAnsi="Arial"/>
          <w:sz w:val="22"/>
          <w:szCs w:val="22"/>
          <w:color w:val="auto"/>
        </w:rPr>
        <w:t>” means any individual who has commenced participation in the Plan and any of its component Programs in accordance with Article 3.</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Plan</w:t>
      </w:r>
      <w:r>
        <w:rPr>
          <w:rFonts w:ascii="Arial" w:cs="Arial" w:eastAsia="Arial" w:hAnsi="Arial"/>
          <w:sz w:val="22"/>
          <w:szCs w:val="22"/>
          <w:color w:val="auto"/>
        </w:rPr>
        <w:t>” or “</w:t>
      </w:r>
      <w:r>
        <w:rPr>
          <w:rFonts w:ascii="Arial" w:cs="Arial" w:eastAsia="Arial" w:hAnsi="Arial"/>
          <w:sz w:val="22"/>
          <w:szCs w:val="22"/>
          <w:u w:val="single" w:color="auto"/>
          <w:color w:val="auto"/>
        </w:rPr>
        <w:t>Wrap Plan</w:t>
      </w:r>
      <w:r>
        <w:rPr>
          <w:rFonts w:ascii="Arial" w:cs="Arial" w:eastAsia="Arial" w:hAnsi="Arial"/>
          <w:sz w:val="22"/>
          <w:szCs w:val="22"/>
          <w:color w:val="auto"/>
        </w:rPr>
        <w:t>” means this QEP Resources, Inc. Deferred Compensation Wrap Plan, as amended or restated from time to time.</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Program</w:t>
      </w:r>
      <w:r>
        <w:rPr>
          <w:rFonts w:ascii="Arial" w:cs="Arial" w:eastAsia="Arial" w:hAnsi="Arial"/>
          <w:sz w:val="22"/>
          <w:szCs w:val="22"/>
          <w:color w:val="auto"/>
        </w:rPr>
        <w:t>” means the Deferred Compensation Program and the 401(k) Supplemental Program, or either of them, as the context may require.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2.29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a Participant’s termination or deemed termination from employment with the Employer. For purposes of determining whether a Separation from Service has occurred, the employment relationship is treated as continuing intact while the Participant is on military leave, sick leave or other bona fide leave of absence if the period of such leave does not exceed six months, or if longer, so long as the Participant retains a right to reemployment with his Employer under an applicable statute or by contract. For this purpose, a leave of absence constitutes a bona fide leave of absence only if there is a reasonable expectation that the Participant will return to perform services for the Employer. If the period of leave exceeds six months and the Participant does not retain a right to reemployment under an applicable statute or by contract, the employment relationship will be deemed to terminate on the first date immediately following such six-month period. For purposes of this Plan, a Separation from Service occurs at the date as of which the facts and circumstances indicate either that, after such date: (i) the Participant and Employer reasonably anticipate the Participant will perform no further services for the Company or an Affiliate (whether as an employee or an independent contractor), or (ii) that the level of bona fide services the Participant will perform for the Company or any Affiliate (whether as an employee or independent contractor) will permanently decrease to no more than 20 percent of the average level of bona fide services performed over the immediately preceding 36-month period or, if the Participant has been providing services to the Company or an Affiliate for less than 36 months, the full period over which the Participant has rendered services, whether as an employee or independent contractor. The determination of whether a Separation from Service has occurred shall be governed by the provisions of Treasury Regulation section 1.409A-1, as amended, taking into account the objective facts and circumstances with respect to the level of bona fide services performed by the Participant after a certain date.</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means a severe financial hardship to a Participant resulting from (a) an illness or accident of the Participant, the Participant’s spouse, Beneficiary or dependant (within the meaning of section 152 of the Code, without regard to section 152(b)(1), (b)(2) and (d)(1)(B)); (b) the loss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55" w:name="page56"/>
    <w:bookmarkEnd w:id="55"/>
    <w:p>
      <w:pPr>
        <w:jc w:val="both"/>
        <w:ind w:right="20"/>
        <w:spacing w:after="0" w:line="263" w:lineRule="auto"/>
        <w:rPr>
          <w:sz w:val="20"/>
          <w:szCs w:val="20"/>
          <w:color w:val="auto"/>
        </w:rPr>
      </w:pPr>
      <w:r>
        <w:rPr>
          <w:rFonts w:ascii="Arial" w:cs="Arial" w:eastAsia="Arial" w:hAnsi="Arial"/>
          <w:sz w:val="22"/>
          <w:szCs w:val="22"/>
          <w:color w:val="auto"/>
        </w:rPr>
        <w:t>of the Participant’s property due to casualty; or (c) other similar extraordinary and unforeseeable circumstances arising as a result of events beyond the control of the Participant.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ELIGIBILITY; PARTICIPATION</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Eligibility</w:t>
      </w:r>
      <w:r>
        <w:rPr>
          <w:rFonts w:ascii="Arial" w:cs="Arial" w:eastAsia="Arial" w:hAnsi="Arial"/>
          <w:sz w:val="19"/>
          <w:szCs w:val="19"/>
          <w:color w:val="auto"/>
        </w:rPr>
        <w:t>. Eligibility to participate in the Plan shall be determined for each program as provided in Article 2 thereof.</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Enrollment and Commencement of Deferrals</w:t>
      </w:r>
      <w:r>
        <w:rPr>
          <w:rFonts w:ascii="Arial" w:cs="Arial" w:eastAsia="Arial" w:hAnsi="Arial"/>
          <w:sz w:val="22"/>
          <w:szCs w:val="22"/>
          <w:color w:val="auto"/>
        </w:rPr>
        <w:t>. Except as provided below with regard to automatic enrollment in the 401(k) Supplemental Program, each Eligible Employee who wishes to participate in the Plan for a Plan Year must make an irrevocable election to make Deferral Contributions for the Plan Year by timely completing, executing, and returning to the Committee such election forms or other enrollment materials, including electronic enrollment, as the Committee requires on or prior to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prior Plan Year, or such other earlier date as the Committee establishes in its sole and absolute discretion.</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an Eligible Employee fails to timely complete, execute and return such election forms or other enrollment materials, or if the Eligible Employee is not eligible to make Deferral Contributions but is eligible to receive Transition Credits under the 401(k) Supplemental Program, the Eligible Employee shall be automatically enrolled in the 401(k) Supplemental Program as provided in Section 4.1(a), but shall not participate in the Deferred Compensation Program until the first day of the first Plan Year beginning after the date on which he or she first becomes eligible and timely completes, executes and returns such election forms or other enrollment materials to the Committee.</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Failure of Eligibility</w:t>
      </w:r>
      <w:r>
        <w:rPr>
          <w:rFonts w:ascii="Arial" w:cs="Arial" w:eastAsia="Arial" w:hAnsi="Arial"/>
          <w:sz w:val="22"/>
          <w:szCs w:val="22"/>
          <w:color w:val="auto"/>
        </w:rPr>
        <w:t>. If the Committee determines, in its sole and absolute discretion, that any Participant should no longer qualify to participate, the Participant shall cease to be an active Participant in the Plan and future contributions to the Plan made by or on behalf of the Participant shall cease as of the date of such determination by the Committee. The Committee’s determination hereunder shall be final and binding on all persons.</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ELECTIONS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Deferral Elections</w:t>
      </w:r>
      <w:r>
        <w:rPr>
          <w:rFonts w:ascii="Arial" w:cs="Arial" w:eastAsia="Arial" w:hAnsi="Arial"/>
          <w:sz w:val="22"/>
          <w:szCs w:val="22"/>
          <w:color w:val="auto"/>
        </w:rPr>
        <w:t>. Any deferral election under the Plan and its component Programs shall be made in accordance with Section 409A(a)(4)(B) of the Code and the regulations thereunder.</w:t>
      </w:r>
    </w:p>
    <w:p>
      <w:pPr>
        <w:spacing w:after="0" w:line="161" w:lineRule="exact"/>
        <w:rPr>
          <w:sz w:val="20"/>
          <w:szCs w:val="20"/>
          <w:color w:val="auto"/>
        </w:rPr>
      </w:pPr>
    </w:p>
    <w:p>
      <w:pPr>
        <w:jc w:val="both"/>
        <w:ind w:firstLine="1305"/>
        <w:spacing w:after="0" w:line="289" w:lineRule="auto"/>
        <w:tabs>
          <w:tab w:leader="none" w:pos="177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First Year of Plan Participation</w:t>
      </w:r>
      <w:r>
        <w:rPr>
          <w:rFonts w:ascii="Arial" w:cs="Arial" w:eastAsia="Arial" w:hAnsi="Arial"/>
          <w:sz w:val="19"/>
          <w:szCs w:val="19"/>
          <w:color w:val="auto"/>
        </w:rPr>
        <w:t>. In connection with a Participant’s enrollment in the Plan pursuant to Section 3.2, the Participant, unless he or she is a Participant who is eligible only to receive Transition Credits under the 401(k) Supplemental Program, shall make an irrevocable election to defer Compensation in accordance with the terms of the component Programs for which he or she is eligible, which election shall apply to the Plan Year in which the Participant commences participation. A Participant may elect to defer Compensation only with respect to services performed for periods following the date of such election. The Participant’s initial deferral election under this Section 4.1(a) shall continue to apply for all succeeding Plan Years unless and until revoked or modified pursuant to Section 4.1(b), below. If the Participant fails to timely complete, execute and return such forms or other enrollment materials as required by the Committee in accordance with Section 3.2, then the Participant shall be deemed to have elected to make the Deferral Contributions permitted under the 401(k) Supplemental Program for the Plan Year in which the Participant commences participation and shall not be permitted to make any Deferral Contributions under the Deferred Compensation Program for such Plan Year.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56" w:name="page57"/>
    <w:bookmarkEnd w:id="56"/>
    <w:p>
      <w:pPr>
        <w:jc w:val="both"/>
        <w:ind w:firstLine="1305"/>
        <w:spacing w:after="0" w:line="251" w:lineRule="auto"/>
        <w:tabs>
          <w:tab w:leader="none" w:pos="1972"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Subsequent Plan Years</w:t>
      </w:r>
      <w:r>
        <w:rPr>
          <w:rFonts w:ascii="Arial" w:cs="Arial" w:eastAsia="Arial" w:hAnsi="Arial"/>
          <w:sz w:val="21"/>
          <w:szCs w:val="21"/>
          <w:color w:val="auto"/>
        </w:rPr>
        <w:t>. For each succeeding Plan Year, the Participant, if eligible to make Deferral Contributions, may, prior to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immediately preceding Plan Year (or such earlier deadline as is established by the Committee in its sole discretion) make an irrevocable election to initially defer Compensation under the Deferred Compensation Program for succeeding Plan Years, or to modify or revoke his or her existing elections to defer Compensation under either or both of the Programs for succeeding Plan Years. All such elections shall be made in accordance with the terms of the Programs and shall remain in effect for all succeeding Plan Years unless timely revoked or modified by the Participant in accordance with this Section. Any such modification shall apply prospectively only and shall not apply to Compensation previously deferred under either or both of the Programs.</w:t>
      </w:r>
    </w:p>
    <w:p>
      <w:pPr>
        <w:spacing w:after="0" w:line="75" w:lineRule="exact"/>
        <w:rPr>
          <w:rFonts w:ascii="Arial" w:cs="Arial" w:eastAsia="Arial" w:hAnsi="Arial"/>
          <w:sz w:val="21"/>
          <w:szCs w:val="21"/>
          <w:color w:val="auto"/>
        </w:rPr>
      </w:pPr>
    </w:p>
    <w:p>
      <w:pPr>
        <w:jc w:val="both"/>
        <w:ind w:firstLine="1305"/>
        <w:spacing w:after="0" w:line="262" w:lineRule="auto"/>
        <w:tabs>
          <w:tab w:leader="none" w:pos="1797"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Performance-Based Compensation</w:t>
      </w:r>
      <w:r>
        <w:rPr>
          <w:rFonts w:ascii="Arial" w:cs="Arial" w:eastAsia="Arial" w:hAnsi="Arial"/>
          <w:sz w:val="21"/>
          <w:szCs w:val="21"/>
          <w:b w:val="1"/>
          <w:bCs w:val="1"/>
          <w:color w:val="auto"/>
        </w:rPr>
        <w:t>.</w:t>
      </w:r>
      <w:r>
        <w:rPr>
          <w:rFonts w:ascii="Arial" w:cs="Arial" w:eastAsia="Arial" w:hAnsi="Arial"/>
          <w:sz w:val="21"/>
          <w:szCs w:val="21"/>
          <w:color w:val="auto"/>
        </w:rPr>
        <w:t xml:space="preserve"> The Committee may, in its sole discretion, determine that an irrevocable deferral election pertaining to Compensation that constitutes “performance-based compensation” (as defined in Treas. Reg. Section 1.409A-1(e)) may be made no later than six (6) months before the end of the performance service period, provided that the Participant performs services continuously from the later of the beginning of the performance period or the date upon which the performance criteria are established through the date upon which the Participant makes a deferral election for such compensation; provided, further that in no event shall an election to defer performance-based compensation be permitted after such compensation has become readily ascertainable. Any deferral election under this Section 4.1(c) shall be made in accordance with Treas. Reg. Section 1.409A-2(a)(8).</w:t>
      </w:r>
    </w:p>
    <w:p>
      <w:pPr>
        <w:spacing w:after="0" w:line="173" w:lineRule="exact"/>
        <w:rPr>
          <w:rFonts w:ascii="Arial" w:cs="Arial" w:eastAsia="Arial" w:hAnsi="Arial"/>
          <w:sz w:val="21"/>
          <w:szCs w:val="21"/>
          <w:color w:val="auto"/>
        </w:rPr>
      </w:pPr>
    </w:p>
    <w:p>
      <w:pPr>
        <w:ind w:left="1740" w:hanging="435"/>
        <w:spacing w:after="0"/>
        <w:tabs>
          <w:tab w:leader="none" w:pos="174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Compensation Subject to Risk of Forfeiture</w:t>
      </w:r>
      <w:r>
        <w:rPr>
          <w:rFonts w:ascii="Arial" w:cs="Arial" w:eastAsia="Arial" w:hAnsi="Arial"/>
          <w:sz w:val="22"/>
          <w:szCs w:val="22"/>
          <w:b w:val="1"/>
          <w:bCs w:val="1"/>
          <w:color w:val="auto"/>
        </w:rPr>
        <w:t>.</w:t>
      </w:r>
      <w:r>
        <w:rPr>
          <w:rFonts w:ascii="Arial" w:cs="Arial" w:eastAsia="Arial" w:hAnsi="Arial"/>
          <w:sz w:val="22"/>
          <w:szCs w:val="22"/>
          <w:color w:val="auto"/>
        </w:rPr>
        <w:t xml:space="preserve"> With respect to</w:t>
      </w:r>
    </w:p>
    <w:p>
      <w:pPr>
        <w:spacing w:after="0" w:line="2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Compensation (i) to which a Participant has a legally binding right to payment in a subsequent year, and (ii) that is subject to a forfeiture condition requiring the Participant’s continued services for a period of at least twelve (12) months from the date the Participant obtains the legally binding right to such payment, the Committee may, in its sole discretion, determine that an irrevocable election to defer such Compensation may be made no later than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after the Participant obtains the legally binding right to the Compensation, provided that the election is made at least twelve (12) months in advance of the earliest date at which the forfeiture condition could lapse. Any deferral election under this Section 4.1(d) shall be made in accordance with Treas. Reg. Section 1.409A-2(a)(5).</w:t>
      </w:r>
    </w:p>
    <w:p>
      <w:pPr>
        <w:spacing w:after="0" w:line="199" w:lineRule="exact"/>
        <w:rPr>
          <w:sz w:val="20"/>
          <w:szCs w:val="20"/>
          <w:color w:val="auto"/>
        </w:rPr>
      </w:pPr>
    </w:p>
    <w:p>
      <w:pPr>
        <w:jc w:val="both"/>
        <w:ind w:right="20" w:firstLine="1297"/>
        <w:spacing w:after="0" w:line="297" w:lineRule="auto"/>
        <w:rPr>
          <w:sz w:val="20"/>
          <w:szCs w:val="20"/>
          <w:color w:val="auto"/>
        </w:rPr>
      </w:pPr>
      <w:r>
        <w:rPr>
          <w:rFonts w:ascii="Arial" w:cs="Arial" w:eastAsia="Arial" w:hAnsi="Arial"/>
          <w:sz w:val="19"/>
          <w:szCs w:val="19"/>
          <w:color w:val="auto"/>
        </w:rPr>
        <w:t>Any election(s) made in accordance with this Section shall be irrevocable; provided, however, that if the Committee permits Participants to make a deferral election for “performance-based compensation” or “compensation subject to a substantial risk of forfeiture” by the deadline(s) described above, it may, in its sole discretion, and in accordance with Code Section 409A and related Treasury guidance or regulations, permit a Participant to subsequently change his or her elections for such Compensation no later than the deadlines established by the Committee pursuant to Section 4.1(c) or 4.1(d), above.</w:t>
      </w:r>
    </w:p>
    <w:p>
      <w:pPr>
        <w:spacing w:after="0" w:line="147" w:lineRule="exact"/>
        <w:rPr>
          <w:sz w:val="20"/>
          <w:szCs w:val="20"/>
          <w:color w:val="auto"/>
        </w:rPr>
      </w:pPr>
    </w:p>
    <w:p>
      <w:pPr>
        <w:ind w:left="660"/>
        <w:spacing w:after="0"/>
        <w:tabs>
          <w:tab w:leader="none" w:pos="1160" w:val="left"/>
          <w:tab w:leader="none" w:pos="53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u w:val="single" w:color="auto"/>
          <w:color w:val="auto"/>
        </w:rPr>
        <w:t>Elections as to Time and Form of Payment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In connection with a Participant’s enrollment in the Plan pursuant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3.2, the Participant shall also make the following elections with respect to each Program under the Plan:</w:t>
      </w:r>
    </w:p>
    <w:p>
      <w:pPr>
        <w:spacing w:after="0" w:line="107" w:lineRule="exact"/>
        <w:rPr>
          <w:sz w:val="20"/>
          <w:szCs w:val="20"/>
          <w:color w:val="auto"/>
        </w:rPr>
      </w:pPr>
    </w:p>
    <w:p>
      <w:pPr>
        <w:jc w:val="both"/>
        <w:ind w:firstLine="1305"/>
        <w:spacing w:after="0" w:line="260" w:lineRule="auto"/>
        <w:tabs>
          <w:tab w:leader="none" w:pos="1743"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Deferred Compensation Program</w:t>
      </w:r>
      <w:r>
        <w:rPr>
          <w:rFonts w:ascii="Arial" w:cs="Arial" w:eastAsia="Arial" w:hAnsi="Arial"/>
          <w:sz w:val="21"/>
          <w:szCs w:val="21"/>
          <w:color w:val="auto"/>
        </w:rPr>
        <w:t>. If eligible to participate in the Deferred Compensation Program for the Plan Year in which the Participant commences participation under the Plan, the Participant shall make an irrevocable election (from the options available under Article 6 below) as to the time and form of payment of all deferrals (in the form of Deferral and/or Matching Contributions) credited to his or her Account under the Deferred Compensation Program for such Plan Year (including earnings thereon). If the Participant fails to make such election, or such election does not meet the requirements of Code Section 409A and related Treasury guidance or regulations, the Participant shall be deemed to have elected to receive a lump sum distribution as soon as legally and administratively practicable following the earliest to occur of the Participant’s (i) Separation from Service, (ii) Disability, or (iii) death. Except in the case of an election to receive an in-service distribution pursuant to Section 6.1(b)(iii), the Participant’s election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57" w:name="page58"/>
    <w:bookmarkEnd w:id="57"/>
    <w:p>
      <w:pPr>
        <w:ind w:right="20"/>
        <w:spacing w:after="0" w:line="263" w:lineRule="auto"/>
        <w:rPr>
          <w:sz w:val="20"/>
          <w:szCs w:val="20"/>
          <w:color w:val="auto"/>
        </w:rPr>
      </w:pPr>
      <w:r>
        <w:rPr>
          <w:rFonts w:ascii="Arial" w:cs="Arial" w:eastAsia="Arial" w:hAnsi="Arial"/>
          <w:sz w:val="22"/>
          <w:szCs w:val="22"/>
          <w:color w:val="auto"/>
        </w:rPr>
        <w:t>(or deemed election) shall continue to apply for succeeding Plan Years unless and until the election is modified pursuant to Section 4.2(c), below.</w:t>
      </w:r>
    </w:p>
    <w:p>
      <w:pPr>
        <w:spacing w:after="0" w:line="67" w:lineRule="exact"/>
        <w:rPr>
          <w:sz w:val="20"/>
          <w:szCs w:val="20"/>
          <w:color w:val="auto"/>
        </w:rPr>
      </w:pPr>
    </w:p>
    <w:p>
      <w:pPr>
        <w:jc w:val="both"/>
        <w:ind w:firstLine="1305"/>
        <w:spacing w:after="0" w:line="248" w:lineRule="auto"/>
        <w:tabs>
          <w:tab w:leader="none" w:pos="179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401(k) Supplemental Program</w:t>
      </w:r>
      <w:r>
        <w:rPr>
          <w:rFonts w:ascii="Arial" w:cs="Arial" w:eastAsia="Arial" w:hAnsi="Arial"/>
          <w:sz w:val="22"/>
          <w:szCs w:val="22"/>
          <w:color w:val="auto"/>
        </w:rPr>
        <w:t>. The Participant shall make an irrevocable election as to the time and form of payment of all deferrals (in the form of Deferral Contributions, Matching Contributions or Transition Credits) credited to his or her Account Balance under the 401(k) Supplemental Program from the options available under Section 6 below. If the Participant fails to make such election, or if such election does not meet the requirements of Code Section 409A and related Treasury guidance or regulations, the Participant shall be deemed to have elected to receive a lump-sum distribution as soon as legally and administratively practicable following the earliest to occur of the Participant’s (i) Separation From Service, (ii) Disability, or (iii) death.</w:t>
      </w:r>
    </w:p>
    <w:p>
      <w:pPr>
        <w:spacing w:after="0" w:line="195" w:lineRule="exact"/>
        <w:rPr>
          <w:rFonts w:ascii="Arial" w:cs="Arial" w:eastAsia="Arial" w:hAnsi="Arial"/>
          <w:sz w:val="22"/>
          <w:szCs w:val="22"/>
          <w:color w:val="auto"/>
        </w:rPr>
      </w:pPr>
    </w:p>
    <w:p>
      <w:pPr>
        <w:jc w:val="both"/>
        <w:ind w:firstLine="1305"/>
        <w:spacing w:after="0" w:line="260" w:lineRule="auto"/>
        <w:tabs>
          <w:tab w:leader="none" w:pos="1743" w:val="left"/>
        </w:tabs>
        <w:numPr>
          <w:ilvl w:val="0"/>
          <w:numId w:val="21"/>
        </w:numPr>
        <w:rPr>
          <w:rFonts w:ascii="Arial" w:cs="Arial" w:eastAsia="Arial" w:hAnsi="Arial"/>
          <w:sz w:val="21"/>
          <w:szCs w:val="21"/>
          <w:color w:val="auto"/>
        </w:rPr>
      </w:pPr>
      <w:r>
        <w:rPr>
          <w:rFonts w:ascii="Arial" w:cs="Arial" w:eastAsia="Arial" w:hAnsi="Arial"/>
          <w:sz w:val="21"/>
          <w:szCs w:val="21"/>
          <w:color w:val="auto"/>
        </w:rPr>
        <w:t>A Participant may make an irrevocable election to modify his or her existing elections as to the time and form of payment of any future Deferral Contributions, Matching Contributions and Transition Credits credited to his or her Account Balance (and related earnings) under either or both of the Programs for succeeding Plan Years. Such election shall be made in accordance with the terms of the Deferred Compensation Program and 401(k) Supplemental Program and Article 6 below, and except in the case of an election to receive an in-service distribution pursuant to Section 6.1(b)(iii), which election must be made separately for each Plan Year, the election shall remain in effect for all succeeding Plan Years unless and until timely modified by the Participant in accordance with this Section. Any such modification shall apply prospectively only and shall not apply to Deferral Contributions, Matching Contributions or Transition Credits previously credited under the Program (or any earnings thereon), except to the extent permitted under Section 4.2(d) below.</w:t>
      </w:r>
    </w:p>
    <w:p>
      <w:pPr>
        <w:spacing w:after="0" w:line="184" w:lineRule="exact"/>
        <w:rPr>
          <w:rFonts w:ascii="Arial" w:cs="Arial" w:eastAsia="Arial" w:hAnsi="Arial"/>
          <w:sz w:val="21"/>
          <w:szCs w:val="21"/>
          <w:color w:val="auto"/>
        </w:rPr>
      </w:pPr>
    </w:p>
    <w:p>
      <w:pPr>
        <w:jc w:val="both"/>
        <w:ind w:firstLine="1305"/>
        <w:spacing w:after="0" w:line="287" w:lineRule="auto"/>
        <w:tabs>
          <w:tab w:leader="none" w:pos="175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the extent permitted by the Board, a Participant may elect to modify his or her existing election(s) as to the time and form of payment with respect to amounts previously credited to his or her Account Balance under either or both of the Programs (a “</w:t>
      </w:r>
      <w:r>
        <w:rPr>
          <w:rFonts w:ascii="Arial" w:cs="Arial" w:eastAsia="Arial" w:hAnsi="Arial"/>
          <w:sz w:val="19"/>
          <w:szCs w:val="19"/>
          <w:u w:val="single" w:color="auto"/>
          <w:color w:val="auto"/>
        </w:rPr>
        <w:t>Modification Election</w:t>
      </w:r>
      <w:r>
        <w:rPr>
          <w:rFonts w:ascii="Arial" w:cs="Arial" w:eastAsia="Arial" w:hAnsi="Arial"/>
          <w:sz w:val="19"/>
          <w:szCs w:val="19"/>
          <w:color w:val="auto"/>
        </w:rPr>
        <w:t>”), provided that (i) such Modification Election does not take effect until at least 12 months after the date on which it is made, (ii) in the case of an election related to a payment not described in Treasury Regulation Sections 1.409A-3(a)(2) (payment on account of disability), 1.409A-3(a)(3) (payment on account of death) or 1.409A-3(a)(6) (payment on account of an unforeseeable emergency), such Modification Election must provide for the deferral of such amount for a period of not less than 5 years from the date such payment would otherwise have been paid (or in the case of a life annuity or installment payments treated as a single payment, 5 years from the date the first amount was scheduled to be paid), (iii) any Modification Election related to a payment described in Treasury Regulation Section 1.409A-3(a)(4) (payment at a specified time or pursuant to a fixed schedule) must be made not less than 12 months before the date the payment is scheduled to be paid (or in the case of a life annuity or installment payments treated as a single payment, 12 months before the date the first amount was scheduled to be paid), and (iv) all other requirements under Code Section 409A and the Treasury Regulations thereunder (including Treasury Regulation Section 1.409A-2(b)) are met with respect to such Modification Election. Modification Elections shall be irrevocable as of the date they are filed with the Company’s Vice President of Human Resources.</w:t>
      </w:r>
    </w:p>
    <w:p>
      <w:pPr>
        <w:spacing w:after="0" w:line="164"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Election Forms</w:t>
      </w:r>
      <w:r>
        <w:rPr>
          <w:rFonts w:ascii="Arial" w:cs="Arial" w:eastAsia="Arial" w:hAnsi="Arial"/>
          <w:sz w:val="22"/>
          <w:szCs w:val="22"/>
          <w:color w:val="auto"/>
        </w:rPr>
        <w:t>. All elections shall be made on forms, including electronic forms, provided by the Committee and must be filed with the Company’s Vice President of Human Resources in order to be valid.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 STATEMENTS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At least once a year within 60 days after the end of each Plan Year, a statement shall be sent to each Participant showing his or her Account Balance for each Program as of the last day of the Plan Year.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22"/>
          <w:szCs w:val="22"/>
          <w:color w:val="auto"/>
        </w:rPr>
        <w:t>statement shall also include the Deferral Contributions made by the Participant to each Program for the Plan Year, along with any Matching Contributions and Transition Credits credited to the Participant’s Account Balances and the investment gains or losses (including reinvested dividends) credited during the Plan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Permissible Times and Forms of Payments</w:t>
      </w:r>
      <w:r>
        <w:rPr>
          <w:rFonts w:ascii="Arial" w:cs="Arial" w:eastAsia="Arial" w:hAnsi="Arial"/>
          <w:sz w:val="22"/>
          <w:szCs w:val="22"/>
          <w:color w:val="auto"/>
        </w:rPr>
        <w:t>. A Participant may elect to receive his or her Account under the Deferred Compensation Program or his or her Account under the 401(k) Supplemental Program pursuant to an election form filed in accordance with Article 4 at the following times and in the following forms:</w:t>
      </w:r>
    </w:p>
    <w:p>
      <w:pPr>
        <w:spacing w:after="0" w:line="177" w:lineRule="exact"/>
        <w:rPr>
          <w:sz w:val="20"/>
          <w:szCs w:val="20"/>
          <w:color w:val="auto"/>
        </w:rPr>
      </w:pPr>
    </w:p>
    <w:p>
      <w:pPr>
        <w:jc w:val="both"/>
        <w:ind w:firstLine="656"/>
        <w:spacing w:after="0" w:line="307" w:lineRule="auto"/>
        <w:tabs>
          <w:tab w:leader="none" w:pos="1095"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Time of Distribution</w:t>
      </w:r>
      <w:r>
        <w:rPr>
          <w:rFonts w:ascii="Arial" w:cs="Arial" w:eastAsia="Arial" w:hAnsi="Arial"/>
          <w:sz w:val="19"/>
          <w:szCs w:val="19"/>
          <w:color w:val="auto"/>
        </w:rPr>
        <w:t>. A Participant may elect to receive a distribution as of the date of, or at a designated anniversary date following, the first to occur of the Participant’s Disability, Separation from Service, death or in the case of a distribution from the Participant’s Deferred Compensation Sub-Account, at a designated time or times specified by the Participant in his or her election forms, which shall not be earlier than 24 months from the date of deferral of the amount to be distributed.</w:t>
      </w:r>
    </w:p>
    <w:p>
      <w:pPr>
        <w:spacing w:after="0" w:line="138" w:lineRule="exact"/>
        <w:rPr>
          <w:rFonts w:ascii="Arial" w:cs="Arial" w:eastAsia="Arial" w:hAnsi="Arial"/>
          <w:sz w:val="19"/>
          <w:szCs w:val="19"/>
          <w:color w:val="auto"/>
        </w:rPr>
      </w:pPr>
    </w:p>
    <w:p>
      <w:pPr>
        <w:ind w:left="1140" w:hanging="484"/>
        <w:spacing w:after="0"/>
        <w:tabs>
          <w:tab w:leader="none" w:pos="114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Form of Distribution</w:t>
      </w:r>
      <w:r>
        <w:rPr>
          <w:rFonts w:ascii="Arial" w:cs="Arial" w:eastAsia="Arial" w:hAnsi="Arial"/>
          <w:sz w:val="19"/>
          <w:szCs w:val="19"/>
          <w:color w:val="auto"/>
        </w:rPr>
        <w:t>. A Participant may elect to receive a distribution of his or her Account in any of the following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forms:</w:t>
      </w:r>
    </w:p>
    <w:p>
      <w:pPr>
        <w:spacing w:after="0" w:line="215" w:lineRule="exact"/>
        <w:rPr>
          <w:rFonts w:ascii="Arial" w:cs="Arial" w:eastAsia="Arial" w:hAnsi="Arial"/>
          <w:sz w:val="19"/>
          <w:szCs w:val="19"/>
          <w:color w:val="auto"/>
        </w:rPr>
      </w:pPr>
    </w:p>
    <w:p>
      <w:pPr>
        <w:ind w:left="2600" w:hanging="647"/>
        <w:spacing w:after="0"/>
        <w:tabs>
          <w:tab w:leader="none" w:pos="2600" w:val="left"/>
        </w:tabs>
        <w:numPr>
          <w:ilvl w:val="2"/>
          <w:numId w:val="22"/>
        </w:numPr>
        <w:rPr>
          <w:rFonts w:ascii="Arial" w:cs="Arial" w:eastAsia="Arial" w:hAnsi="Arial"/>
          <w:sz w:val="18"/>
          <w:szCs w:val="18"/>
          <w:color w:val="auto"/>
        </w:rPr>
      </w:pPr>
      <w:r>
        <w:rPr>
          <w:rFonts w:ascii="Arial" w:cs="Arial" w:eastAsia="Arial" w:hAnsi="Arial"/>
          <w:sz w:val="22"/>
          <w:szCs w:val="22"/>
          <w:color w:val="auto"/>
        </w:rPr>
        <w:t>a single lump sum;</w:t>
      </w:r>
    </w:p>
    <w:p>
      <w:pPr>
        <w:spacing w:after="0" w:line="219" w:lineRule="exact"/>
        <w:rPr>
          <w:rFonts w:ascii="Arial" w:cs="Arial" w:eastAsia="Arial" w:hAnsi="Arial"/>
          <w:sz w:val="18"/>
          <w:szCs w:val="18"/>
          <w:color w:val="auto"/>
        </w:rPr>
      </w:pPr>
    </w:p>
    <w:p>
      <w:pPr>
        <w:ind w:left="2600" w:hanging="647"/>
        <w:spacing w:after="0"/>
        <w:tabs>
          <w:tab w:leader="none" w:pos="2600" w:val="left"/>
        </w:tabs>
        <w:numPr>
          <w:ilvl w:val="2"/>
          <w:numId w:val="22"/>
        </w:numPr>
        <w:rPr>
          <w:rFonts w:ascii="Arial" w:cs="Arial" w:eastAsia="Arial" w:hAnsi="Arial"/>
          <w:sz w:val="18"/>
          <w:szCs w:val="18"/>
          <w:color w:val="auto"/>
        </w:rPr>
      </w:pPr>
      <w:r>
        <w:rPr>
          <w:rFonts w:ascii="Arial" w:cs="Arial" w:eastAsia="Arial" w:hAnsi="Arial"/>
          <w:sz w:val="22"/>
          <w:szCs w:val="22"/>
          <w:color w:val="auto"/>
        </w:rPr>
        <w:t>up to ten (10) annual installments; or</w:t>
      </w:r>
    </w:p>
    <w:p>
      <w:pPr>
        <w:spacing w:after="0" w:line="219" w:lineRule="exact"/>
        <w:rPr>
          <w:rFonts w:ascii="Arial" w:cs="Arial" w:eastAsia="Arial" w:hAnsi="Arial"/>
          <w:sz w:val="18"/>
          <w:szCs w:val="18"/>
          <w:color w:val="auto"/>
        </w:rPr>
      </w:pPr>
    </w:p>
    <w:p>
      <w:pPr>
        <w:jc w:val="both"/>
        <w:ind w:firstLine="1305"/>
        <w:spacing w:after="0" w:line="260" w:lineRule="auto"/>
        <w:tabs>
          <w:tab w:leader="none" w:pos="1895" w:val="left"/>
        </w:tabs>
        <w:numPr>
          <w:ilvl w:val="1"/>
          <w:numId w:val="22"/>
        </w:numPr>
        <w:rPr>
          <w:rFonts w:ascii="Arial" w:cs="Arial" w:eastAsia="Arial" w:hAnsi="Arial"/>
          <w:sz w:val="22"/>
          <w:szCs w:val="22"/>
          <w:color w:val="auto"/>
        </w:rPr>
      </w:pPr>
      <w:r>
        <w:rPr>
          <w:rFonts w:ascii="Arial" w:cs="Arial" w:eastAsia="Arial" w:hAnsi="Arial"/>
          <w:sz w:val="22"/>
          <w:szCs w:val="22"/>
          <w:color w:val="auto"/>
        </w:rPr>
        <w:t>in the case of an in-service distribution from a Participant’s Deferred Compensation Sub-Account a single lump sum of the entire Account Balance attributable to the Participant’s Deferral Contributions made in one or more Plan Years, as designated by the Participant.</w:t>
      </w:r>
    </w:p>
    <w:p>
      <w:pPr>
        <w:spacing w:after="0" w:line="177" w:lineRule="exact"/>
        <w:rPr>
          <w:rFonts w:ascii="Arial" w:cs="Arial" w:eastAsia="Arial" w:hAnsi="Arial"/>
          <w:sz w:val="22"/>
          <w:szCs w:val="22"/>
          <w:color w:val="auto"/>
        </w:rPr>
      </w:pPr>
    </w:p>
    <w:p>
      <w:pPr>
        <w:jc w:val="both"/>
        <w:ind w:firstLine="656"/>
        <w:spacing w:after="0" w:line="294" w:lineRule="auto"/>
        <w:tabs>
          <w:tab w:leader="none" w:pos="1271"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Subsequent Deferrals</w:t>
      </w:r>
      <w:r>
        <w:rPr>
          <w:rFonts w:ascii="Arial" w:cs="Arial" w:eastAsia="Arial" w:hAnsi="Arial"/>
          <w:sz w:val="19"/>
          <w:szCs w:val="19"/>
          <w:color w:val="auto"/>
        </w:rPr>
        <w:t>. Notwithstanding an actual or deemed election as to the timing of the distribution of a Participant’s Account, at such times and in such manner as the Committee may determine, a Participant may make an irrevocable election to delay the payment, or the commencement of payment, of his or her Account, but only if such election (i) is made not less than 12 months before the date the payment or commencement of installment payments is scheduled to be paid or to begin; (ii) shall not take effect until at least 12 months after the date the election is made; and (iii) relating to a payment not being made on account of death, Disability or an Unforeseeable Emergency, delays the payment or commencement of payments for a period of at least 5 years from the date the payment or series of payments was scheduled to be paid or begin.</w:t>
      </w:r>
    </w:p>
    <w:p>
      <w:pPr>
        <w:spacing w:after="0" w:line="152" w:lineRule="exact"/>
        <w:rPr>
          <w:rFonts w:ascii="Arial" w:cs="Arial" w:eastAsia="Arial" w:hAnsi="Arial"/>
          <w:sz w:val="19"/>
          <w:szCs w:val="19"/>
          <w:color w:val="auto"/>
        </w:rPr>
      </w:pPr>
    </w:p>
    <w:p>
      <w:pPr>
        <w:ind w:firstLine="656"/>
        <w:spacing w:after="0" w:line="276" w:lineRule="auto"/>
        <w:tabs>
          <w:tab w:leader="none" w:pos="121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Unforeseeable Emergency Distributions</w:t>
      </w:r>
      <w:r>
        <w:rPr>
          <w:rFonts w:ascii="Arial" w:cs="Arial" w:eastAsia="Arial" w:hAnsi="Arial"/>
          <w:sz w:val="22"/>
          <w:szCs w:val="22"/>
          <w:color w:val="auto"/>
        </w:rPr>
        <w:t>. A participant may request that a distribution of amounts credited to his Account may be made due to an Unforeseeable Emergency.</w:t>
      </w:r>
    </w:p>
    <w:p>
      <w:pPr>
        <w:spacing w:after="0" w:line="160" w:lineRule="exact"/>
        <w:rPr>
          <w:rFonts w:ascii="Arial" w:cs="Arial" w:eastAsia="Arial" w:hAnsi="Arial"/>
          <w:sz w:val="22"/>
          <w:szCs w:val="22"/>
          <w:color w:val="auto"/>
        </w:rPr>
      </w:pPr>
    </w:p>
    <w:p>
      <w:pPr>
        <w:jc w:val="both"/>
        <w:ind w:left="660" w:firstLine="1941"/>
        <w:spacing w:after="0" w:line="307" w:lineRule="auto"/>
        <w:tabs>
          <w:tab w:leader="none" w:pos="3423" w:val="left"/>
        </w:tabs>
        <w:numPr>
          <w:ilvl w:val="3"/>
          <w:numId w:val="22"/>
        </w:numPr>
        <w:rPr>
          <w:rFonts w:ascii="Arial" w:cs="Arial" w:eastAsia="Arial" w:hAnsi="Arial"/>
          <w:sz w:val="16"/>
          <w:szCs w:val="16"/>
          <w:color w:val="auto"/>
        </w:rPr>
      </w:pPr>
      <w:r>
        <w:rPr>
          <w:rFonts w:ascii="Arial" w:cs="Arial" w:eastAsia="Arial" w:hAnsi="Arial"/>
          <w:sz w:val="19"/>
          <w:szCs w:val="19"/>
          <w:color w:val="auto"/>
        </w:rPr>
        <w:t>In no event shall a distribution due to an Unforeseeable Emergency exceed the balance of the Participant’s Account, determined as of the end of the month immediately preceding the date of the distribution, less any amounts distributed from or charged to the Participant Account since such date. The Committee may promulgate uniform rules regarding the effective date of any distribution, minimum amounts to be distributed and the frequency of distributions.</w:t>
      </w:r>
    </w:p>
    <w:p>
      <w:pPr>
        <w:spacing w:after="0" w:line="178" w:lineRule="exact"/>
        <w:rPr>
          <w:rFonts w:ascii="Arial" w:cs="Arial" w:eastAsia="Arial" w:hAnsi="Arial"/>
          <w:sz w:val="16"/>
          <w:szCs w:val="16"/>
          <w:color w:val="auto"/>
        </w:rPr>
      </w:pPr>
    </w:p>
    <w:p>
      <w:pPr>
        <w:ind w:firstLine="1953"/>
        <w:spacing w:after="0" w:line="276" w:lineRule="auto"/>
        <w:tabs>
          <w:tab w:leader="none" w:pos="2813" w:val="left"/>
        </w:tabs>
        <w:numPr>
          <w:ilvl w:val="2"/>
          <w:numId w:val="23"/>
        </w:numPr>
        <w:rPr>
          <w:rFonts w:ascii="Arial" w:cs="Arial" w:eastAsia="Arial" w:hAnsi="Arial"/>
          <w:sz w:val="18"/>
          <w:szCs w:val="18"/>
          <w:color w:val="auto"/>
        </w:rPr>
      </w:pPr>
      <w:r>
        <w:rPr>
          <w:rFonts w:ascii="Arial" w:cs="Arial" w:eastAsia="Arial" w:hAnsi="Arial"/>
          <w:sz w:val="22"/>
          <w:szCs w:val="22"/>
          <w:color w:val="auto"/>
        </w:rPr>
        <w:t>A distribution may be made pursuant to this Section 6.1(d) due to an Unforeseeable Emergency only if the Participant satisfies the Committee that the Participant has 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Unforeseeable Emergency and that the distribution is reasonably necessary in order to satisfy the Unforeseeable Emergency.</w:t>
      </w:r>
    </w:p>
    <w:p>
      <w:pPr>
        <w:spacing w:after="0" w:line="295" w:lineRule="exact"/>
        <w:rPr>
          <w:sz w:val="20"/>
          <w:szCs w:val="20"/>
          <w:color w:val="auto"/>
        </w:rPr>
      </w:pPr>
    </w:p>
    <w:p>
      <w:pPr>
        <w:ind w:firstLine="1953"/>
        <w:spacing w:after="0" w:line="258" w:lineRule="auto"/>
        <w:tabs>
          <w:tab w:leader="none" w:pos="2863" w:val="left"/>
        </w:tabs>
        <w:numPr>
          <w:ilvl w:val="0"/>
          <w:numId w:val="24"/>
        </w:numPr>
        <w:rPr>
          <w:rFonts w:ascii="Arial" w:cs="Arial" w:eastAsia="Arial" w:hAnsi="Arial"/>
          <w:sz w:val="18"/>
          <w:szCs w:val="18"/>
          <w:color w:val="auto"/>
        </w:rPr>
      </w:pPr>
      <w:r>
        <w:rPr>
          <w:rFonts w:ascii="Arial" w:cs="Arial" w:eastAsia="Arial" w:hAnsi="Arial"/>
          <w:sz w:val="22"/>
          <w:szCs w:val="22"/>
          <w:color w:val="auto"/>
        </w:rPr>
        <w:t>A distribution because of an Unforeseeable Emergency may be made for one of the reasons listed in subparagraphs (A) through (C) of this paragraph (iii):</w:t>
      </w:r>
    </w:p>
    <w:p>
      <w:pPr>
        <w:ind w:left="3500" w:hanging="899"/>
        <w:spacing w:after="0"/>
        <w:tabs>
          <w:tab w:leader="none" w:pos="3500" w:val="left"/>
        </w:tabs>
        <w:numPr>
          <w:ilvl w:val="1"/>
          <w:numId w:val="24"/>
        </w:numPr>
        <w:rPr>
          <w:rFonts w:ascii="Arial" w:cs="Arial" w:eastAsia="Arial" w:hAnsi="Arial"/>
          <w:sz w:val="16"/>
          <w:szCs w:val="16"/>
          <w:color w:val="auto"/>
        </w:rPr>
      </w:pPr>
      <w:r>
        <w:rPr>
          <w:rFonts w:ascii="Arial" w:cs="Arial" w:eastAsia="Arial" w:hAnsi="Arial"/>
          <w:sz w:val="19"/>
          <w:szCs w:val="19"/>
          <w:color w:val="auto"/>
        </w:rPr>
        <w:t>Medical expenses, including non-refundable deductibles and the cost of prescription drugs;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or</w:t>
      </w:r>
    </w:p>
    <w:p>
      <w:pPr>
        <w:spacing w:after="0" w:line="17" w:lineRule="exact"/>
        <w:rPr>
          <w:rFonts w:ascii="Arial" w:cs="Arial" w:eastAsia="Arial" w:hAnsi="Arial"/>
          <w:sz w:val="16"/>
          <w:szCs w:val="16"/>
          <w:color w:val="auto"/>
        </w:rPr>
      </w:pPr>
    </w:p>
    <w:p>
      <w:pPr>
        <w:ind w:left="3480" w:hanging="879"/>
        <w:spacing w:after="0"/>
        <w:tabs>
          <w:tab w:leader="none" w:pos="3480" w:val="left"/>
        </w:tabs>
        <w:numPr>
          <w:ilvl w:val="1"/>
          <w:numId w:val="24"/>
        </w:numPr>
        <w:rPr>
          <w:rFonts w:ascii="Arial" w:cs="Arial" w:eastAsia="Arial" w:hAnsi="Arial"/>
          <w:sz w:val="16"/>
          <w:szCs w:val="16"/>
          <w:color w:val="auto"/>
        </w:rPr>
      </w:pPr>
      <w:r>
        <w:rPr>
          <w:rFonts w:ascii="Arial" w:cs="Arial" w:eastAsia="Arial" w:hAnsi="Arial"/>
          <w:sz w:val="19"/>
          <w:szCs w:val="19"/>
          <w:color w:val="auto"/>
        </w:rPr>
        <w:t>The need to pay for funeral expenses of a spouse, Beneficiary or a dependent as defined; or</w:t>
      </w:r>
    </w:p>
    <w:p>
      <w:pPr>
        <w:spacing w:after="0" w:line="38" w:lineRule="exact"/>
        <w:rPr>
          <w:rFonts w:ascii="Arial" w:cs="Arial" w:eastAsia="Arial" w:hAnsi="Arial"/>
          <w:sz w:val="16"/>
          <w:szCs w:val="16"/>
          <w:color w:val="auto"/>
        </w:rPr>
      </w:pPr>
    </w:p>
    <w:p>
      <w:pPr>
        <w:ind w:firstLine="2601"/>
        <w:spacing w:after="0" w:line="272" w:lineRule="auto"/>
        <w:tabs>
          <w:tab w:leader="none" w:pos="3481" w:val="left"/>
        </w:tabs>
        <w:numPr>
          <w:ilvl w:val="1"/>
          <w:numId w:val="24"/>
        </w:numPr>
        <w:rPr>
          <w:rFonts w:ascii="Arial" w:cs="Arial" w:eastAsia="Arial" w:hAnsi="Arial"/>
          <w:sz w:val="18"/>
          <w:szCs w:val="18"/>
          <w:color w:val="auto"/>
        </w:rPr>
      </w:pPr>
      <w:r>
        <w:rPr>
          <w:rFonts w:ascii="Arial" w:cs="Arial" w:eastAsia="Arial" w:hAnsi="Arial"/>
          <w:sz w:val="22"/>
          <w:szCs w:val="22"/>
          <w:color w:val="auto"/>
        </w:rPr>
        <w:t>The need to prevent the imminent eviction of the Participant from his principal residence or foreclosure on the mortgage on the Participant’s principal residence.</w:t>
      </w:r>
    </w:p>
    <w:p>
      <w:pPr>
        <w:spacing w:after="0" w:line="205" w:lineRule="exact"/>
        <w:rPr>
          <w:rFonts w:ascii="Arial" w:cs="Arial" w:eastAsia="Arial" w:hAnsi="Arial"/>
          <w:sz w:val="18"/>
          <w:szCs w:val="18"/>
          <w:color w:val="auto"/>
        </w:rPr>
      </w:pPr>
    </w:p>
    <w:p>
      <w:pPr>
        <w:jc w:val="both"/>
        <w:ind w:firstLine="1953"/>
        <w:spacing w:after="0" w:line="290" w:lineRule="auto"/>
        <w:tabs>
          <w:tab w:leader="none" w:pos="2853" w:val="left"/>
        </w:tabs>
        <w:numPr>
          <w:ilvl w:val="0"/>
          <w:numId w:val="24"/>
        </w:numPr>
        <w:rPr>
          <w:rFonts w:ascii="Arial" w:cs="Arial" w:eastAsia="Arial" w:hAnsi="Arial"/>
          <w:sz w:val="16"/>
          <w:szCs w:val="16"/>
          <w:color w:val="auto"/>
        </w:rPr>
      </w:pPr>
      <w:r>
        <w:rPr>
          <w:rFonts w:ascii="Arial" w:cs="Arial" w:eastAsia="Arial" w:hAnsi="Arial"/>
          <w:sz w:val="19"/>
          <w:szCs w:val="19"/>
          <w:color w:val="auto"/>
        </w:rPr>
        <w:t>A distribution will be considered to be reasonably necessary to satisfy an emergency need of a Participant only if the need may not be satisfied from other resources that are reasonably available to the Participant and the distribution does not exceed the amount needed to satisfy the need. The Committee shall consider all relevant facts and circumstances in determining whether a distribution is necessary in order to satisfy an emergency need. Generally, a distribution shall be deemed necessary if the Participant demonstrates to the Committee that the need cannot be relieved through reimbursement or compensation from insurance or otherwise, by the liquidation of the Participant’s assets (to the extent that such liquidation would not itself cause severe financial hardship) or by cessation of Deferral Contributions under the Plan. A distribution will be deemed to be reasonably necessary to satisfy the emergency need of a Participant only if the distribution is not in excess of the amount reasonable necessary to satisfy the emergency need of the Participant (which may include amounts necessary to pay any federal, state, local or foreign income taxes or penalties reasonably anticipated to result from the distribution).</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 election made by the Participant under Section 6.1, in the event of a Change in Control, all amounts then credited to the Participant’s Account shall be distributed to the Participant in a single lump sum within 60 days following the date of such Change in Control.</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Calculation of Distributions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86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Lump Sum</w:t>
      </w:r>
      <w:r>
        <w:rPr>
          <w:rFonts w:ascii="Arial" w:cs="Arial" w:eastAsia="Arial" w:hAnsi="Arial"/>
          <w:sz w:val="22"/>
          <w:szCs w:val="22"/>
          <w:color w:val="auto"/>
        </w:rPr>
        <w:t>. All lump sum distributions shall be based on the value of the Participant’s Account as of a valuation date as soon as administratively feasible preceding the date distribution is made, in accordance with rules established by the administrator.</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90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Installment Distributions</w:t>
      </w:r>
      <w:r>
        <w:rPr>
          <w:rFonts w:ascii="Arial" w:cs="Arial" w:eastAsia="Arial" w:hAnsi="Arial"/>
          <w:sz w:val="22"/>
          <w:szCs w:val="22"/>
          <w:color w:val="auto"/>
        </w:rPr>
        <w:t>. Under an installment payout, the amount to be distributed in each installment payment shall be determined by dividing the value of the Participant’s Accounts being paid in installments as of a valuation date preceding the date of each distribution by the number of installment payments remaining to be made, in accordance with rules established by the administrator. In the event of the death of the Participant prior to the full payment of his Accounts being paid in installments, payments will continue to be made to his Beneficiary in the same manner as would have been payable to the Participant.</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Six-Month Delay</w:t>
      </w:r>
      <w:r>
        <w:rPr>
          <w:rFonts w:ascii="Arial" w:cs="Arial" w:eastAsia="Arial" w:hAnsi="Arial"/>
          <w:sz w:val="19"/>
          <w:szCs w:val="19"/>
          <w:color w:val="auto"/>
        </w:rPr>
        <w:t>. Notwithstanding anything to the contrary in the Plan, no distribution shall be made to a Participant under the Plan on account of the Participant’s Separation from Service during the 6-month period following such Separation from Service to the extent that the Company determines that the Participant is a “specified employee” (as defined in Section 409A(a)(2) (B)(i) of the Code and the Treasury Regulations thereunder) at the time of such Separation from Service and that paying such amounts at the time or times indicated in the Plan would be a prohibited distribution under Section 409A(a)(2)(B)(i) of the Code. If the payment of any such amounts is delayed as a result of the previous sentence, then on the first business day following the end of such 6-month period (or such earlier date upon which such amount can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22"/>
          <w:szCs w:val="22"/>
          <w:color w:val="auto"/>
        </w:rPr>
        <w:t>be paid under Section 409A of the Code without being subject to such additional taxes, including as a result of the Participant’s death), a lump-sum distribution shall be made to the Participant under the Plan equal to the cumulative amount that would have otherwise been payable to the Participant during such 6-month period.</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Method of Payment</w:t>
      </w:r>
      <w:r>
        <w:rPr>
          <w:rFonts w:ascii="Arial" w:cs="Arial" w:eastAsia="Arial" w:hAnsi="Arial"/>
          <w:sz w:val="19"/>
          <w:szCs w:val="19"/>
          <w:color w:val="auto"/>
        </w:rPr>
        <w:t>. All payments under the Plan shall be made in cash.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ADMINISTRATION</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Committee to Administer and Interpret Plan and Component Programs</w:t>
      </w:r>
      <w:r>
        <w:rPr>
          <w:rFonts w:ascii="Arial" w:cs="Arial" w:eastAsia="Arial" w:hAnsi="Arial"/>
          <w:sz w:val="21"/>
          <w:szCs w:val="21"/>
          <w:color w:val="auto"/>
        </w:rPr>
        <w:t>. The Committee or its designee shall administer the Plan and its component Programs and shall have all discretion and power necessary for that purpose. The Committee shall have the discretion, authority, and power to (i) make, amend, interpret, and enforce all appropriate rules and regulations for the administration of the Plan and its component Programs and (ii) decide or resolve any and all questions that may arise in connection with this Plan and its component Programs, including interpretations of the Plan and its component Programs and determinations of eligibility to participate and to receive distributions under the Plan and its component Programs. Any individual serving on the Committee, or anyone delegated responsibilities by the Committee, shall not vote or act on any matter relating solely to himself. When making a determination or calculation, the Committee shall be entitled to rely on information supplied by a Participant, Beneficiary, or the Employer, as the case may be. The Committee shall maintain all records of the Plan and its component Programs.</w:t>
      </w:r>
    </w:p>
    <w:p>
      <w:pPr>
        <w:spacing w:after="0" w:line="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Agents</w:t>
      </w:r>
      <w:r>
        <w:rPr>
          <w:rFonts w:ascii="Arial" w:cs="Arial" w:eastAsia="Arial" w:hAnsi="Arial"/>
          <w:sz w:val="22"/>
          <w:szCs w:val="22"/>
          <w:color w:val="auto"/>
        </w:rPr>
        <w:t>. In the administration of this Plan and its component Programs, the Committee may, from time to time, employ agents (including officers and other employees of the Company) and delegate to them such administrative duties as it sees fit (including acting through a duly appointed representative) and may from time to time consult with counsel who may be counsel to the Company.</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Binding Effect of Decisions</w:t>
      </w:r>
      <w:r>
        <w:rPr>
          <w:rFonts w:ascii="Arial" w:cs="Arial" w:eastAsia="Arial" w:hAnsi="Arial"/>
          <w:sz w:val="22"/>
          <w:szCs w:val="22"/>
          <w:color w:val="auto"/>
        </w:rPr>
        <w:t>. The decision or action of the Committee with respect to any question arising out of or in connection with the administration, interpretation and application of the Plan and its component Programs and the rules and regulations promulgated hereunder shall be final and conclusive and binding upon all persons having any interest in the Plan and its component Programs.</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Indemnity of Committee</w:t>
      </w:r>
      <w:r>
        <w:rPr>
          <w:rFonts w:ascii="Arial" w:cs="Arial" w:eastAsia="Arial" w:hAnsi="Arial"/>
          <w:sz w:val="22"/>
          <w:szCs w:val="22"/>
          <w:color w:val="auto"/>
        </w:rPr>
        <w:t>. The Company shall indemnify and hold harmless the members of the Committee and any employee to whom duties of the Committee may be delegated against any and all claims, losses, damages, expenses or liabilities arising from any action or failure to act with respect to this Plan and its component Programs, except in the case of willful misconduct by the Committee, any of its members, or any such employee.</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Agent for Legal Process</w:t>
      </w:r>
      <w:r>
        <w:rPr>
          <w:rFonts w:ascii="Arial" w:cs="Arial" w:eastAsia="Arial" w:hAnsi="Arial"/>
          <w:sz w:val="22"/>
          <w:szCs w:val="22"/>
          <w:color w:val="auto"/>
        </w:rPr>
        <w:t>. The Committee shall be agent of the Plan and its component Programs for service of all legal process.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CLAIMS PROCEDURE</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Filing a Claim</w:t>
      </w:r>
      <w:r>
        <w:rPr>
          <w:rFonts w:ascii="Arial" w:cs="Arial" w:eastAsia="Arial" w:hAnsi="Arial"/>
          <w:sz w:val="21"/>
          <w:szCs w:val="21"/>
          <w:color w:val="auto"/>
        </w:rPr>
        <w:t>. All claims under this Plan and its component Programs shall be filed in writing or electronically by the Participant, his or her Beneficiary, or the authorized representative of either, by completing the procedures that the Committee requires. The procedures shall be reasonable and may include the completion of forms and the submission of documents and additional information. All claims shall be filed in writing or electronically with the Committee according to the Committee’s procedures no later than one year after the occurrence of the event that gives rise to the claim. If the claim is not filed within the time described in the preceding sentence, the claim shall be barred.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61" w:name="page62"/>
    <w:bookmarkEnd w:id="61"/>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Review of Initial Claim</w:t>
      </w:r>
      <w:r>
        <w:rPr>
          <w:rFonts w:ascii="Arial" w:cs="Arial" w:eastAsia="Arial" w:hAnsi="Arial"/>
          <w:sz w:val="19"/>
          <w:szCs w:val="19"/>
          <w:color w:val="auto"/>
        </w:rPr>
        <w:t>.</w:t>
      </w:r>
    </w:p>
    <w:p>
      <w:pPr>
        <w:spacing w:after="0" w:line="125" w:lineRule="exact"/>
        <w:rPr>
          <w:sz w:val="20"/>
          <w:szCs w:val="20"/>
          <w:color w:val="auto"/>
        </w:rPr>
      </w:pPr>
    </w:p>
    <w:p>
      <w:pPr>
        <w:jc w:val="both"/>
        <w:ind w:firstLine="656"/>
        <w:spacing w:after="0" w:line="248" w:lineRule="auto"/>
        <w:tabs>
          <w:tab w:leader="none" w:pos="1095"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Initial Period for Review of the Claim</w:t>
      </w:r>
      <w:r>
        <w:rPr>
          <w:rFonts w:ascii="Arial" w:cs="Arial" w:eastAsia="Arial" w:hAnsi="Arial"/>
          <w:sz w:val="22"/>
          <w:szCs w:val="22"/>
          <w:color w:val="auto"/>
        </w:rPr>
        <w:t>. The Committee shall review all materials and shall decide whether to approve or deny the claim. If a claim is denied in whole or in part, written notice of denial shall be furnished by the Committee to the claimant within a reasonable time after the claim is filed but not later than ninety (90) days after the Committee receives the claim. The notice shall set forth the specific reason(s) for the denial, reference to the specific Plan or Program provisions on which the denial is based, a description of any additional material or information necessary for the claimant to perfect his or her claim and an explanation of why such material or information is necessary, and a description of the Plan’s review procedures, including the applicable time limits and a statement of the claimant’s right to bring a civil action under ERISA section 502(a) following a denial of the appeal.</w:t>
      </w:r>
    </w:p>
    <w:p>
      <w:pPr>
        <w:spacing w:after="0" w:line="83" w:lineRule="exact"/>
        <w:rPr>
          <w:rFonts w:ascii="Arial" w:cs="Arial" w:eastAsia="Arial" w:hAnsi="Arial"/>
          <w:sz w:val="22"/>
          <w:szCs w:val="22"/>
          <w:color w:val="auto"/>
        </w:rPr>
      </w:pPr>
    </w:p>
    <w:p>
      <w:pPr>
        <w:jc w:val="both"/>
        <w:ind w:firstLine="656"/>
        <w:spacing w:after="0" w:line="270" w:lineRule="auto"/>
        <w:tabs>
          <w:tab w:leader="none" w:pos="1175"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Extension</w:t>
      </w:r>
      <w:r>
        <w:rPr>
          <w:rFonts w:ascii="Arial" w:cs="Arial" w:eastAsia="Arial" w:hAnsi="Arial"/>
          <w:sz w:val="21"/>
          <w:szCs w:val="21"/>
          <w:color w:val="auto"/>
        </w:rPr>
        <w:t>. If the Committee determines that special circumstances require an extension of time for processing the claim, it shall give written notice to the claimant and the extension shall not exceed ninety (90) days. The notice shall be given before the expiration of the ninety (90) day period described in Section 8.2(a) above and shall indicate the special circumstances requiring the extension and the date by which the Committee expects to render its decision.</w:t>
      </w:r>
    </w:p>
    <w:p>
      <w:pPr>
        <w:spacing w:after="0" w:line="6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Appeal of Denial of Initial Claim</w:t>
      </w:r>
      <w:r>
        <w:rPr>
          <w:rFonts w:ascii="Arial" w:cs="Arial" w:eastAsia="Arial" w:hAnsi="Arial"/>
          <w:sz w:val="19"/>
          <w:szCs w:val="19"/>
          <w:color w:val="auto"/>
        </w:rPr>
        <w:t>. The claimant may request a review upon written application, may review pertinent documents, and may submit issues or comments in writing. The claimant must request a review within a reasonable period of time prescribed by the Committee. In no event shall such a period of time be less than sixty (60) days.</w:t>
      </w:r>
    </w:p>
    <w:p>
      <w:pPr>
        <w:spacing w:after="0" w:line="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Review of Appeal</w:t>
      </w:r>
      <w:r>
        <w:rPr>
          <w:rFonts w:ascii="Arial" w:cs="Arial" w:eastAsia="Arial" w:hAnsi="Arial"/>
          <w:sz w:val="19"/>
          <w:szCs w:val="19"/>
          <w:color w:val="auto"/>
        </w:rPr>
        <w:t>.</w:t>
      </w:r>
    </w:p>
    <w:p>
      <w:pPr>
        <w:spacing w:after="0" w:line="125" w:lineRule="exact"/>
        <w:rPr>
          <w:sz w:val="20"/>
          <w:szCs w:val="20"/>
          <w:color w:val="auto"/>
        </w:rPr>
      </w:pPr>
    </w:p>
    <w:p>
      <w:pPr>
        <w:jc w:val="both"/>
        <w:ind w:firstLine="656"/>
        <w:spacing w:after="0" w:line="297" w:lineRule="auto"/>
        <w:tabs>
          <w:tab w:leader="none" w:pos="108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Initial Period for Review of the Appeal</w:t>
      </w:r>
      <w:r>
        <w:rPr>
          <w:rFonts w:ascii="Arial" w:cs="Arial" w:eastAsia="Arial" w:hAnsi="Arial"/>
          <w:sz w:val="19"/>
          <w:szCs w:val="19"/>
          <w:color w:val="auto"/>
        </w:rPr>
        <w:t>. The Committee shall conduct all reviews of denied claims and shall render its decision within a reasonable time, but not to exceed sixty (60) days from the receipt of the appeal by the Committee. The claimant shall be notified of the Committee’s decision in a notice, which shall set forth the specific reason(s) for the denial, reference to the specific Plan or Program provisions on which the denial is based, a statement that the claimant is entitled to receive, upon request and free of charge, reasonable access to and copies of all documents, records, and other information relevant to the claimant’s claim, and a statement of the claimant’s right to bring a civil action under ERISA section 502(a) following a denial of the appeal.</w:t>
      </w:r>
    </w:p>
    <w:p>
      <w:pPr>
        <w:spacing w:after="0" w:line="38" w:lineRule="exact"/>
        <w:rPr>
          <w:rFonts w:ascii="Arial" w:cs="Arial" w:eastAsia="Arial" w:hAnsi="Arial"/>
          <w:sz w:val="19"/>
          <w:szCs w:val="19"/>
          <w:color w:val="auto"/>
        </w:rPr>
      </w:pPr>
    </w:p>
    <w:p>
      <w:pPr>
        <w:jc w:val="both"/>
        <w:ind w:firstLine="656"/>
        <w:spacing w:after="0" w:line="270" w:lineRule="auto"/>
        <w:tabs>
          <w:tab w:leader="none" w:pos="1188"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Extension</w:t>
      </w:r>
      <w:r>
        <w:rPr>
          <w:rFonts w:ascii="Arial" w:cs="Arial" w:eastAsia="Arial" w:hAnsi="Arial"/>
          <w:sz w:val="21"/>
          <w:szCs w:val="21"/>
          <w:color w:val="auto"/>
        </w:rPr>
        <w:t>. If the Committee determines that special circumstances require an extension of time for reviewing the appeal, it shall give written notice to the claimant and the extension shall not exceed sixty (60) days. The notice shall be given before the expiration of the sixty (60) day period described in Section 8.4(a) above and shall indicate the special circumstances requiring the extension and the date by which the Committee expects to render its decision.</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Form of Notice to Claimant</w:t>
      </w:r>
      <w:r>
        <w:rPr>
          <w:rFonts w:ascii="Arial" w:cs="Arial" w:eastAsia="Arial" w:hAnsi="Arial"/>
          <w:sz w:val="22"/>
          <w:szCs w:val="22"/>
          <w:color w:val="auto"/>
        </w:rPr>
        <w:t>. The notice to the claimant shall be given in writing or electronically and shall be written in a manner calculated to be understood by the claimant. If the notice is given electronically, it shall comply with the requirements of Department of Labor Regulation Section 2520.104b-1(c)(1)(i), (iii), and (iv).</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Discretionary Authority of Committee</w:t>
      </w:r>
      <w:r>
        <w:rPr>
          <w:rFonts w:ascii="Arial" w:cs="Arial" w:eastAsia="Arial" w:hAnsi="Arial"/>
          <w:sz w:val="22"/>
          <w:szCs w:val="22"/>
          <w:color w:val="auto"/>
        </w:rPr>
        <w:t>. The Committee shall have full discretionary authority to determine eligibility, status, and the rights of all individuals under the Plan and its component Programs, to construe any and all terms of the Plan and its component Programs, and to find and construe all facts.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AND TERMINATION OF 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62" w:name="page63"/>
    <w:bookmarkEnd w:id="62"/>
    <w:p>
      <w:pPr>
        <w:jc w:val="both"/>
        <w:ind w:firstLine="648"/>
        <w:spacing w:after="0" w:line="253" w:lineRule="auto"/>
        <w:rPr>
          <w:sz w:val="20"/>
          <w:szCs w:val="20"/>
          <w:color w:val="auto"/>
        </w:rPr>
      </w:pPr>
      <w:r>
        <w:rPr>
          <w:rFonts w:ascii="Arial" w:cs="Arial" w:eastAsia="Arial" w:hAnsi="Arial"/>
          <w:sz w:val="22"/>
          <w:szCs w:val="22"/>
          <w:color w:val="auto"/>
        </w:rPr>
        <w:t>The Board may at any time amend, modify, or terminate this Plan and its component Programs; provided, however, that no such amendment may reduce any Participant’s Account Balances under the Plan or any component Program as it existed prior to the date of such amendment or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Source of Payments</w:t>
      </w:r>
      <w:r>
        <w:rPr>
          <w:rFonts w:ascii="Arial" w:cs="Arial" w:eastAsia="Arial" w:hAnsi="Arial"/>
          <w:sz w:val="21"/>
          <w:szCs w:val="21"/>
          <w:color w:val="auto"/>
        </w:rPr>
        <w:t>. Each participating Employer will pay all benefits for its Employees arising under this Plan and its component Programs, and all costs, charges and expenses relating to such benefits, out of its general assets.</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No Assignment or Alienation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307" w:lineRule="auto"/>
        <w:tabs>
          <w:tab w:leader="none" w:pos="1757"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Except as provided in subsection (b) below, the benefits provided for in this Plan and its component Programs shall not be anticipated, assigned (either at law or in equity), alienated, or be subject to attachment, garnishment, levy, execution or other legal or equitable process. Any attempt by any Participant or any Beneficiary to anticipate, assign or alienate any portion of the benefits provided for in this Plan or its component Programs shall be null and void.</w:t>
      </w:r>
    </w:p>
    <w:p>
      <w:pPr>
        <w:spacing w:after="0" w:line="138" w:lineRule="exact"/>
        <w:rPr>
          <w:rFonts w:ascii="Arial" w:cs="Arial" w:eastAsia="Arial" w:hAnsi="Arial"/>
          <w:sz w:val="19"/>
          <w:szCs w:val="19"/>
          <w:color w:val="auto"/>
        </w:rPr>
      </w:pPr>
    </w:p>
    <w:p>
      <w:pPr>
        <w:jc w:val="both"/>
        <w:ind w:firstLine="1305"/>
        <w:spacing w:after="0" w:line="299" w:lineRule="auto"/>
        <w:tabs>
          <w:tab w:leader="none" w:pos="175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Exception: DRO</w:t>
      </w:r>
      <w:r>
        <w:rPr>
          <w:rFonts w:ascii="Arial" w:cs="Arial" w:eastAsia="Arial" w:hAnsi="Arial"/>
          <w:sz w:val="19"/>
          <w:szCs w:val="19"/>
          <w:color w:val="auto"/>
        </w:rPr>
        <w:t>. The restrictions of subsection (a) shall not apply to a distribution to an “alternate payee” (as defined in Code Section 414(p)) pursuant to a “domestic relations order” (“DRO”) within the meaning of Code Section 414(p)(1)</w:t>
      </w: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(B). The Committee shall have the discretion, power, and authority to determine whether an order is a DRO. Upon a determination that an order is a DRO, the Committee shall direct the Employer to distribute to the alternate payee or payees named in the DRO, as directed by the DRO.</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Beneficiaries</w:t>
      </w:r>
      <w:r>
        <w:rPr>
          <w:rFonts w:ascii="Arial" w:cs="Arial" w:eastAsia="Arial" w:hAnsi="Arial"/>
          <w:sz w:val="21"/>
          <w:szCs w:val="21"/>
          <w:color w:val="auto"/>
        </w:rPr>
        <w:t>. A Participant shall have the right, in accordance with forms and procedures established by the Committee, to designate one or more beneficiaries to receive some or all amounts payable under each of the component Programs after the Participant’s death. The Participant need not designate the same Beneficiary for each Program under the Plan. In the absence of an effective beneficiary designation, all payments shall be made to the beneficiary designated by the Participant (or deemed by law to be designated) under the terms of the Investment Plan.</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No Creation of Rights</w:t>
      </w:r>
      <w:r>
        <w:rPr>
          <w:rFonts w:ascii="Arial" w:cs="Arial" w:eastAsia="Arial" w:hAnsi="Arial"/>
          <w:sz w:val="19"/>
          <w:szCs w:val="19"/>
          <w:color w:val="auto"/>
        </w:rPr>
        <w:t>. Nothing in this Plan or its component Programs shall confer upon any Participant the right to continue as an Employee of an Employer. The right of a Participant to receive a cash distribution shall be an unsecured claim against the general assets of his or her Employer. Nothing contained in this Plan or its component Programs nor any action taken hereunder shall create, or be construed to create, a trust of any kind, or a fiduciary relationship between the Company and the Participants, Beneficiaries, or any other persons. All Accounts under the Plan and its component Programs shall be maintained for bookkeeping purposes only and shall not represent a claim against specific assets of any Employer.</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Furnishing Information</w:t>
      </w:r>
      <w:r>
        <w:rPr>
          <w:rFonts w:ascii="Arial" w:cs="Arial" w:eastAsia="Arial" w:hAnsi="Arial"/>
          <w:sz w:val="22"/>
          <w:szCs w:val="22"/>
          <w:color w:val="auto"/>
        </w:rPr>
        <w:t>. A Participant or his or her Beneficiary shall cooperate with the Committee by furnishing any and all information requested by the Committee and take such other actions as may be requested in order to facilitate the administration of the Plan and its component Programs and the payment of benefits thereunder.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Payments to Incompetents</w:t>
      </w:r>
      <w:r>
        <w:rPr>
          <w:rFonts w:ascii="Arial" w:cs="Arial" w:eastAsia="Arial" w:hAnsi="Arial"/>
          <w:sz w:val="22"/>
          <w:szCs w:val="22"/>
          <w:color w:val="auto"/>
        </w:rPr>
        <w:t>. If the Committee determines in its discretion that a benefit under this Plan or any of its component Programs is to be paid to a minor, a person declared incompetent or to a person incapable of handling the disposition of his or her property, the Committee may direct payment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63" w:name="page64"/>
    <w:bookmarkEnd w:id="63"/>
    <w:p>
      <w:pPr>
        <w:jc w:val="both"/>
        <w:spacing w:after="0" w:line="248" w:lineRule="auto"/>
        <w:rPr>
          <w:sz w:val="20"/>
          <w:szCs w:val="20"/>
          <w:color w:val="auto"/>
        </w:rPr>
      </w:pPr>
      <w:r>
        <w:rPr>
          <w:rFonts w:ascii="Arial" w:cs="Arial" w:eastAsia="Arial" w:hAnsi="Arial"/>
          <w:sz w:val="22"/>
          <w:szCs w:val="22"/>
          <w:color w:val="auto"/>
        </w:rPr>
        <w:t>such benefit to the guardian, legal representative or person having the care and custody of such minor, incompetent or incapable person. The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and its component Programs for such payment amount.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Court Order</w:t>
      </w:r>
      <w:r>
        <w:rPr>
          <w:rFonts w:ascii="Arial" w:cs="Arial" w:eastAsia="Arial" w:hAnsi="Arial"/>
          <w:sz w:val="22"/>
          <w:szCs w:val="22"/>
          <w:color w:val="auto"/>
        </w:rPr>
        <w:t>. The Committee is authorized to make any payments directed by court order in any action in which the Plan or the Committee has been named as a party.</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Code Section 409A Savings Clause</w:t>
      </w:r>
      <w:r>
        <w:rPr>
          <w:rFonts w:ascii="Arial" w:cs="Arial" w:eastAsia="Arial" w:hAnsi="Arial"/>
          <w:sz w:val="19"/>
          <w:szCs w:val="19"/>
          <w:color w:val="auto"/>
        </w:rPr>
        <w:t>. The payments and benefits provided under the Plan and its component Programs are intended to be compliant with the requirements of Section 409A of the Code. Notwithstanding any provision of this Plan to the contrary, including, without limitation, Article 9 hereof, in the event that the Company reasonably determines that any payments or benefits hereunder are not either exempt from or compliant with the requirements of Section 409A of the Code, the Company shall have the right adopt such amendments to this Plan and its component Programs or adopt such other policies and procedures (including amendments, policies and procedures with retroactive effect), or take any other actions, that are necessary or appropriate</w:t>
      </w:r>
    </w:p>
    <w:p>
      <w:pPr>
        <w:spacing w:after="0" w:line="3" w:lineRule="exact"/>
        <w:rPr>
          <w:sz w:val="20"/>
          <w:szCs w:val="20"/>
          <w:color w:val="auto"/>
        </w:rPr>
      </w:pPr>
    </w:p>
    <w:p>
      <w:pPr>
        <w:jc w:val="both"/>
        <w:ind w:firstLine="8"/>
        <w:spacing w:after="0" w:line="244" w:lineRule="auto"/>
        <w:tabs>
          <w:tab w:leader="none" w:pos="267" w:val="left"/>
        </w:tabs>
        <w:numPr>
          <w:ilvl w:val="0"/>
          <w:numId w:val="29"/>
        </w:numPr>
        <w:rPr>
          <w:rFonts w:ascii="Arial" w:cs="Arial" w:eastAsia="Arial" w:hAnsi="Arial"/>
          <w:sz w:val="22"/>
          <w:szCs w:val="22"/>
          <w:color w:val="auto"/>
        </w:rPr>
      </w:pPr>
      <w:r>
        <w:rPr>
          <w:rFonts w:ascii="Arial" w:cs="Arial" w:eastAsia="Arial" w:hAnsi="Arial"/>
          <w:sz w:val="22"/>
          <w:szCs w:val="22"/>
          <w:color w:val="auto"/>
        </w:rPr>
        <w:t>to preserve the intended tax treatment of the payments and benefits provided hereunder, to preserve the economic benefits with respect to such payments and benefits, and/or (ii) to exempt such payments and benefits from Section 409A of the Code or to comply with the requirements of Section 409A of the Code and thereby avoid the application of penalty taxes thereunder; provided, however, that this Section 10.8 does not, and shall not be construed so as to, create any obligation on the part of the Company to adopt any such amendments, policies or procedures or to take any other such actions or to indemnify any Participant for any failure to do so.</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Attorney Fees; Interest</w:t>
      </w:r>
      <w:r>
        <w:rPr>
          <w:rFonts w:ascii="Arial" w:cs="Arial" w:eastAsia="Arial" w:hAnsi="Arial"/>
          <w:sz w:val="19"/>
          <w:szCs w:val="19"/>
          <w:color w:val="auto"/>
        </w:rPr>
        <w:t>. The Company agrees to pay as incurred, to the full extent permitted by law all legal fees and expenses which a Participant may reasonably incur as a result of any contest (regardless of the outcome thereof) by the Company, the Participant, or others following a Change in Control regarding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The foregoing right to legal fees and expenses shall not apply to any contest brought by a Participant (or other party seeking payment under the Plan) that is found by a court of competent jurisdiction to be frivolous or vexatious. To the extent that any payments or reimbursements provided to the Participant under this Section are deemed to constitute compensation to the Participant, such amounts shall be paid or reimbursed reasonably promptly, but not later than December 31 of the year following the year in which the expense was incurred. The amount of any payments or expense reimbursements that constitute compensation in one year shall not affect the amount of payments or expense reimbursements constituting compensation that are eligible for payment or reimbursement in any subsequent year, and the Participant’s right to such payments or reimbursement of any such expenses shall not be subject to liquidation or exchange for any other benefit.</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Distribution in the Event of Taxation</w:t>
      </w:r>
      <w:r>
        <w:rPr>
          <w:rFonts w:ascii="Arial" w:cs="Arial" w:eastAsia="Arial" w:hAnsi="Arial"/>
          <w:sz w:val="19"/>
          <w:szCs w:val="19"/>
          <w:color w:val="auto"/>
        </w:rPr>
        <w:t>. If, for any reason, all or any portion of a Participant’s benefits under this Plan or any of its component Programs becomes subject to federal income tax with respect to the Participant prior to receipt, a Participant may petition the Committee for a distribution of that portion of his or her benefit that has become taxable, or such lesser amount as may be permitted by Code Section 409A. Upon the grant of such a petition, which grant shall not be unreasonably withheld, the Employer shall distribute to the Participant immediately available funds in an amount equal to the taxable portion of his or her benefit or such lesser amount as may be permitted by Code Section 409A (which amount shall not exceed a Participant’s unpaid Account Balances). If the petition is granted, the tax liability distribution shall be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22"/>
          <w:szCs w:val="22"/>
          <w:color w:val="auto"/>
        </w:rPr>
        <w:t>made within 90 days of the date when the Participant’s petition is granted. Such a distribution shall affect and reduce the benefits to be paid under this Plan and its component Programs. Any distribution under this Section 10.10 must meet the requirements of Code Section 409A and related Treasury guidance or Regulations.</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preempted by federal law, this Plan and its component Programs shall be governed by the laws of the State of Colorado without regard to conflicts of law principles.</w:t>
      </w:r>
    </w:p>
    <w:p>
      <w:pPr>
        <w:spacing w:after="0" w:line="3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 hereby certify that this revised QEP Resources, Inc. Deferred Compensation Wrap Plan was duly adopted by the Board of Directors of QEP Resources, Inc. on May 15,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this 15th day of May,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456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DEFERRED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a component Program of the</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QEP Resources, Inc. Deferred Compensation Wrap Plan</w:t>
      </w:r>
    </w:p>
    <w:p>
      <w:pPr>
        <w:spacing w:after="0" w:line="2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220"/>
          </w:cols>
          <w:pgMar w:left="1440" w:top="59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Establishment of Program</w:t>
      </w:r>
      <w:r>
        <w:rPr>
          <w:rFonts w:ascii="Arial" w:cs="Arial" w:eastAsia="Arial" w:hAnsi="Arial"/>
          <w:sz w:val="22"/>
          <w:szCs w:val="22"/>
          <w:color w:val="auto"/>
        </w:rPr>
        <w:t>. The Company hereby establishes this revised Deferred Compensation Program under the Wrap Plan, as of January 1, 2012. Unless otherwise defined herein, all capitalized terms herein shall the meanings set forth in the QEP Resources, Inc. Deferred Compensation Wrap Plan.</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Purpose</w:t>
      </w:r>
      <w:r>
        <w:rPr>
          <w:rFonts w:ascii="Arial" w:cs="Arial" w:eastAsia="Arial" w:hAnsi="Arial"/>
          <w:sz w:val="19"/>
          <w:szCs w:val="19"/>
          <w:color w:val="auto"/>
        </w:rPr>
        <w:t>. The purposes of the Deferred Compensation Program are (i) to provide Participants with the opportunity to defer receipt of specified portions of their annual Compensation including Bonuses in order to reduce current taxable income and to provide for future financial needs, and (ii) to provide a benefit to each Participant approximately equal to the benefit the Participant would have received under the Investment Plan if the Participant did not elect to defer Compensation under the Deferred Compensation Program but instead contributed an applicable portion of such amount to the Investment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PARTICIPATION; ELECTIONS</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Participation</w:t>
      </w:r>
      <w:r>
        <w:rPr>
          <w:rFonts w:ascii="Arial" w:cs="Arial" w:eastAsia="Arial" w:hAnsi="Arial"/>
          <w:sz w:val="22"/>
          <w:szCs w:val="22"/>
          <w:color w:val="auto"/>
        </w:rPr>
        <w:t>. An Employee shall be an Eligible Employee for purposes of this Program if he or she is in a salary classification designated by the Committee as eligible to participate in the Program for a Plan Year or is otherwise designated as an Eligible Employee by the Committee.</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Elections</w:t>
      </w:r>
      <w:r>
        <w:rPr>
          <w:rFonts w:ascii="Arial" w:cs="Arial" w:eastAsia="Arial" w:hAnsi="Arial"/>
          <w:sz w:val="21"/>
          <w:szCs w:val="21"/>
          <w:color w:val="auto"/>
        </w:rPr>
        <w:t>. Each Participant shall make elections with regard to the deferral of Compensation and the time and form of payments under the Deferred Compensation Program in accordance with Articles 4 and 6 of the Wrap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DEFERRAL CONTRIBUTIONS</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Plan Year, a Participant, electing to defer Compensation under the Deferred Compensation Program for such Plan Year may defer up to a maximum of 50% of his or her Compensation for such Plan Year, or such larger percentage of Compensation or a component thereof as may be designated by the Committee for a Plan Year. For the avoidance of doubt, to the extent permitted by the Committee for a Plan Year, a Participant may make separate deferral elections with respect to separate components of Compensation, in each case within the time periods required under the Wrap Plan and Section 409A of the Code and the Treasury Regulations thereunder.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MATCHING CONTRIBUTIONS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Determination of Matching Contributions</w:t>
      </w:r>
      <w:r>
        <w:rPr>
          <w:rFonts w:ascii="Arial" w:cs="Arial" w:eastAsia="Arial" w:hAnsi="Arial"/>
          <w:sz w:val="22"/>
          <w:szCs w:val="22"/>
          <w:color w:val="auto"/>
        </w:rPr>
        <w:t>. A Participant who makes Deferral Contributions to the Deferred Compensation Program for a Plan Year may receive a Matching Contribution. The Committee will determine annually the amount, if any, of the Matching Contribution, which, for the avoidance of doubt, may be determined separately for separate components of Deferral Contributions in the discretion of the Committee.</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Vesting</w:t>
      </w:r>
      <w:r>
        <w:rPr>
          <w:rFonts w:ascii="Arial" w:cs="Arial" w:eastAsia="Arial" w:hAnsi="Arial"/>
          <w:sz w:val="22"/>
          <w:szCs w:val="22"/>
          <w:color w:val="auto"/>
        </w:rPr>
        <w:t>. Except with respect to any Deferral Contributions that relate to unvested Compensation, a Participant shall be fully vested at all times in the portion of his or her Account attributable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585" w:right="2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21"/>
          <w:szCs w:val="21"/>
          <w:color w:val="auto"/>
        </w:rPr>
        <w:t>to Deferral Contributions. Any Deferral Contributions that relate to unvested Compensation shall be subject to the same vesting terms, conditions and provisions as applied to the underlying Compensation (or component thereof) to which the Deferral Contributions relate. A Participant shall be vested in the portion of his or her Account attributable to Matching Contributions to the same extent as such Participant is vested in any matching contributions under the Investment Plan, unless otherwise determined by the Committee at the time of making any applicable Matching Contribution.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ACCOUNTS; DEEMED INVESTMENTS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Accounts</w:t>
      </w:r>
      <w:r>
        <w:rPr>
          <w:rFonts w:ascii="Arial" w:cs="Arial" w:eastAsia="Arial" w:hAnsi="Arial"/>
          <w:sz w:val="19"/>
          <w:szCs w:val="19"/>
          <w:color w:val="auto"/>
        </w:rPr>
        <w:t>. The Committee shall establish an Account for each Participant with at least two sub-accounts as follows:</w:t>
      </w:r>
    </w:p>
    <w:p>
      <w:pPr>
        <w:spacing w:after="0" w:line="341" w:lineRule="exact"/>
        <w:rPr>
          <w:sz w:val="20"/>
          <w:szCs w:val="20"/>
          <w:color w:val="auto"/>
        </w:rPr>
      </w:pPr>
    </w:p>
    <w:p>
      <w:pPr>
        <w:jc w:val="both"/>
        <w:ind w:firstLine="1305"/>
        <w:spacing w:after="0" w:line="260" w:lineRule="auto"/>
        <w:tabs>
          <w:tab w:leader="none" w:pos="177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Deferred Compensation Sub-Account which shall reflect all Deferral Contributions made by the Participant for each Plan Year, together with any adjustments for income, gain or loss and any payments from such sub-account as provided herein;</w:t>
      </w:r>
    </w:p>
    <w:p>
      <w:pPr>
        <w:spacing w:after="0" w:line="285"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Matching Contribution Sub-Account which shall reflect all Company Matching Contributions made under the Deferred Compensation Program for each Plan Year, together with any adjustments for income, gain or loss and any payments from such sub-account as provided herein.</w:t>
      </w:r>
    </w:p>
    <w:p>
      <w:pPr>
        <w:spacing w:after="0" w:line="2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Committee shall establish such other sub-accounts as it deems necessary or desirable for the proper administration of the Deferred Compensation Program. Amounts deferred by a Participant under the Deferred Compensation Program shall be credited to the Participant’s Account as soon as administratively practicable after the amounts would have otherwise been paid to the Participant.</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Status of Accounts</w:t>
      </w:r>
      <w:r>
        <w:rPr>
          <w:rFonts w:ascii="Arial" w:cs="Arial" w:eastAsia="Arial" w:hAnsi="Arial"/>
          <w:sz w:val="22"/>
          <w:szCs w:val="22"/>
          <w:color w:val="auto"/>
        </w:rPr>
        <w:t>. Accounts and sub-accounts established hereunder shall be record-keeping devices utilized for the sole purpose of determining benefits payable under the Deferred Compensation Program, and will not constitute a separate fund of assets but shall continue for all purposes to be part of the general, unrestricted assets of the Employer, subject to the claims of its general creditors.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Deemed Investment of Amounts Deferred</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1" w:lineRule="auto"/>
        <w:tabs>
          <w:tab w:leader="none" w:pos="1851"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Deferred Compensation Program</w:t>
      </w:r>
      <w:r>
        <w:rPr>
          <w:rFonts w:ascii="Arial" w:cs="Arial" w:eastAsia="Arial" w:hAnsi="Arial"/>
          <w:sz w:val="19"/>
          <w:szCs w:val="19"/>
          <w:color w:val="auto"/>
        </w:rPr>
        <w:t>. In connection with his or her enrollment in the Deferred Compensation Program, a Participant may elect to have earnings, gains, or losses with respect to his or her Matching Contribution Sub-Account and Deferred Compensation Sub-Account calculated based on the deemed investment alternatives below, in increments of 1%. In the event the Participant fails to make an election regarding the deemed investment of his or her Matching Contribution Sub-Account and Deferred Compensation Sub-Account, the Participant shall be deemed to have elected to invest 100% of his or her Matching Contribution Sub-Account and Deferred Compensation Sub-Account in the Money Market Fund within Investment Option (as described below). The Participant’s investment election shall continue in effect unless and until modified by the Participant. Any such modification shall apply prospectively and may apply to amounts previously deferred under the Deferred Compensation Program (and related earnings).</w:t>
      </w:r>
    </w:p>
    <w:p>
      <w:pPr>
        <w:spacing w:after="0" w:line="154" w:lineRule="exact"/>
        <w:rPr>
          <w:rFonts w:ascii="Arial" w:cs="Arial" w:eastAsia="Arial" w:hAnsi="Arial"/>
          <w:sz w:val="19"/>
          <w:szCs w:val="19"/>
          <w:color w:val="auto"/>
        </w:rPr>
      </w:pPr>
    </w:p>
    <w:p>
      <w:pPr>
        <w:jc w:val="both"/>
        <w:ind w:firstLine="1305"/>
        <w:spacing w:after="0" w:line="300" w:lineRule="auto"/>
        <w:tabs>
          <w:tab w:leader="none" w:pos="178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Common Stock Option</w:t>
      </w:r>
      <w:r>
        <w:rPr>
          <w:rFonts w:ascii="Arial" w:cs="Arial" w:eastAsia="Arial" w:hAnsi="Arial"/>
          <w:sz w:val="19"/>
          <w:szCs w:val="19"/>
          <w:color w:val="auto"/>
        </w:rPr>
        <w:t>. Any portion of the Matching Contribution Sub-Account and Deferred Compensation Sub-Account deemed invested under this option (the “Common Stock Option”) shall be accounted for as if invested in shares of Common Stock purchased at Fair Market Value on the date on which a Deferral Contribution is credited to the Participant’s Account. The Participant’s Matching Contribution Sub-Account and Deferred Compensation Sub-Account shall be credited on a quarterly basis with an amount equal to the dividends that would have become payable during the deferral period if actual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591" w:right="239" w:bottom="1440" w:gutter="0" w:footer="0" w:header="0"/>
        </w:sectPr>
      </w:pPr>
    </w:p>
    <w:bookmarkStart w:id="68" w:name="page69"/>
    <w:bookmarkEnd w:id="68"/>
    <w:p>
      <w:pPr>
        <w:jc w:val="both"/>
        <w:spacing w:after="0" w:line="265" w:lineRule="auto"/>
        <w:rPr>
          <w:sz w:val="20"/>
          <w:szCs w:val="20"/>
          <w:color w:val="auto"/>
        </w:rPr>
      </w:pPr>
      <w:r>
        <w:rPr>
          <w:rFonts w:ascii="Arial" w:cs="Arial" w:eastAsia="Arial" w:hAnsi="Arial"/>
          <w:sz w:val="21"/>
          <w:szCs w:val="21"/>
          <w:color w:val="auto"/>
        </w:rPr>
        <w:t>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 The Committee may prescribe such limitations as it deems advisable in its sole discretion on a Participant’s deemed investment in the Common Stock Option.</w:t>
      </w:r>
    </w:p>
    <w:p>
      <w:pPr>
        <w:spacing w:after="0" w:line="176" w:lineRule="exact"/>
        <w:rPr>
          <w:sz w:val="20"/>
          <w:szCs w:val="20"/>
          <w:color w:val="auto"/>
        </w:rPr>
      </w:pPr>
    </w:p>
    <w:p>
      <w:pPr>
        <w:jc w:val="both"/>
        <w:ind w:firstLine="1305"/>
        <w:spacing w:after="0" w:line="251" w:lineRule="auto"/>
        <w:tabs>
          <w:tab w:leader="none" w:pos="173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Investment Options</w:t>
      </w:r>
      <w:r>
        <w:rPr>
          <w:rFonts w:ascii="Arial" w:cs="Arial" w:eastAsia="Arial" w:hAnsi="Arial"/>
          <w:sz w:val="22"/>
          <w:szCs w:val="22"/>
          <w:color w:val="auto"/>
        </w:rPr>
        <w:t>. Any portion of the Matching Contribution Sub-Account and Deferred Compensation Sub-Account deemed invested under this option (the “Investment Option”) shall be deemed invested in one or more of the investment options made available from time to time for Participants under the Plan. Each such deemed investment shall be credited or debited with earnings or losses as if the amount invested had been invested in the applicable investment fund made available by the Committee.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All distributions of a Participant’s Account under the Deferred Compensation Program shall be made in accordance with the Participant’s election(s) (or deemed election(s)) under Articles 4 and 6 of the Wrap Plan.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59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i w:val="1"/>
          <w:i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401(k) SUPPLEMENTAL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a component Program of the</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QEP Resources, Inc. Deferred Compensation Wrap Plan</w:t>
      </w:r>
    </w:p>
    <w:p>
      <w:pPr>
        <w:spacing w:after="0" w:line="25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20"/>
          </w:cols>
          <w:pgMar w:left="1440" w:top="59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401(k) SUPPLEMENTAL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Establishment of Program</w:t>
      </w:r>
      <w:r>
        <w:rPr>
          <w:rFonts w:ascii="Arial" w:cs="Arial" w:eastAsia="Arial" w:hAnsi="Arial"/>
          <w:sz w:val="22"/>
          <w:szCs w:val="22"/>
          <w:color w:val="auto"/>
        </w:rPr>
        <w:t>. The Company hereby establishes this revised 401(k) Supplemental Program under the Wrap Plan, as of January 1, 2016. Unless otherwise defined herein, all capitalized terms herein shall the meanings set forth in the QEP Resources, Inc. Deferred Compensation Wrap Plan.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401(k) Supplemental Program is to provide a benefit to a Participant approximately equal to the benefit that the Participant would have received under the Investment Plan if the Compensation Limit were inapplicable, and to provide certain transition credits for Participants whose accrued benefits in the QEP Resources, Inc. Retirement Plan were frozen as of December 31,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PARTICIPATION; ELECTIONS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Participation</w:t>
      </w:r>
      <w:r>
        <w:rPr>
          <w:rFonts w:ascii="Arial" w:cs="Arial" w:eastAsia="Arial" w:hAnsi="Arial"/>
          <w:sz w:val="19"/>
          <w:szCs w:val="19"/>
          <w:color w:val="auto"/>
        </w:rPr>
        <w:t>.</w:t>
      </w:r>
    </w:p>
    <w:p>
      <w:pPr>
        <w:spacing w:after="0" w:line="2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An Employee shall be an Eligible Employee for purposes of this Program if he or she is in a salary classification designated by the Committee as eligible to participate in the Program for a Plan Year or is otherwise designated as an Eligible Employee by the Committee and will receive Compensation in excess of a threshold established by the Committee. An Employee shall begin participation in the 401(k) Supplemental Program on the date in any Plan Year that the Employee first receives Compensation in excess of the Compensation Limit or on a date in any Plan Year as otherwise determined by the Compensation Committee.</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Elections</w:t>
      </w:r>
      <w:r>
        <w:rPr>
          <w:rFonts w:ascii="Arial" w:cs="Arial" w:eastAsia="Arial" w:hAnsi="Arial"/>
          <w:sz w:val="22"/>
          <w:szCs w:val="22"/>
          <w:color w:val="auto"/>
        </w:rPr>
        <w:t>. Each Participant shall make elections with regard to the deferral of Compensation and the time and form of payments under the 401(k) Supplemental Program in accordance with Articles 4 and 6 of the Wrap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DEFERRAL CONTRIBUTIONS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Plan Year, a Participant electing to defer Compensation under the 401(k) Supplemental Program must defer a percentage of his or her compensation equal to the company matching contributions as determined for the Investment Plan commencing on the date the Participant is deemed eligible to begin participation in the Program.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MATCHING CONTRIBUTIONS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Participant who makes Deferral Contributions to the 401(k) Supplemental Program for a Plan Year shall be entitled to a Matching Contribution for such Plan Year in an amount equal to the amount deferred by the Participant.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TRANSITION CREDITS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any Plan Year beginning on or after January 1, 2016, the Company shall make certain age-based contributions (“Transition Credits”) to the 401(k) Supplemental Program in accordance with the table below for Participants who were active participants in the Company’s Retirement Plan on December 31, 2015,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585" w:right="239" w:bottom="1440" w:gutter="0" w:footer="0" w:header="0"/>
        </w:sectPr>
      </w:pPr>
    </w:p>
    <w:bookmarkStart w:id="71" w:name="page72"/>
    <w:bookmarkEnd w:id="71"/>
    <w:p>
      <w:pPr>
        <w:jc w:val="both"/>
        <w:spacing w:after="0" w:line="253" w:lineRule="auto"/>
        <w:rPr>
          <w:sz w:val="20"/>
          <w:szCs w:val="20"/>
          <w:color w:val="auto"/>
        </w:rPr>
      </w:pPr>
      <w:r>
        <w:rPr>
          <w:rFonts w:ascii="Arial" w:cs="Arial" w:eastAsia="Arial" w:hAnsi="Arial"/>
          <w:sz w:val="22"/>
          <w:szCs w:val="22"/>
          <w:color w:val="auto"/>
        </w:rPr>
        <w:t>who are employed on the day of the last payroll of the Plan Year for which such Company Transition Credit is made. For purposes of this Article 5, the Transition Credits for Participants shall be an amount equal to the percentage of Compensation based on each Participant’s age on December 31, 2015, in accordance with the table below.</w:t>
      </w:r>
    </w:p>
    <w:p>
      <w:pPr>
        <w:spacing w:after="0" w:line="309" w:lineRule="exact"/>
        <w:rPr>
          <w:sz w:val="20"/>
          <w:szCs w:val="20"/>
          <w:color w:val="auto"/>
        </w:rPr>
      </w:pPr>
    </w:p>
    <w:tbl>
      <w:tblPr>
        <w:tblLayout w:type="fixed"/>
        <w:tblInd w:w="1310" w:type="dxa"/>
        <w:tblCellMar>
          <w:top w:w="0" w:type="dxa"/>
          <w:left w:w="0" w:type="dxa"/>
          <w:bottom w:w="0" w:type="dxa"/>
          <w:right w:w="0" w:type="dxa"/>
        </w:tblCellMar>
      </w:tblPr>
      <w:tr>
        <w:trPr>
          <w:trHeight w:val="257"/>
        </w:trPr>
        <w:tc>
          <w:tcPr>
            <w:tcW w:w="4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91"/>
              </w:rPr>
              <w:t>Age of Eligible Employee on December 31, 2015</w:t>
            </w:r>
          </w:p>
        </w:tc>
        <w:tc>
          <w:tcPr>
            <w:tcW w:w="396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161616"/>
              </w:rPr>
              <w:t>Percentage of Compensation</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7"/>
        </w:trPr>
        <w:tc>
          <w:tcPr>
            <w:tcW w:w="4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89"/>
              </w:rPr>
              <w:t>Less than 40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61616"/>
                <w:w w:val="92"/>
              </w:rPr>
              <w:t>2%</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7"/>
        </w:trPr>
        <w:tc>
          <w:tcPr>
            <w:tcW w:w="4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90"/>
              </w:rPr>
              <w:t>At least 40 but less than 50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61616"/>
                <w:w w:val="92"/>
              </w:rPr>
              <w:t>6%</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7"/>
        </w:trPr>
        <w:tc>
          <w:tcPr>
            <w:tcW w:w="4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91"/>
              </w:rPr>
              <w:t>At least 50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61616"/>
                <w:w w:val="94"/>
              </w:rPr>
              <w:t>15%</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VESTING</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 Participant shall be fully vested at all times in the portion of his or her Account attributable to Deferral Contributions and shall be vested in the portion of his or her Account attributable to Matching Contributions and Transition Credits to the same extent as such Participant is vested in any matching contributions under the Investment Plan.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ACCOUNTS; DEEMED INVESTMENTS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Accounts</w:t>
      </w:r>
      <w:r>
        <w:rPr>
          <w:rFonts w:ascii="Arial" w:cs="Arial" w:eastAsia="Arial" w:hAnsi="Arial"/>
          <w:sz w:val="21"/>
          <w:szCs w:val="21"/>
          <w:color w:val="auto"/>
        </w:rPr>
        <w:t>. The Committee shall establish an Account and sub-accounts for each Participant as are necessary for the proper administration of the 401(k) Supplemental Program. Such Accounts shall reflect Deferral Contributions, Matching Contributions and Transition Credits made by or on behalf of the Participant, together with any adjustments for income, gain or loss and any payments from the Account as provided herein. Deferral Contributions and related Matching Contributions shall be credited to the Participant’s Account as soon as administratively practicable after the Deferral Contribution would have otherwise been paid to the Participant. The Transition Credits shall be credited to Participants Accounts not later than the last day of the year for which the Transition Credit is made.</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Status of Accounts</w:t>
      </w:r>
      <w:r>
        <w:rPr>
          <w:rFonts w:ascii="Arial" w:cs="Arial" w:eastAsia="Arial" w:hAnsi="Arial"/>
          <w:sz w:val="22"/>
          <w:szCs w:val="22"/>
          <w:color w:val="auto"/>
        </w:rPr>
        <w:t>. Accounts and sub-accounts established hereunder shall be record-keeping devices utilized for the sole purpose of determining benefits payable under the 401(k) Supplemental Program, and will not constitute a separate fund of assets but shall continue for all purposes to be part of the general, unrestricted assets of the Employer, subject to the claims of its general creditors.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Deemed Investment of Accounts in 401(k) Supplemental Program</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8" w:lineRule="auto"/>
        <w:tabs>
          <w:tab w:leader="none" w:pos="173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401(k) Supplemental Program</w:t>
      </w:r>
      <w:r>
        <w:rPr>
          <w:rFonts w:ascii="Arial" w:cs="Arial" w:eastAsia="Arial" w:hAnsi="Arial"/>
          <w:sz w:val="22"/>
          <w:szCs w:val="22"/>
          <w:color w:val="auto"/>
        </w:rPr>
        <w:t>. In connection with his or her enrollment in the 401(k) Supplemental Program, a Participant may elect to have earnings, gains, or losses with respect to his or her Matching Contributions, Deferral Contributions and Transition Credits Account calculated based on the deemed investment alternatives below, in increments of 1%. In the event the Participant fails to make an election regarding the deemed investment of his or her Account, the Participant shall be deemed to have elected to invest 100% of his or her Account in the Money Market Fund within the Investment Plan Option (as described below). The Participant’s investment election shall continue in effect unless and until modified by the Participant. Any such modification shall apply prospectively and may apply to amounts previously credited under the 401(k) Supplemental Program (and related earnings).</w:t>
      </w:r>
    </w:p>
    <w:p>
      <w:pPr>
        <w:spacing w:after="0" w:line="191" w:lineRule="exact"/>
        <w:rPr>
          <w:rFonts w:ascii="Arial" w:cs="Arial" w:eastAsia="Arial" w:hAnsi="Arial"/>
          <w:sz w:val="22"/>
          <w:szCs w:val="22"/>
          <w:color w:val="auto"/>
        </w:rPr>
      </w:pPr>
    </w:p>
    <w:p>
      <w:pPr>
        <w:ind w:right="20" w:firstLine="1305"/>
        <w:spacing w:after="0" w:line="276" w:lineRule="auto"/>
        <w:tabs>
          <w:tab w:leader="none" w:pos="190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Common Stock Option</w:t>
      </w:r>
      <w:r>
        <w:rPr>
          <w:rFonts w:ascii="Arial" w:cs="Arial" w:eastAsia="Arial" w:hAnsi="Arial"/>
          <w:sz w:val="22"/>
          <w:szCs w:val="22"/>
          <w:color w:val="auto"/>
        </w:rPr>
        <w:t>. Any portion of a Participant’s Account deemed invested under this option (the “Common Stock Option”) shall be accounted for as if invested in shares of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591" w:right="2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21"/>
          <w:szCs w:val="21"/>
          <w:color w:val="auto"/>
        </w:rPr>
        <w:t>purchased at Fair Market Value on the date on which a Matching Contribution, Deferral Contribution or Transition Credit is credited to the Participant’s Account. The Participant’s 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 The Committee may prescribe such limitations as it deems advisable in its sole discretion on a Participant’s deemed investment in the Common Stock Option.</w:t>
      </w:r>
    </w:p>
    <w:p>
      <w:pPr>
        <w:spacing w:after="0" w:line="181" w:lineRule="exact"/>
        <w:rPr>
          <w:sz w:val="20"/>
          <w:szCs w:val="20"/>
          <w:color w:val="auto"/>
        </w:rPr>
      </w:pPr>
    </w:p>
    <w:p>
      <w:pPr>
        <w:jc w:val="both"/>
        <w:ind w:firstLine="1305"/>
        <w:spacing w:after="0" w:line="254" w:lineRule="auto"/>
        <w:tabs>
          <w:tab w:leader="none" w:pos="187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Investment Plan Option</w:t>
      </w:r>
      <w:r>
        <w:rPr>
          <w:rFonts w:ascii="Arial" w:cs="Arial" w:eastAsia="Arial" w:hAnsi="Arial"/>
          <w:sz w:val="22"/>
          <w:szCs w:val="22"/>
          <w:color w:val="auto"/>
        </w:rPr>
        <w:t>. Any portion of a Participant’s Account deemed invested under this option (the “Investment Plan Option”) shall be deemed invested in one or more of the investment options made available from time to time for Participants under the Plan. Each such deemed investment shall be credited or debited with earnings or losses as if the amount invested had been invested in the underlying fund in the Investment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All distributions of a Participant’s Account under the 401(k) Supplemental Program shall be made in accordance with the Participant’s election(s) (or deemed election(s)) under Articles 4 and 6 of the Wrap Plan.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591" w:right="2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QEP RESOURCES,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DEFERRED COMPENSATION PLAN FOR DIRECTORS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On July 24, 2017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1440"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 FOR DIRECTORS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Purpose</w:t>
      </w:r>
      <w:r>
        <w:rPr>
          <w:rFonts w:ascii="Arial" w:cs="Arial" w:eastAsia="Arial" w:hAnsi="Arial"/>
          <w:sz w:val="19"/>
          <w:szCs w:val="19"/>
          <w:color w:val="auto"/>
        </w:rPr>
        <w:t>. QEP Resources, Inc., a Delaware corporation (the “Company”), hereby establishes this QEP Resources, Inc. Deferred Compensation Plan for Directors (the “Plan”) to provide Directors (as defined below) of the Company and its participating Affiliates (as defined below) with an opportunity to defer compensation paid to them for their services as Directors and to maintain a deferred compensation account until they cease to serve as Directors of the Company and its Affiliates.</w:t>
      </w:r>
    </w:p>
    <w:p>
      <w:pPr>
        <w:spacing w:after="0" w:line="138"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Status of Plan</w:t>
      </w:r>
      <w:r>
        <w:rPr>
          <w:rFonts w:ascii="Arial" w:cs="Arial" w:eastAsia="Arial" w:hAnsi="Arial"/>
          <w:sz w:val="22"/>
          <w:szCs w:val="22"/>
          <w:color w:val="auto"/>
        </w:rPr>
        <w:t>. This Plan is intended to be an unfunded, nonqualified deferred compensation arrangement designed to comply with Section 409A of the Internal Revenue Code of 1986, as amended, and the regulations and guidance promulgated thereunder. Notwithstanding any other provision herein, this Plan shall be interpreted, operated and administered in a manner consistent with these intentions.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purposes of the Plan, the following terms or phrases shall have the following indicated meanings, unless the context clearly requires otherwise:</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Account</w:t>
      </w:r>
      <w:r>
        <w:rPr>
          <w:rFonts w:ascii="Arial" w:cs="Arial" w:eastAsia="Arial" w:hAnsi="Arial"/>
          <w:sz w:val="19"/>
          <w:szCs w:val="19"/>
          <w:color w:val="auto"/>
        </w:rPr>
        <w:t>” or “</w:t>
      </w:r>
      <w:r>
        <w:rPr>
          <w:rFonts w:ascii="Arial" w:cs="Arial" w:eastAsia="Arial" w:hAnsi="Arial"/>
          <w:sz w:val="19"/>
          <w:szCs w:val="19"/>
          <w:u w:val="single" w:color="auto"/>
          <w:color w:val="auto"/>
        </w:rPr>
        <w:t>Account Balance</w:t>
      </w:r>
      <w:r>
        <w:rPr>
          <w:rFonts w:ascii="Arial" w:cs="Arial" w:eastAsia="Arial" w:hAnsi="Arial"/>
          <w:sz w:val="19"/>
          <w:szCs w:val="19"/>
          <w:color w:val="auto"/>
        </w:rPr>
        <w:t>” means, for each Participant, the account established for his or her benefit under the Plan, which records the credit on the records of the Company and its Affiliates equal to the amounts set aside under the Plan and the actual or deemed earnings, if any, credited to such account. The Account Balance, and each other specified account or sub-account, shall be a bookkeeping entry only and shall be used solely as a device for the measurement and determination of the amounts to be paid to a Participant, or his or her designated Beneficiary, pursuant to this Plan.</w:t>
      </w:r>
    </w:p>
    <w:p>
      <w:pPr>
        <w:spacing w:after="0" w:line="14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that is treated as the same employer as the Company under Sections 414(b), (c), (m), or</w:t>
      </w:r>
    </w:p>
    <w:p>
      <w:pPr>
        <w:spacing w:after="0" w:line="22" w:lineRule="exact"/>
        <w:rPr>
          <w:sz w:val="20"/>
          <w:szCs w:val="20"/>
          <w:color w:val="auto"/>
        </w:rPr>
      </w:pPr>
    </w:p>
    <w:p>
      <w:pPr>
        <w:ind w:firstLine="8"/>
        <w:spacing w:after="0" w:line="259" w:lineRule="auto"/>
        <w:tabs>
          <w:tab w:leader="none" w:pos="331" w:val="left"/>
        </w:tabs>
        <w:numPr>
          <w:ilvl w:val="0"/>
          <w:numId w:val="35"/>
        </w:numPr>
        <w:rPr>
          <w:rFonts w:ascii="Arial" w:cs="Arial" w:eastAsia="Arial" w:hAnsi="Arial"/>
          <w:sz w:val="22"/>
          <w:szCs w:val="22"/>
          <w:color w:val="auto"/>
        </w:rPr>
      </w:pPr>
      <w:r>
        <w:rPr>
          <w:rFonts w:ascii="Arial" w:cs="Arial" w:eastAsia="Arial" w:hAnsi="Arial"/>
          <w:sz w:val="22"/>
          <w:szCs w:val="22"/>
          <w:color w:val="auto"/>
        </w:rPr>
        <w:t>of the Code (defined below), any entity required to be aggregated with the Company pursuant to regulations adopted under Code Section 409A, or any entity otherwise designated as an Affiliate by the Company.</w:t>
      </w:r>
    </w:p>
    <w:p>
      <w:pPr>
        <w:spacing w:after="0" w:line="179"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2.3 “</w:t>
      </w:r>
      <w:r>
        <w:rPr>
          <w:rFonts w:ascii="Arial" w:cs="Arial" w:eastAsia="Arial" w:hAnsi="Arial"/>
          <w:sz w:val="22"/>
          <w:szCs w:val="22"/>
          <w:u w:val="single" w:color="auto"/>
          <w:color w:val="auto"/>
        </w:rPr>
        <w:t>Beneficiary</w:t>
      </w:r>
      <w:r>
        <w:rPr>
          <w:rFonts w:ascii="Arial" w:cs="Arial" w:eastAsia="Arial" w:hAnsi="Arial"/>
          <w:sz w:val="22"/>
          <w:szCs w:val="22"/>
          <w:color w:val="auto"/>
        </w:rPr>
        <w:t>” means that person or persons who become entitled to receive a distribution of benefits under the Plan in the event of the death of a Participant prior to the distribution of all benefits to which he or she is entitled.</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2.5 “</w:t>
      </w:r>
      <w:r>
        <w:rPr>
          <w:rFonts w:ascii="Arial" w:cs="Arial" w:eastAsia="Arial" w:hAnsi="Arial"/>
          <w:sz w:val="21"/>
          <w:szCs w:val="21"/>
          <w:u w:val="single" w:color="auto"/>
          <w:color w:val="auto"/>
        </w:rPr>
        <w:t>Cash Compensation</w:t>
      </w:r>
      <w:r>
        <w:rPr>
          <w:rFonts w:ascii="Arial" w:cs="Arial" w:eastAsia="Arial" w:hAnsi="Arial"/>
          <w:sz w:val="21"/>
          <w:szCs w:val="21"/>
          <w:color w:val="auto"/>
        </w:rPr>
        <w:t>” means compensation payable to a Director in cash for serving as a Director, including attending Board and committee meetings as a Director, during a Plan Year, but excluding any expense reimbursements.</w:t>
      </w:r>
    </w:p>
    <w:p>
      <w:pPr>
        <w:spacing w:after="0" w:line="13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have occurred if: (i) any individual, entity, or group (within the meaning of Section 13(d)(3) or 14(d)(2) of the Securities Exchange Act of 1934 (the “Exchange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1" w:right="239" w:bottom="1440" w:gutter="0" w:footer="0" w:header="0"/>
        </w:sectPr>
      </w:pPr>
    </w:p>
    <w:bookmarkStart w:id="75" w:name="page76"/>
    <w:bookmarkEnd w:id="75"/>
    <w:p>
      <w:pPr>
        <w:jc w:val="both"/>
        <w:spacing w:after="0" w:line="284" w:lineRule="auto"/>
        <w:rPr>
          <w:sz w:val="20"/>
          <w:szCs w:val="20"/>
          <w:color w:val="auto"/>
        </w:rPr>
      </w:pPr>
      <w:r>
        <w:rPr>
          <w:rFonts w:ascii="Arial" w:cs="Arial" w:eastAsia="Arial" w:hAnsi="Arial"/>
          <w:sz w:val="19"/>
          <w:szCs w:val="19"/>
          <w:color w:val="auto"/>
        </w:rPr>
        <w:t>Act”))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 consummation of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for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to the extent required by Section 409A of the Code.</w:t>
      </w:r>
    </w:p>
    <w:p>
      <w:pPr>
        <w:spacing w:after="0" w:line="31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no par value common stock of the Company.</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Common Stock Option</w:t>
      </w:r>
      <w:r>
        <w:rPr>
          <w:rFonts w:ascii="Arial" w:cs="Arial" w:eastAsia="Arial" w:hAnsi="Arial"/>
          <w:sz w:val="22"/>
          <w:szCs w:val="22"/>
          <w:color w:val="auto"/>
        </w:rPr>
        <w:t>” means the investment option available under Section 5.3(b)(i) with respect to a Participant’s election to defer cash compensation that is deemed to invest in Common Stock as set forth therein.</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Company</w:t>
      </w:r>
      <w:r>
        <w:rPr>
          <w:rFonts w:ascii="Arial" w:cs="Arial" w:eastAsia="Arial" w:hAnsi="Arial"/>
          <w:sz w:val="22"/>
          <w:szCs w:val="22"/>
          <w:color w:val="auto"/>
        </w:rPr>
        <w:t>” means QEP Resources, Inc., a corporation organized and existing under the laws of the State of Delaware, or its successor or successors.</w:t>
      </w:r>
    </w:p>
    <w:p>
      <w:pPr>
        <w:spacing w:after="0" w:line="16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2.11 “</w:t>
      </w:r>
      <w:r>
        <w:rPr>
          <w:rFonts w:ascii="Arial" w:cs="Arial" w:eastAsia="Arial" w:hAnsi="Arial"/>
          <w:sz w:val="19"/>
          <w:szCs w:val="19"/>
          <w:u w:val="single" w:color="auto"/>
          <w:color w:val="auto"/>
        </w:rPr>
        <w:t>Company Equity Plan</w:t>
      </w:r>
      <w:r>
        <w:rPr>
          <w:rFonts w:ascii="Arial" w:cs="Arial" w:eastAsia="Arial" w:hAnsi="Arial"/>
          <w:sz w:val="19"/>
          <w:szCs w:val="19"/>
          <w:color w:val="auto"/>
        </w:rPr>
        <w:t>” means the QEP Resources Inc. 2010 Long-Term Stock Incentive Plan, as it may be amended or restated from time to time, or, to the extent applicable, any future or successor equity compensation plan of the Company.</w:t>
      </w:r>
    </w:p>
    <w:p>
      <w:pPr>
        <w:spacing w:after="0" w:line="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Disability</w:t>
      </w:r>
      <w:r>
        <w:rPr>
          <w:rFonts w:ascii="Arial" w:cs="Arial" w:eastAsia="Arial" w:hAnsi="Arial"/>
          <w:sz w:val="22"/>
          <w:szCs w:val="22"/>
          <w:color w:val="auto"/>
        </w:rPr>
        <w:t>” means a condition that renders a Participant unable to engage in any substantial gainful activity by reason of any medically determinable physical or mental impairment which can be expected to result in death or can be expected to last for a continuous period of not less than 12 months, as described in Treas. Reg. Section 1.409A-3(i)(4)(i)(A). A Participant shall not be considered to be disabled unless the Participant furnishes proof of the existence of such disability in such form and manner as may be required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by regulations promulgated under, or applicable to, Code Section 409A.</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 or the Board of Directors of any participating Affiliate who is not an employee (as defined in accordance with Section 3401(c) of the Code and the regulations and revenue rulings thereunder) of the Company or any of its Affiliates.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the closing benchmark price of the Company’s Common Stock as reported on the composite tape of the New York Stock Exchange for any given valuation date, or if the Common Stock shall not have been traded on such date, the closing price on the next preceding day on which a sale occurred.</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any Director who has commenced participation in the Plan in accordance with Article 3.</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Phantom Stock</w:t>
      </w:r>
      <w:r>
        <w:rPr>
          <w:rFonts w:ascii="Arial" w:cs="Arial" w:eastAsia="Arial" w:hAnsi="Arial"/>
          <w:sz w:val="22"/>
          <w:szCs w:val="22"/>
          <w:color w:val="auto"/>
        </w:rPr>
        <w:t>” means an economic unit equal in value to one share of Common Stock, which is issued to a Director as compensation for services performed as a Director pursuant to this Plan and the QEP Resources, Inc. 2010 Long-Term Stock Incentive Plan, as amended or restated from time to time, based upon his or her election to receive such Phantom Stock in lieu of Restricted Stock pursuant to this Plan.</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2.17 “</w:t>
      </w:r>
      <w:r>
        <w:rPr>
          <w:rFonts w:ascii="Arial" w:cs="Arial" w:eastAsia="Arial" w:hAnsi="Arial"/>
          <w:sz w:val="21"/>
          <w:szCs w:val="21"/>
          <w:u w:val="single" w:color="auto"/>
          <w:color w:val="auto"/>
        </w:rPr>
        <w:t>Phantom Stock Agreement</w:t>
      </w:r>
      <w:r>
        <w:rPr>
          <w:rFonts w:ascii="Arial" w:cs="Arial" w:eastAsia="Arial" w:hAnsi="Arial"/>
          <w:sz w:val="21"/>
          <w:szCs w:val="21"/>
          <w:color w:val="auto"/>
        </w:rPr>
        <w:t>” means an agreement that may be entered into between the Company and a Director containing terms and conditions applicable to Phantom Stock allocated to the Director under the Plan. A Phantom Stock Agreement will be entered into with Directors under the Plan only if and to the extent determined by the Board.</w:t>
      </w:r>
    </w:p>
    <w:p>
      <w:pPr>
        <w:spacing w:after="0" w:line="1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2.18 “</w:t>
      </w:r>
      <w:r>
        <w:rPr>
          <w:rFonts w:ascii="Arial" w:cs="Arial" w:eastAsia="Arial" w:hAnsi="Arial"/>
          <w:sz w:val="22"/>
          <w:szCs w:val="22"/>
          <w:u w:val="single" w:color="auto"/>
          <w:color w:val="auto"/>
        </w:rPr>
        <w:t>Plan</w:t>
      </w:r>
      <w:r>
        <w:rPr>
          <w:rFonts w:ascii="Arial" w:cs="Arial" w:eastAsia="Arial" w:hAnsi="Arial"/>
          <w:sz w:val="22"/>
          <w:szCs w:val="22"/>
          <w:color w:val="auto"/>
        </w:rPr>
        <w:t>” means this QEP Resources, Inc. Deferred Compensation Plan for Directors, as amended or restated from time to time.</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the restricted shares of Common Stock of the Company issued to a Director as compensation for services performed as a Director.</w:t>
      </w:r>
    </w:p>
    <w:p>
      <w:pPr>
        <w:spacing w:after="0" w:line="161" w:lineRule="exact"/>
        <w:rPr>
          <w:sz w:val="20"/>
          <w:szCs w:val="20"/>
          <w:color w:val="auto"/>
        </w:rPr>
      </w:pPr>
    </w:p>
    <w:p>
      <w:pPr>
        <w:ind w:right="140" w:firstLine="648"/>
        <w:spacing w:after="0" w:line="276"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a “separation from service” within the meaning of Section 409A(a)(2)(A)(i) of the Code and Treasury Regulation Section 1.409A-1(h).</w:t>
      </w:r>
    </w:p>
    <w:p>
      <w:pPr>
        <w:spacing w:after="0" w:line="16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2.22 “</w:t>
      </w:r>
      <w:r>
        <w:rPr>
          <w:rFonts w:ascii="Arial" w:cs="Arial" w:eastAsia="Arial" w:hAnsi="Arial"/>
          <w:sz w:val="19"/>
          <w:szCs w:val="19"/>
          <w:u w:val="single" w:color="auto"/>
          <w:color w:val="auto"/>
        </w:rPr>
        <w:t>Unforeseeable Emergency</w:t>
      </w:r>
      <w:r>
        <w:rPr>
          <w:rFonts w:ascii="Arial" w:cs="Arial" w:eastAsia="Arial" w:hAnsi="Arial"/>
          <w:sz w:val="19"/>
          <w:szCs w:val="19"/>
          <w:color w:val="auto"/>
        </w:rPr>
        <w:t>” shall mean a severe financial hardship of the Participant resulting from: (i) an illness or accident of the Participant, the Participant’s spouse, the Participant’s Beneficiary, or the Participant’s dependent (as defined in Code Section 152, without regard to Code Section 152(b)(1), (b)(2) and (d)(1)(B)); (ii) a loss of the Participant’s property due to casualty; or (iii) such other similar extraordinary and unforeseeable circumstances arising as a result of events beyond the control of the Participant, as described in Treas. Reg. Section 1.409A-3(i)(3)(i), in each case as determined in the sole discretion of the Board.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ELIGIBILITY; PARTICIPATION</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Eligibility</w:t>
      </w:r>
      <w:r>
        <w:rPr>
          <w:rFonts w:ascii="Arial" w:cs="Arial" w:eastAsia="Arial" w:hAnsi="Arial"/>
          <w:sz w:val="22"/>
          <w:szCs w:val="22"/>
          <w:color w:val="auto"/>
        </w:rPr>
        <w:t>. Any Director who is entitled to receive compensation for service as a Director shall be eligible to participate in the Plan as of the first date the individual becomes a Director.</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Enrollment and Commencement of Deferrals</w:t>
      </w:r>
      <w:r>
        <w:rPr>
          <w:rFonts w:ascii="Arial" w:cs="Arial" w:eastAsia="Arial" w:hAnsi="Arial"/>
          <w:sz w:val="19"/>
          <w:szCs w:val="19"/>
          <w:color w:val="auto"/>
        </w:rPr>
        <w:t>. Each eligible Director who wishes to participate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77" w:name="page78"/>
    <w:bookmarkEnd w:id="77"/>
    <w:p>
      <w:pPr>
        <w:jc w:val="both"/>
        <w:spacing w:after="0" w:line="312" w:lineRule="auto"/>
        <w:rPr>
          <w:sz w:val="20"/>
          <w:szCs w:val="20"/>
          <w:color w:val="auto"/>
        </w:rPr>
      </w:pPr>
      <w:r>
        <w:rPr>
          <w:rFonts w:ascii="Arial" w:cs="Arial" w:eastAsia="Arial" w:hAnsi="Arial"/>
          <w:sz w:val="19"/>
          <w:szCs w:val="19"/>
          <w:color w:val="auto"/>
        </w:rPr>
        <w:t>in the Plan for a Plan Year must make an irrevocable election as to the deferral of Cash Compensation and/or the receipt of Phantom Stock in lieu of Restricted Stock for the Plan Year by timely completing, executing and returning to the Company’s Human Resources department such election forms or other enrollment materials as the Board requires as follows:</w:t>
      </w:r>
    </w:p>
    <w:p>
      <w:pPr>
        <w:spacing w:after="0" w:line="134" w:lineRule="exact"/>
        <w:rPr>
          <w:sz w:val="20"/>
          <w:szCs w:val="20"/>
          <w:color w:val="auto"/>
        </w:rPr>
      </w:pPr>
    </w:p>
    <w:p>
      <w:pPr>
        <w:ind w:firstLine="656"/>
        <w:spacing w:after="0" w:line="273" w:lineRule="auto"/>
        <w:tabs>
          <w:tab w:leader="none" w:pos="9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case of a Director who first becomes eligible to participate in the Plan as of the first day of a Plan Year, on or prior to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prior Plan Year; and</w:t>
      </w:r>
    </w:p>
    <w:p>
      <w:pPr>
        <w:spacing w:after="0" w:line="75" w:lineRule="exact"/>
        <w:rPr>
          <w:rFonts w:ascii="Arial" w:cs="Arial" w:eastAsia="Arial" w:hAnsi="Arial"/>
          <w:sz w:val="22"/>
          <w:szCs w:val="22"/>
          <w:color w:val="auto"/>
        </w:rPr>
      </w:pPr>
    </w:p>
    <w:p>
      <w:pPr>
        <w:ind w:right="380" w:firstLine="1305"/>
        <w:spacing w:after="0" w:line="263" w:lineRule="auto"/>
        <w:tabs>
          <w:tab w:leader="none" w:pos="1603" w:val="left"/>
        </w:tabs>
        <w:numPr>
          <w:ilvl w:val="1"/>
          <w:numId w:val="36"/>
        </w:numPr>
        <w:rPr>
          <w:rFonts w:ascii="Arial" w:cs="Arial" w:eastAsia="Arial" w:hAnsi="Arial"/>
          <w:sz w:val="22"/>
          <w:szCs w:val="22"/>
          <w:color w:val="auto"/>
        </w:rPr>
      </w:pPr>
      <w:r>
        <w:rPr>
          <w:rFonts w:ascii="Arial" w:cs="Arial" w:eastAsia="Arial" w:hAnsi="Arial"/>
          <w:sz w:val="22"/>
          <w:szCs w:val="22"/>
          <w:color w:val="auto"/>
        </w:rPr>
        <w:t>in the case of a Director who first becomes eligible to participate in the Plan after the first day of a Plan Year, within thirty (30) days after the date the Director first becomes eligible to participate.</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If a Director fails to timely complete such election forms or other enrollment materials, the Director shall not participate in the Plan until the first day of the first Plan Year beginning after the date on which the Director timely completes, executes and returns such election forms or other enrollment materials to the Company’s Corporate Secretary.</w:t>
      </w:r>
    </w:p>
    <w:p>
      <w:pPr>
        <w:spacing w:after="0" w:line="3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Failure of Eligibility</w:t>
      </w:r>
      <w:r>
        <w:rPr>
          <w:rFonts w:ascii="Arial" w:cs="Arial" w:eastAsia="Arial" w:hAnsi="Arial"/>
          <w:sz w:val="22"/>
          <w:szCs w:val="22"/>
          <w:color w:val="auto"/>
        </w:rPr>
        <w:t>. If the Board determines, in its sole and absolute discretion, that any Participant no longer meets the eligibility criteria of the Plan, the Participant shall cease to be an active Participant in the Plan and future contributions to the Plan made by or on behalf of the Participant shall cease as of the date of such determination by the Board. The Board’s determination hereunder shall be final and binding on all persons.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ELECTIONS; AMOUNTS; MODIFICATIONS</w:t>
      </w: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First Year of Plan Participation</w:t>
      </w:r>
      <w:r>
        <w:rPr>
          <w:rFonts w:ascii="Arial" w:cs="Arial" w:eastAsia="Arial" w:hAnsi="Arial"/>
          <w:sz w:val="19"/>
          <w:szCs w:val="19"/>
          <w:color w:val="auto"/>
        </w:rPr>
        <w:t>. In connection with a Participant’s enrollment in the Plan pursuant to Section 3.2, the Participant shall make an irrevocable election for the Plan Year in which the Participant commences participation (i) to defer (or not to defer) all, but not less than all, of his or her Cash Compensation, and/or (ii) to receive (or not to receive) Phantom Stock in lieu of the grant of Restricted Stock that the Participant would otherwise have received during such Plan Year. The Participant’s initial deferral election under this Section 4.1 shall apply solely to compensation to be paid with respect to services performed on or after the date of the Participant’s enrollment in the Plan, and shall continue to apply for all succeeding Plan Years unless and until revoked or modified pursuant to Section 4.2, below. If the Participant fails to timely complete, execute and return such election forms or other enrollment materials as required by the Board in accordance with Section 3.2, then the Participant shall not be permitted to make to defer any Cash Compensation or receive any Phantom Stock under the Plan for such Plan Year.</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connection with a Participant’s enrollment in the Plan pursuant to Section 3.2, the Participant shall also make an irrevocable election for the Plan Year as to the form of distribution (from the options available under Section 6.1 (b) below) of any deferrals (in the form of Cash Compensation and/or Phantom Stock) credited to his or her Account for such Plan Year (including earnings thereon). If the Participant fails to make such election, or if such election does not meet the requirements of Code Section 409A and related Treasury guidance or regulations, the Participant shall be deemed to have elected to receive a lump sum distribution. The Participant’s election (or deemed election) shall continue to apply for succeeding Plan Years unless and until the election is modified pursuant to Section 4.2, below. Any such modification shall apply prospectively only and shall not apply to deferrals (in the form of Cash Compensation and/or Phantom Stock) previously credited under the Plan (or any earnings thereon), except to the extent permitted under Section 4.3 below.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78" w:name="page79"/>
    <w:bookmarkEnd w:id="78"/>
    <w:p>
      <w:pPr>
        <w:ind w:firstLine="648"/>
        <w:spacing w:after="0" w:line="23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Subsequent Plan Years</w:t>
      </w:r>
      <w:r>
        <w:rPr>
          <w:rFonts w:ascii="Arial" w:cs="Arial" w:eastAsia="Arial" w:hAnsi="Arial"/>
          <w:sz w:val="22"/>
          <w:szCs w:val="22"/>
          <w:color w:val="auto"/>
        </w:rPr>
        <w:t>. For each succeeding Plan Year, the Participant may, prior to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immediately preceding Plan Year (or such earlier deadline as is established by the Board in its sole discretion):</w:t>
      </w:r>
    </w:p>
    <w:p>
      <w:pPr>
        <w:spacing w:after="0" w:line="92" w:lineRule="exact"/>
        <w:rPr>
          <w:sz w:val="20"/>
          <w:szCs w:val="20"/>
          <w:color w:val="auto"/>
        </w:rPr>
      </w:pPr>
    </w:p>
    <w:p>
      <w:pPr>
        <w:jc w:val="both"/>
        <w:ind w:firstLine="1305"/>
        <w:spacing w:after="0" w:line="248" w:lineRule="auto"/>
        <w:tabs>
          <w:tab w:leader="none" w:pos="1694" w:val="left"/>
        </w:tabs>
        <w:numPr>
          <w:ilvl w:val="0"/>
          <w:numId w:val="37"/>
        </w:numPr>
        <w:rPr>
          <w:rFonts w:ascii="Arial" w:cs="Arial" w:eastAsia="Arial" w:hAnsi="Arial"/>
          <w:sz w:val="22"/>
          <w:szCs w:val="22"/>
          <w:color w:val="auto"/>
        </w:rPr>
      </w:pPr>
      <w:r>
        <w:rPr>
          <w:rFonts w:ascii="Arial" w:cs="Arial" w:eastAsia="Arial" w:hAnsi="Arial"/>
          <w:sz w:val="22"/>
          <w:szCs w:val="22"/>
          <w:color w:val="auto"/>
        </w:rPr>
        <w:t>make an irrevocable election to modify or revoke the Participant’s existing election to (i) defer (or not to defer) all, but not less than all, of his or her Cash Compensation for succeeding Plan Years, and/or (ii) receive (or not to receive) Phantom Stock in lieu of the grant of Restricted Stock that the Participant would otherwise be entitled to receive for succeeding Plan Years. Any such new election shall remain in effect for all succeeding Plan Years unless and until timely revoked or modified by the Participant in accordance with this Section. Any such modification shall apply prospectively only and shall not apply to Cash Compensation previously credited under the Plan (or any earnings thereon) or Phantom Stock previously received in lieu of Restricted Stock.</w:t>
      </w:r>
    </w:p>
    <w:p>
      <w:pPr>
        <w:spacing w:after="0" w:line="87" w:lineRule="exact"/>
        <w:rPr>
          <w:rFonts w:ascii="Arial" w:cs="Arial" w:eastAsia="Arial" w:hAnsi="Arial"/>
          <w:sz w:val="22"/>
          <w:szCs w:val="22"/>
          <w:color w:val="auto"/>
        </w:rPr>
      </w:pPr>
    </w:p>
    <w:p>
      <w:pPr>
        <w:jc w:val="both"/>
        <w:ind w:firstLine="1305"/>
        <w:spacing w:after="0" w:line="248" w:lineRule="auto"/>
        <w:tabs>
          <w:tab w:leader="none" w:pos="1876" w:val="left"/>
        </w:tabs>
        <w:numPr>
          <w:ilvl w:val="0"/>
          <w:numId w:val="37"/>
        </w:numPr>
        <w:rPr>
          <w:rFonts w:ascii="Arial" w:cs="Arial" w:eastAsia="Arial" w:hAnsi="Arial"/>
          <w:sz w:val="22"/>
          <w:szCs w:val="22"/>
          <w:color w:val="auto"/>
        </w:rPr>
      </w:pPr>
      <w:r>
        <w:rPr>
          <w:rFonts w:ascii="Arial" w:cs="Arial" w:eastAsia="Arial" w:hAnsi="Arial"/>
          <w:sz w:val="22"/>
          <w:szCs w:val="22"/>
          <w:color w:val="auto"/>
        </w:rPr>
        <w:t>make an irrevocable election to modify his or her existing election as to the form of distribution of any deferrals (in the form of Cash Compensation and/or Phantom Stock) credited to his or her Account for succeeding Plan Years (including earnings thereon). Such election shall be made in accordance with Section 6.1 (b) below, and shall remain in effect for all succeeding Plan Years unless and until timely modified by the Participant in accordance with this Section. Any such modification shall apply prospectively only and shall not apply to Cash Compensation previously credited under the Plan (or any earnings thereon) or Phantom Stock previously received in lieu of Restricted Stock, except to the extent permitted under Section 4.3 below.</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Modification of Distribution Elections for Previously Credited Amounts</w:t>
      </w:r>
      <w:r>
        <w:rPr>
          <w:rFonts w:ascii="Arial" w:cs="Arial" w:eastAsia="Arial" w:hAnsi="Arial"/>
          <w:sz w:val="21"/>
          <w:szCs w:val="21"/>
          <w:color w:val="auto"/>
        </w:rPr>
        <w:t>. To the extent permitted by the Board, a Participant may elect to modify his or her existing election(s) as to the time and form of payment with respect to amounts previously credited under the Plan (and any earnings thereon) or Phantom Stock previously received in lieu of Restricted Stock (a “</w:t>
      </w:r>
      <w:r>
        <w:rPr>
          <w:rFonts w:ascii="Arial" w:cs="Arial" w:eastAsia="Arial" w:hAnsi="Arial"/>
          <w:sz w:val="21"/>
          <w:szCs w:val="21"/>
          <w:u w:val="single" w:color="auto"/>
          <w:color w:val="auto"/>
        </w:rPr>
        <w:t>Modification Election</w:t>
      </w:r>
      <w:r>
        <w:rPr>
          <w:rFonts w:ascii="Arial" w:cs="Arial" w:eastAsia="Arial" w:hAnsi="Arial"/>
          <w:sz w:val="21"/>
          <w:szCs w:val="21"/>
          <w:color w:val="auto"/>
        </w:rPr>
        <w:t>”), provided that (i) such Modification Election does not take effect until at least 12 months after the date on which it is made, (ii) in the case of an election related to a payment not described in Treasury Regulation Sections 1.409A-3(a)(2) (payment on account of disability), 1.409A-3(a)(3) (payment on account of death) or 1.409A-3(a)(6) (payment on account of an unforeseeable emergency), such Modification Election must provide for the deferral of such amount for a period of not less than 5 years from the date such payment would otherwise have been paid (or in the case of a life annuity or installment payments treated as a single payment, 5 years from the date the first amount was scheduled to be paid), (iii) any Modification Election related to a payment described in Treasury Regulation Section 1.409A-3(a)(4) (payment at a specified time or pursuant to a fixed schedule) must be made not less than 12 months before the date the payment is scheduled to be paid (or in the case of a life annuity or installment payments treated as a single payment, 12 months before the date the first amount was scheduled to be paid), and (iv) all other requirements under Code Section 409A and the Treasury Regulations thereunder (including Treasury Regulation Section 1.409A-2(b)) are met with respect to such Modification Election. Modification Elections shall be irrevocable as of the date they are made.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ACCOUNTS; DEEMED INVESTMENTS</w:t>
      </w:r>
    </w:p>
    <w:p>
      <w:pPr>
        <w:spacing w:after="0" w:line="20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Accounts</w:t>
      </w:r>
      <w:r>
        <w:rPr>
          <w:rFonts w:ascii="Arial" w:cs="Arial" w:eastAsia="Arial" w:hAnsi="Arial"/>
          <w:sz w:val="19"/>
          <w:szCs w:val="19"/>
          <w:color w:val="auto"/>
        </w:rPr>
        <w:t>. The Company shall establish an Account for each Participant with at least two sub-accounts - an Equity Compensation Sub-Account and a Cash Compensation Sub-Account - along with such additional sub-accounts as it deems necessary or desirable for the proper administration of the Plan. The Equity Compensation Sub-Account shall reflect the value of Phantom Stock issued to the Participant in lieu of Restricted Stock for each Plan Year, together with any adjustments for income, gain or loss and any payments from such sub-account as provided herein. Phantom Stock shall be credited to the Participant’s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9" w:name="page80"/>
    <w:bookmarkEnd w:id="79"/>
    <w:p>
      <w:pPr>
        <w:jc w:val="both"/>
        <w:spacing w:after="0" w:line="246" w:lineRule="auto"/>
        <w:rPr>
          <w:sz w:val="20"/>
          <w:szCs w:val="20"/>
          <w:color w:val="auto"/>
        </w:rPr>
      </w:pPr>
      <w:r>
        <w:rPr>
          <w:rFonts w:ascii="Arial" w:cs="Arial" w:eastAsia="Arial" w:hAnsi="Arial"/>
          <w:sz w:val="22"/>
          <w:szCs w:val="22"/>
          <w:color w:val="auto"/>
        </w:rPr>
        <w:t>Equity Compensation Sub-Account and relevant sub-accounts (if any) as of the date the Restricted Stock would otherwise have been granted to the Participant if the Participant had not elected to defer such amounts under this Plan, subject to Section 5.3(a). The Cash Compensation Sub-Account shall reflect all deferrals of Cash Compensation made by the Participant for each Plan Year, together with any adjustments for income, gain or loss and any payments from such sub-account as provided herein. Cash Compensation deferred by a Participant under this Plan shall be credited to the Participant’s Cash Compensation Account and relevant sub-accounts (if any) as soon as administratively practicable after the amounts would have otherwise been paid to the Participant.</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Status of Accounts</w:t>
      </w:r>
      <w:r>
        <w:rPr>
          <w:rFonts w:ascii="Arial" w:cs="Arial" w:eastAsia="Arial" w:hAnsi="Arial"/>
          <w:sz w:val="22"/>
          <w:szCs w:val="22"/>
          <w:color w:val="auto"/>
        </w:rPr>
        <w:t>. Accounts and sub-accounts established hereunder shall be record-keeping devices utilized for the sole purpose of determining benefits payable under this Plan, and will not constitute a separate fund of assets but shall continue for all purposes to be part of the general, unrestricted assets of the Company and its Affiliates, subject to the claims of their general creditors.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Deemed Investment of Amounts Deferred</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358" w:lineRule="auto"/>
        <w:tabs>
          <w:tab w:leader="none" w:pos="175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Equity Compensation Sub-Account</w:t>
      </w:r>
      <w:r>
        <w:rPr>
          <w:rFonts w:ascii="Arial" w:cs="Arial" w:eastAsia="Arial" w:hAnsi="Arial"/>
          <w:sz w:val="19"/>
          <w:szCs w:val="19"/>
          <w:color w:val="auto"/>
        </w:rPr>
        <w:t>. The Participant’s Equity Compensation Sub-Account shall hold shares of the Participant’s Phantom Stock and shall be credited with earnings and dividends as set forth in this Section 5.3(a).</w:t>
      </w:r>
    </w:p>
    <w:p>
      <w:pPr>
        <w:spacing w:after="0" w:line="90" w:lineRule="exact"/>
        <w:rPr>
          <w:rFonts w:ascii="Arial" w:cs="Arial" w:eastAsia="Arial" w:hAnsi="Arial"/>
          <w:sz w:val="19"/>
          <w:szCs w:val="19"/>
          <w:color w:val="auto"/>
        </w:rPr>
      </w:pPr>
    </w:p>
    <w:p>
      <w:pPr>
        <w:jc w:val="both"/>
        <w:ind w:firstLine="1953"/>
        <w:spacing w:after="0" w:line="300" w:lineRule="auto"/>
        <w:tabs>
          <w:tab w:leader="none" w:pos="2763" w:val="left"/>
        </w:tabs>
        <w:numPr>
          <w:ilvl w:val="1"/>
          <w:numId w:val="38"/>
        </w:numPr>
        <w:rPr>
          <w:rFonts w:ascii="Arial" w:cs="Arial" w:eastAsia="Arial" w:hAnsi="Arial"/>
          <w:sz w:val="16"/>
          <w:szCs w:val="16"/>
          <w:color w:val="auto"/>
        </w:rPr>
      </w:pPr>
      <w:r>
        <w:rPr>
          <w:rFonts w:ascii="Arial" w:cs="Arial" w:eastAsia="Arial" w:hAnsi="Arial"/>
          <w:sz w:val="19"/>
          <w:szCs w:val="19"/>
          <w:u w:val="single" w:color="auto"/>
          <w:color w:val="auto"/>
        </w:rPr>
        <w:t>Earnings and Dividends</w:t>
      </w:r>
      <w:r>
        <w:rPr>
          <w:rFonts w:ascii="Arial" w:cs="Arial" w:eastAsia="Arial" w:hAnsi="Arial"/>
          <w:sz w:val="19"/>
          <w:szCs w:val="19"/>
          <w:color w:val="auto"/>
        </w:rPr>
        <w:t>. All shares of Phantom Stock deemed held in the Participant’s Equity Compensation Sub-Account shall be credited on a quarterly basis with an amount equal to the dividends that would have become payable during the deferral period if actual purchases of Common Stock had been made, with such dividends accounted for as if invested in additional shares of Phantom Stock as of the payable date for such dividends. Any credited shares treated as if they were purchased with dividends shall be deemed to have been purchased at Fair Market Value on the dividend payment date.</w:t>
      </w:r>
    </w:p>
    <w:p>
      <w:pPr>
        <w:spacing w:after="0" w:line="147" w:lineRule="exact"/>
        <w:rPr>
          <w:rFonts w:ascii="Arial" w:cs="Arial" w:eastAsia="Arial" w:hAnsi="Arial"/>
          <w:sz w:val="16"/>
          <w:szCs w:val="16"/>
          <w:color w:val="auto"/>
        </w:rPr>
      </w:pPr>
    </w:p>
    <w:p>
      <w:pPr>
        <w:jc w:val="both"/>
        <w:ind w:firstLine="1953"/>
        <w:spacing w:after="0" w:line="292" w:lineRule="auto"/>
        <w:tabs>
          <w:tab w:leader="none" w:pos="2813" w:val="left"/>
        </w:tabs>
        <w:numPr>
          <w:ilvl w:val="1"/>
          <w:numId w:val="38"/>
        </w:numPr>
        <w:rPr>
          <w:rFonts w:ascii="Arial" w:cs="Arial" w:eastAsia="Arial" w:hAnsi="Arial"/>
          <w:sz w:val="16"/>
          <w:szCs w:val="16"/>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Unless otherwise provided under the terms of a Phantom Stock Agreement and subject to subsection (i) above, in the event a Participant elects to defer under this Plan any award of Restricted Stock that, in accordance with the director compensation program or policy then in effect, would have been subject to vesting or other forfeiture restrictions, then the corresponding Phantom Stock under this Plan and any earnings and dividends attributable thereto shall be subject to the same vesting and forfeiture restrictions as would have otherwise applied to such Restricted Stock and/or the earnings and dividends thereon, as applicable. In the event the Participant forfeits shares of Phantom Stock in accordance with the foregoing or the terms of a Phantom Stock Agreement, the Participant’s Equity Compensation Sub-Account shall be debited for the number of shares of Phantom Stock forfeited along with any earnings and dividends related to such shares.</w:t>
      </w:r>
    </w:p>
    <w:p>
      <w:pPr>
        <w:spacing w:after="0" w:line="155" w:lineRule="exact"/>
        <w:rPr>
          <w:rFonts w:ascii="Arial" w:cs="Arial" w:eastAsia="Arial" w:hAnsi="Arial"/>
          <w:sz w:val="16"/>
          <w:szCs w:val="16"/>
          <w:color w:val="auto"/>
        </w:rPr>
      </w:pPr>
    </w:p>
    <w:p>
      <w:pPr>
        <w:jc w:val="both"/>
        <w:ind w:firstLine="1305"/>
        <w:spacing w:after="0" w:line="297" w:lineRule="auto"/>
        <w:tabs>
          <w:tab w:leader="none" w:pos="175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Cash Compensation Sub-Account</w:t>
      </w:r>
      <w:r>
        <w:rPr>
          <w:rFonts w:ascii="Arial" w:cs="Arial" w:eastAsia="Arial" w:hAnsi="Arial"/>
          <w:sz w:val="19"/>
          <w:szCs w:val="19"/>
          <w:color w:val="auto"/>
        </w:rPr>
        <w:t>. In connection with a Participant’s election to defer compensation for a Plan Year pursuant to Article 4, a Participant may elect to have earnings, gains, or losses with respect to deferrals into his or her Cash Compensation Sub-Account for such Plan Year calculated based on either the Common Stock Option or the Investment Option. The Participant’s actual or deemed investment election shall continue in effect for future Plan Years unless and until modified by the Participant. Any such modification (i) shall apply prospectively only to amounts deferred in future Plan Years, and (ii) shall be made at the same time as modifications to deferral elections are made under Section 4.2 above.</w:t>
      </w:r>
    </w:p>
    <w:p>
      <w:pPr>
        <w:spacing w:after="0" w:line="146" w:lineRule="exact"/>
        <w:rPr>
          <w:rFonts w:ascii="Arial" w:cs="Arial" w:eastAsia="Arial" w:hAnsi="Arial"/>
          <w:sz w:val="19"/>
          <w:szCs w:val="19"/>
          <w:color w:val="auto"/>
        </w:rPr>
      </w:pPr>
    </w:p>
    <w:p>
      <w:pPr>
        <w:jc w:val="both"/>
        <w:ind w:firstLine="1953"/>
        <w:spacing w:after="0" w:line="254" w:lineRule="auto"/>
        <w:tabs>
          <w:tab w:leader="none" w:pos="241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Common Stock Option</w:t>
      </w:r>
      <w:r>
        <w:rPr>
          <w:rFonts w:ascii="Arial" w:cs="Arial" w:eastAsia="Arial" w:hAnsi="Arial"/>
          <w:sz w:val="22"/>
          <w:szCs w:val="22"/>
          <w:color w:val="auto"/>
        </w:rPr>
        <w:t>. Any portion of the Cash Compensation Sub-Account deemed invested under this option (the “Common Stock Option”) shall be accounted for as if invested in shares of Common Stock purchased at Fair Market Value on the date on which a deferral of Cash Compensation is credited to the Participant’s Account. All shares of Common Stock deemed held in the Participant’s Cash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80" w:name="page81"/>
    <w:bookmarkEnd w:id="80"/>
    <w:p>
      <w:pPr>
        <w:jc w:val="both"/>
        <w:spacing w:after="0" w:line="302" w:lineRule="auto"/>
        <w:rPr>
          <w:sz w:val="20"/>
          <w:szCs w:val="20"/>
          <w:color w:val="auto"/>
        </w:rPr>
      </w:pPr>
      <w:r>
        <w:rPr>
          <w:rFonts w:ascii="Arial" w:cs="Arial" w:eastAsia="Arial" w:hAnsi="Arial"/>
          <w:sz w:val="19"/>
          <w:szCs w:val="19"/>
          <w:color w:val="auto"/>
        </w:rPr>
        <w:t>Compensation Sub-Account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w:t>
      </w:r>
    </w:p>
    <w:p>
      <w:pPr>
        <w:spacing w:after="0" w:line="143" w:lineRule="exact"/>
        <w:rPr>
          <w:sz w:val="20"/>
          <w:szCs w:val="20"/>
          <w:color w:val="auto"/>
        </w:rPr>
      </w:pPr>
    </w:p>
    <w:p>
      <w:pPr>
        <w:jc w:val="both"/>
        <w:ind w:firstLine="656"/>
        <w:spacing w:after="0" w:line="270" w:lineRule="auto"/>
        <w:tabs>
          <w:tab w:leader="none" w:pos="1281"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Investment Option</w:t>
      </w:r>
      <w:r>
        <w:rPr>
          <w:rFonts w:ascii="Arial" w:cs="Arial" w:eastAsia="Arial" w:hAnsi="Arial"/>
          <w:sz w:val="21"/>
          <w:szCs w:val="21"/>
          <w:color w:val="auto"/>
        </w:rPr>
        <w:t>. Any portion of the Cash Compensation Sub-Account deemed invested under this option (the “Investment Option”) shall be deemed invested in one or more of the investment options made available from time to time for Participants under the Plan. Each such deemed investment shall be credited or debited with earnings or losses as if the amount invested had been invested in the applicable investment fund made available by the Board.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Permissible Times and Forms of Payments</w:t>
      </w:r>
      <w:r>
        <w:rPr>
          <w:rFonts w:ascii="Arial" w:cs="Arial" w:eastAsia="Arial" w:hAnsi="Arial"/>
          <w:sz w:val="19"/>
          <w:szCs w:val="19"/>
          <w:color w:val="auto"/>
        </w:rPr>
        <w:t>. Subject to Article 7, below, A Participant may elect to receive his or her</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Account pursuant to an election form filed in accordance with Article 4 at the following times and in the following forms:</w:t>
      </w:r>
    </w:p>
    <w:p>
      <w:pPr>
        <w:spacing w:after="0" w:line="119" w:lineRule="exact"/>
        <w:rPr>
          <w:sz w:val="20"/>
          <w:szCs w:val="20"/>
          <w:color w:val="auto"/>
        </w:rPr>
      </w:pPr>
    </w:p>
    <w:p>
      <w:pPr>
        <w:jc w:val="both"/>
        <w:ind w:firstLine="1305"/>
        <w:spacing w:after="0" w:line="254" w:lineRule="auto"/>
        <w:tabs>
          <w:tab w:leader="none" w:pos="1811"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Time of Distribution</w:t>
      </w:r>
      <w:r>
        <w:rPr>
          <w:rFonts w:ascii="Arial" w:cs="Arial" w:eastAsia="Arial" w:hAnsi="Arial"/>
          <w:sz w:val="22"/>
          <w:szCs w:val="22"/>
          <w:color w:val="auto"/>
        </w:rPr>
        <w:t>. A Participant may elect to receive a distribution as of the date of, or at a designated anniversary date following, the first to occur of the Participant’s Separation from Service or Disability or at a designated time or times specified by the Participant in his or her election forms, which shall not be earlier than 24 months from the date of deferral of the amount to be distributed.</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Form of Distribution</w:t>
      </w:r>
      <w:r>
        <w:rPr>
          <w:rFonts w:ascii="Arial" w:cs="Arial" w:eastAsia="Arial" w:hAnsi="Arial"/>
          <w:sz w:val="21"/>
          <w:szCs w:val="21"/>
          <w:color w:val="auto"/>
        </w:rPr>
        <w:t>. A Participant may elect to receive a distribution of his or her Account in any of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following forms:</w:t>
      </w:r>
    </w:p>
    <w:p>
      <w:pPr>
        <w:spacing w:after="0" w:line="215" w:lineRule="exact"/>
        <w:rPr>
          <w:rFonts w:ascii="Arial" w:cs="Arial" w:eastAsia="Arial" w:hAnsi="Arial"/>
          <w:sz w:val="21"/>
          <w:szCs w:val="21"/>
          <w:color w:val="auto"/>
        </w:rPr>
      </w:pPr>
    </w:p>
    <w:p>
      <w:pPr>
        <w:ind w:left="2600" w:hanging="647"/>
        <w:spacing w:after="0"/>
        <w:tabs>
          <w:tab w:leader="none" w:pos="2600" w:val="left"/>
        </w:tabs>
        <w:numPr>
          <w:ilvl w:val="1"/>
          <w:numId w:val="40"/>
        </w:numPr>
        <w:rPr>
          <w:rFonts w:ascii="Arial" w:cs="Arial" w:eastAsia="Arial" w:hAnsi="Arial"/>
          <w:sz w:val="18"/>
          <w:szCs w:val="18"/>
          <w:color w:val="auto"/>
        </w:rPr>
      </w:pPr>
      <w:r>
        <w:rPr>
          <w:rFonts w:ascii="Arial" w:cs="Arial" w:eastAsia="Arial" w:hAnsi="Arial"/>
          <w:sz w:val="22"/>
          <w:szCs w:val="22"/>
          <w:color w:val="auto"/>
        </w:rPr>
        <w:t>a single lump sum;</w:t>
      </w:r>
    </w:p>
    <w:p>
      <w:pPr>
        <w:spacing w:after="0" w:line="21" w:lineRule="exact"/>
        <w:rPr>
          <w:rFonts w:ascii="Arial" w:cs="Arial" w:eastAsia="Arial" w:hAnsi="Arial"/>
          <w:sz w:val="18"/>
          <w:szCs w:val="18"/>
          <w:color w:val="auto"/>
        </w:rPr>
      </w:pPr>
    </w:p>
    <w:p>
      <w:pPr>
        <w:ind w:left="2600" w:hanging="647"/>
        <w:spacing w:after="0"/>
        <w:tabs>
          <w:tab w:leader="none" w:pos="2600" w:val="left"/>
        </w:tabs>
        <w:numPr>
          <w:ilvl w:val="1"/>
          <w:numId w:val="40"/>
        </w:numPr>
        <w:rPr>
          <w:rFonts w:ascii="Arial" w:cs="Arial" w:eastAsia="Arial" w:hAnsi="Arial"/>
          <w:sz w:val="18"/>
          <w:szCs w:val="18"/>
          <w:color w:val="auto"/>
        </w:rPr>
      </w:pPr>
      <w:r>
        <w:rPr>
          <w:rFonts w:ascii="Arial" w:cs="Arial" w:eastAsia="Arial" w:hAnsi="Arial"/>
          <w:sz w:val="22"/>
          <w:szCs w:val="22"/>
          <w:color w:val="auto"/>
        </w:rPr>
        <w:t>up to ten (10) annual installments; or</w:t>
      </w:r>
    </w:p>
    <w:p>
      <w:pPr>
        <w:spacing w:after="0" w:line="4" w:lineRule="exact"/>
        <w:rPr>
          <w:sz w:val="20"/>
          <w:szCs w:val="20"/>
          <w:color w:val="auto"/>
        </w:rPr>
      </w:pPr>
    </w:p>
    <w:p>
      <w:pPr>
        <w:ind w:firstLine="1305"/>
        <w:spacing w:after="0" w:line="259" w:lineRule="auto"/>
        <w:tabs>
          <w:tab w:leader="none" w:pos="1814"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the case of an in-service distribution a single lump sum of the entire Account Balance made in one or more Plan Years, as designated by the Participant.</w:t>
      </w:r>
    </w:p>
    <w:p>
      <w:pPr>
        <w:spacing w:after="0" w:line="219" w:lineRule="exact"/>
        <w:rPr>
          <w:sz w:val="20"/>
          <w:szCs w:val="20"/>
          <w:color w:val="auto"/>
        </w:rPr>
      </w:pPr>
    </w:p>
    <w:p>
      <w:pPr>
        <w:jc w:val="both"/>
        <w:ind w:firstLine="1305"/>
        <w:spacing w:after="0" w:line="294" w:lineRule="auto"/>
        <w:tabs>
          <w:tab w:leader="none" w:pos="178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Subsequent Deferrals</w:t>
      </w:r>
      <w:r>
        <w:rPr>
          <w:rFonts w:ascii="Arial" w:cs="Arial" w:eastAsia="Arial" w:hAnsi="Arial"/>
          <w:sz w:val="19"/>
          <w:szCs w:val="19"/>
          <w:color w:val="auto"/>
        </w:rPr>
        <w:t>. Notwithstanding an actual or deemed election as to the timing of the distribution of a Participant’s Account, at such times and in such manner as the Board may determine, a Participant may make an irrevocable election to delay the payment, or the commencement of payment, of his or her Account, but only if such election (i) is made not less than 12 months before the date the payment or commencement of installment payments is scheduled to be paid or to begin; (ii) shall not take effect until at least 12 months after the date the election is made; and (iii) relating to a payment not being made on account of death, Disability or an Unforeseeable Emergency, delays the payment or commencement of payments for a period of at least five years from the date the payment or series of payments was scheduled to be paid or begin.</w:t>
      </w:r>
    </w:p>
    <w:p>
      <w:pPr>
        <w:spacing w:after="0" w:line="3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 election made by the Participant, in the event of a Change in Control, all amounts then credited to the Participant’s Account shall be distributed to the Participant in a single lump sum within 60 days following the Change in Control.</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Calculation of Distributions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78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Lump Sum</w:t>
      </w:r>
      <w:r>
        <w:rPr>
          <w:rFonts w:ascii="Arial" w:cs="Arial" w:eastAsia="Arial" w:hAnsi="Arial"/>
          <w:sz w:val="22"/>
          <w:szCs w:val="22"/>
          <w:color w:val="auto"/>
        </w:rPr>
        <w:t>. All cash lump sum distributions shall be based on the value of the Participant’s Account (or the portion thereof to be paid in a lump sum) as of the closest administratively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feasible valuation date preceding the date distribution is made, in accordance with rules established by the Board.</w:t>
      </w:r>
    </w:p>
    <w:p>
      <w:pPr>
        <w:spacing w:after="0" w:line="220" w:lineRule="exact"/>
        <w:rPr>
          <w:sz w:val="20"/>
          <w:szCs w:val="20"/>
          <w:color w:val="auto"/>
        </w:rPr>
      </w:pPr>
    </w:p>
    <w:p>
      <w:pPr>
        <w:jc w:val="both"/>
        <w:ind w:firstLine="1305"/>
        <w:spacing w:after="0" w:line="250" w:lineRule="auto"/>
        <w:tabs>
          <w:tab w:leader="none" w:pos="190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Installment Distributions</w:t>
      </w:r>
      <w:r>
        <w:rPr>
          <w:rFonts w:ascii="Arial" w:cs="Arial" w:eastAsia="Arial" w:hAnsi="Arial"/>
          <w:sz w:val="22"/>
          <w:szCs w:val="22"/>
          <w:color w:val="auto"/>
        </w:rPr>
        <w:t>. Under an installment payout, the amount to be distributed in each installment payment shall be determined by dividing the value of the Participant’s Accounts being paid in installments as of the closest administratively feasible valuation date preceding the date of each distribution by the number of installment payments remaining to be made, in accordance with rules established by the Board. In the event of the death of the Participant prior to the full payment of his Accounts being paid in installments, payments will continue to be made to his Beneficiary in the same manner as would have been payable to the Participant.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Method of Payment</w:t>
      </w:r>
      <w:r>
        <w:rPr>
          <w:rFonts w:ascii="Arial" w:cs="Arial" w:eastAsia="Arial" w:hAnsi="Arial"/>
          <w:sz w:val="19"/>
          <w:szCs w:val="19"/>
          <w:color w:val="auto"/>
        </w:rPr>
        <w:t>. All payments under the Plan shall be made in cash, provided, however, that, solely with respect to amounts in a Participant’s Cash Compensation Sub-Account that are deemed invested in shares of Common Stock and amounts in a Participant’s Equity Compensation Sub Account, if prior to distribution and in accordance with administrative procedures and notice requirements that may be established by the Company from time to time, a Participant timely requests that a payment be made in the form of Common Stock (a “</w:t>
      </w:r>
      <w:r>
        <w:rPr>
          <w:rFonts w:ascii="Arial" w:cs="Arial" w:eastAsia="Arial" w:hAnsi="Arial"/>
          <w:sz w:val="19"/>
          <w:szCs w:val="19"/>
          <w:u w:val="single" w:color="auto"/>
          <w:color w:val="auto"/>
        </w:rPr>
        <w:t>Stock Distribution Request</w:t>
      </w:r>
      <w:r>
        <w:rPr>
          <w:rFonts w:ascii="Arial" w:cs="Arial" w:eastAsia="Arial" w:hAnsi="Arial"/>
          <w:sz w:val="19"/>
          <w:szCs w:val="19"/>
          <w:color w:val="auto"/>
        </w:rPr>
        <w:t>”), then, unless otherwise determined by the Board in its sole discretion, such amounts shall be paid in the form of an equal number of actual shares of Common Stock , which shares of Common Stock shall be delivered to the Participant under the Company Equity Plan as of the date the distribution is made. For the avoidance of doubt, the Company shall have the right to pay all amounts under the Plan in cash notwithstanding any Equity Distribution Request, as determined by the Board in its discretion.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WITHDRAWALS FOR UNFORESEEABLE EMERGENCIES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Petition</w:t>
      </w:r>
      <w:r>
        <w:rPr>
          <w:rFonts w:ascii="Arial" w:cs="Arial" w:eastAsia="Arial" w:hAnsi="Arial"/>
          <w:sz w:val="22"/>
          <w:szCs w:val="22"/>
          <w:color w:val="auto"/>
        </w:rPr>
        <w:t>. If the Participant experiences an Unforeseeable Emergency, the Participant may petition the Board in writing to receive a partial or full payout from the Plan, subject to the provisions set forth below. A Participant’s written petition for such a payment shall describe the circumstances which the Participant believes justify the payment and an estimate of the amount necessary to eliminate the Unforeseeable Emergency.</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Amount of Withdrawal; Necessity</w:t>
      </w:r>
      <w:r>
        <w:rPr>
          <w:rFonts w:ascii="Arial" w:cs="Arial" w:eastAsia="Arial" w:hAnsi="Arial"/>
          <w:sz w:val="21"/>
          <w:szCs w:val="21"/>
          <w:color w:val="auto"/>
        </w:rPr>
        <w:t>. The payout, if any, from the Plan shall not exceed the lesser of: (i) the Participant’s vested Account Balance, calculated as of the close of business on or around the date on which the amount becomes payable, as determined by the Board in its sole discretion; or (ii) the amount necessary to satisfy the Unforeseeable Emergency, plus amounts necessary to pay Federal, state, or local income taxes or penalties reasonably anticipated as a result of the distribution. Notwithstanding the foregoing, a Participant may not receive a payout from the Plan to the extent that the Unforeseeable Emergency is or may be relieved (a) through reimbursement or compensation by insurance or otherwise, (b) by liquidation of the Participant’s assets, to the extent the liquidation of such assets would not itself cause severe financial hardship, or (c) by cessation of deferrals under this Plan.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Payment; Cessation of Deferrals</w:t>
      </w:r>
      <w:r>
        <w:rPr>
          <w:rFonts w:ascii="Arial" w:cs="Arial" w:eastAsia="Arial" w:hAnsi="Arial"/>
          <w:sz w:val="22"/>
          <w:szCs w:val="22"/>
          <w:color w:val="auto"/>
        </w:rPr>
        <w:t>. If the Board, in its sole discretion, approves a Participant’s petition for payout from the Plan, the Participant shall receive a payout in the form of a lump sum from the Plan within sixty (60) days of the date of such approval, and the Participant’s deferrals of Cash Compensation then in effect under the Plan shall be terminated as of the date of such approval.</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409A</w:t>
      </w:r>
      <w:r>
        <w:rPr>
          <w:rFonts w:ascii="Arial" w:cs="Arial" w:eastAsia="Arial" w:hAnsi="Arial"/>
          <w:sz w:val="22"/>
          <w:szCs w:val="22"/>
          <w:color w:val="auto"/>
        </w:rPr>
        <w:t>. Any payment as a result of an Unforeseeable Emergency shall be made in accordance with Code Section 409A(a)(2)(A)(vi) and the regulations thereunder.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u w:val="single" w:color="auto"/>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 STATEMENTS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Within 60 days after the end of the calendar year, a statement will be sent to each Participant listing the balance in his or her Account as of the last day of the Plan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ADMINISTRATION</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Board shall administer the Plan and shall have full authority to make such rules and regulations deemed necessary or desirable to administer the Plan and to interpret its provisions. However, no member of the Board shall vote or act on any matter relating solely to himself or herself.</w:t>
      </w:r>
    </w:p>
    <w:p>
      <w:pPr>
        <w:jc w:val="both"/>
        <w:ind w:firstLine="648"/>
        <w:spacing w:after="0" w:line="245"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Board to Administer and Interpret Plan</w:t>
      </w:r>
      <w:r>
        <w:rPr>
          <w:rFonts w:ascii="Arial" w:cs="Arial" w:eastAsia="Arial" w:hAnsi="Arial"/>
          <w:sz w:val="22"/>
          <w:szCs w:val="22"/>
          <w:color w:val="auto"/>
        </w:rPr>
        <w:t>. The Board or its designee shall administer the Plan and shall have all discretion and power necessary for that purpose. The Board shall have the discretion, authority, and power to (i) make, amend, interpret, and enforce all appropriate rules and regulations for the administration of the Plan and (ii) decide or resolve any and all questions that may arise in connection with this Plan, including interpretations of the Plan and determinations of eligibility to participate and to receive distributions under the Plan. Any individual serving on the Board, or anyone delegated responsibilities by the Board, shall not vote or act on any matter relating solely to himself. When making a determination or calculation, the Board shall be entitled to rely on information supplied by a Participant, Beneficiary, or the Employer, as the case may be. The Board shall maintain all records of the Plan.</w:t>
      </w:r>
    </w:p>
    <w:p>
      <w:pPr>
        <w:spacing w:after="0" w:line="9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Agents</w:t>
      </w:r>
      <w:r>
        <w:rPr>
          <w:rFonts w:ascii="Arial" w:cs="Arial" w:eastAsia="Arial" w:hAnsi="Arial"/>
          <w:sz w:val="19"/>
          <w:szCs w:val="19"/>
          <w:color w:val="auto"/>
        </w:rPr>
        <w:t>. In the administration of this Plan, the Board may, from time to time, employ agents (including officers and other employees of the Company) and delegate to them such administrative duties as it sees fit (including acting through a duly appointed representative) and may from time to time consult with counsel who may be counsel to the Company.</w:t>
      </w:r>
    </w:p>
    <w:p>
      <w:pPr>
        <w:spacing w:after="0" w:line="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Binding Effect of Decisions</w:t>
      </w:r>
      <w:r>
        <w:rPr>
          <w:rFonts w:ascii="Arial" w:cs="Arial" w:eastAsia="Arial" w:hAnsi="Arial"/>
          <w:sz w:val="22"/>
          <w:szCs w:val="22"/>
          <w:color w:val="auto"/>
        </w:rPr>
        <w:t>. The decision or action of the Board with 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Indemnity of Board</w:t>
      </w:r>
      <w:r>
        <w:rPr>
          <w:rFonts w:ascii="Arial" w:cs="Arial" w:eastAsia="Arial" w:hAnsi="Arial"/>
          <w:sz w:val="22"/>
          <w:szCs w:val="22"/>
          <w:color w:val="auto"/>
        </w:rPr>
        <w:t>. The Company shall indemnify and hold harmless the members of the Board and any employee to whom duties of the Board may be delegated against any and all claims, losses, damages, expenses or liabilities arising from any action or failure to act with respect to this Plan, except in the case of willful misconduct by the Board, any of its members, or any such employee.</w:t>
      </w:r>
    </w:p>
    <w:p>
      <w:pPr>
        <w:spacing w:after="0" w:line="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Agent for Legal Process</w:t>
      </w:r>
      <w:r>
        <w:rPr>
          <w:rFonts w:ascii="Arial" w:cs="Arial" w:eastAsia="Arial" w:hAnsi="Arial"/>
          <w:sz w:val="19"/>
          <w:szCs w:val="19"/>
          <w:color w:val="auto"/>
        </w:rPr>
        <w:t>. The Board shall be agent of the Plan for service of all legal process.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AND TERMINATION</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Plan may be amended, modified or terminated by the Board. No amendment, modification, or termination shall adversely affect a Participant’s rights with respect to amounts vested in his or her Account.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u w:val="single" w:color="auto"/>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Election Forms</w:t>
      </w:r>
      <w:r>
        <w:rPr>
          <w:rFonts w:ascii="Arial" w:cs="Arial" w:eastAsia="Arial" w:hAnsi="Arial"/>
          <w:sz w:val="22"/>
          <w:szCs w:val="22"/>
          <w:color w:val="auto"/>
        </w:rPr>
        <w:t>. All elections shall be made on forms prepared by the Corporate Secretary and must be dated, signed, and filed with the Company’s Human Resources department in order to be valid.</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Source of Payments</w:t>
      </w:r>
      <w:r>
        <w:rPr>
          <w:rFonts w:ascii="Arial" w:cs="Arial" w:eastAsia="Arial" w:hAnsi="Arial"/>
          <w:sz w:val="21"/>
          <w:szCs w:val="21"/>
          <w:color w:val="auto"/>
        </w:rPr>
        <w:t>. The Company and each participating Affiliate will pay all benefits for its Directors arising under this Plan, and all costs, charges and expenses relating to such benefits, out of its general assets. The right of a Participant to receive any unpaid portion of his or her Account shall be an unsecured claim against the general assets of the Company and its Affiliates and will be subordinated to the general obligations of the Company and its Affiliates.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No Assignment or Alienation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87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provided in subsection (b) below, the benefits provided for in this Plan shall not be anticipated, assigned (either at law or in equity), alienated, or be subject to attachment, garnishment, levy, execution or other legal or equitable process. Any attempt by any Participant or any Beneficiary to anticipate, assign or alienate any portion of the benefits provided for in this Plan shall be null and void.</w:t>
      </w:r>
    </w:p>
    <w:p>
      <w:pPr>
        <w:spacing w:after="0" w:line="185" w:lineRule="exact"/>
        <w:rPr>
          <w:rFonts w:ascii="Arial" w:cs="Arial" w:eastAsia="Arial" w:hAnsi="Arial"/>
          <w:sz w:val="22"/>
          <w:szCs w:val="22"/>
          <w:color w:val="auto"/>
        </w:rPr>
      </w:pPr>
    </w:p>
    <w:p>
      <w:pPr>
        <w:jc w:val="both"/>
        <w:ind w:firstLine="1305"/>
        <w:spacing w:after="0" w:line="299" w:lineRule="auto"/>
        <w:tabs>
          <w:tab w:leader="none" w:pos="175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Exception: DRO</w:t>
      </w:r>
      <w:r>
        <w:rPr>
          <w:rFonts w:ascii="Arial" w:cs="Arial" w:eastAsia="Arial" w:hAnsi="Arial"/>
          <w:sz w:val="19"/>
          <w:szCs w:val="19"/>
          <w:color w:val="auto"/>
        </w:rPr>
        <w:t>. The restrictions of subsection (a) shall not apply to a distribution to an “alternate payee” (as defined in Code Section 414(p)) pursuant to a “domestic relations order” (“DRO”) within the meaning of Code Section 414(p)(1)</w:t>
      </w: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(B). The Board shall have the discretion, power, and authority to determine whether an order is a DRO. Upon a determination that an order is a DRO, the Board shall cause the Company or the relevant Affiliate to make a distribution to the alternate payee or payees named in the DRO, as directed by the DRO.</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Beneficiaries</w:t>
      </w:r>
      <w:r>
        <w:rPr>
          <w:rFonts w:ascii="Arial" w:cs="Arial" w:eastAsia="Arial" w:hAnsi="Arial"/>
          <w:sz w:val="22"/>
          <w:szCs w:val="22"/>
          <w:color w:val="auto"/>
        </w:rPr>
        <w:t>. A Participant shall have the right, in accordance with forms and procedures established by the Board, to designate one or more Beneficiaries to receive some or all amounts payable under the Plan after the Participant’s death. In the absence of an effective Beneficiary designation, all payments shall be made to the personal representative of the Participant’s estate.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No Creation of Rights</w:t>
      </w:r>
      <w:r>
        <w:rPr>
          <w:rFonts w:ascii="Arial" w:cs="Arial" w:eastAsia="Arial" w:hAnsi="Arial"/>
          <w:sz w:val="22"/>
          <w:szCs w:val="22"/>
          <w:color w:val="auto"/>
        </w:rPr>
        <w:t>. Nothing in this Plan shall confer upon any Participant the right to continue as a Director. The right of a Participant to receive a distribution shall be an unsecured claim against the general assets of the Company. Nothing contained in this Plan or its component Programs nor any action taken hereunder shall create, or be construed to create, a trust of any kind, or a fiduciary relationship between the Company and the Participants, Beneficiaries, or any other persons. All Accounts under the Plan and its component Programs shall be maintained for bookkeeping purposes only and shall not represent a claim against specific assets of any Company.</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Payments to Incompetents</w:t>
      </w:r>
      <w:r>
        <w:rPr>
          <w:rFonts w:ascii="Arial" w:cs="Arial" w:eastAsia="Arial" w:hAnsi="Arial"/>
          <w:sz w:val="22"/>
          <w:szCs w:val="22"/>
          <w:color w:val="auto"/>
        </w:rPr>
        <w:t>. If the Board determines in its discretion that a benefit under this Plan is to be paid to a minor, a person declared incompetent or to a person incapable of handling the disposition of his or her property, the Board may direct payment of such benefit to the guardian, legal representative or person having the care and custody of such minor, incompetent or incapable person. The Board may require proof of minority, incompetence, incapacity or guardianship, as it may deem appropriate prior to distribution of the benefit. Any such payment shall be a payment for the account of the Participant and the Participant’s Beneficiary, as the case may be, and shall be a complete discharge of any liability under the Plan for such payment amount.</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u w:val="single" w:color="auto"/>
          <w:color w:val="auto"/>
        </w:rPr>
        <w:t>Court Order</w:t>
      </w:r>
      <w:r>
        <w:rPr>
          <w:rFonts w:ascii="Arial" w:cs="Arial" w:eastAsia="Arial" w:hAnsi="Arial"/>
          <w:sz w:val="19"/>
          <w:szCs w:val="19"/>
          <w:color w:val="auto"/>
        </w:rPr>
        <w:t>. The Board is authorized to make any payments directed by court order in any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action in which the Plan or the Board has been named as a party.</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Code Section 409A Savings Clause</w:t>
      </w:r>
      <w:r>
        <w:rPr>
          <w:rFonts w:ascii="Arial" w:cs="Arial" w:eastAsia="Arial" w:hAnsi="Arial"/>
          <w:sz w:val="19"/>
          <w:szCs w:val="19"/>
          <w:color w:val="auto"/>
        </w:rPr>
        <w:t>. The payments and benefits provided under the Plan are intended to be compliant with the requirements of Section 409A of the Code. Notwithstanding any provision of this Plan to the contrary, including, without limitation, Article 10 hereof, in the event that the Company reasonably determines that any payments or benefits hereunder are not either exempt from or compliant with the requirements of Section 409A of the Code, the Company shall have the right adopt such amendments to this Plan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w:t>
      </w:r>
    </w:p>
    <w:p>
      <w:pPr>
        <w:spacing w:after="0" w:line="5" w:lineRule="exact"/>
        <w:rPr>
          <w:sz w:val="20"/>
          <w:szCs w:val="20"/>
          <w:color w:val="auto"/>
        </w:rPr>
      </w:pPr>
    </w:p>
    <w:p>
      <w:pPr>
        <w:jc w:val="both"/>
        <w:ind w:firstLine="8"/>
        <w:spacing w:after="0" w:line="295" w:lineRule="auto"/>
        <w:tabs>
          <w:tab w:leader="none" w:pos="32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exempt such payments and benefits from Section 409A of the Code or to comply with the requirements of Section 409A of the Code and thereby avoid the application of penalty taxes thereunder; provided, however, that this Section 11.8 does not, and shall not be construed so as to, create any obligation on the part of the Company to adopt any such amendments, policies or procedures or to take any other such actions or to indemnify any Participant for any failure to do so.</w:t>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Attorney Fees; Interest</w:t>
      </w:r>
      <w:r>
        <w:rPr>
          <w:rFonts w:ascii="Arial" w:cs="Arial" w:eastAsia="Arial" w:hAnsi="Arial"/>
          <w:sz w:val="19"/>
          <w:szCs w:val="19"/>
          <w:color w:val="auto"/>
        </w:rPr>
        <w:t>. The Company and its Affiliates agrees to pay as incurred, to the full extent permitted by law, and in accordance with Code Section 409A, all legal fees and expenses which a Participant may reasonably incur as a result of any contest (regardless of the outcome thereof) by the Company, the Participant, or others following a Change in Control regarding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The foregoing right to legal fees and expenses shall not apply to any contest brought by a Participant (or other party seeking payment under the Plan) that is found by a court of competent jurisdiction to be frivolous or vexatious. To the extent that any payments or reimbursements provided to the Participant under this Section are deemed to constitute compensation to the Participant, such amounts shall be paid or reimbursed reasonably promptly, but not later than December 31 of the year following the year in which the expense was incurred. The amount of any payments or expense reimbursements that constitute compensation in one year shall not affect the amount of payments or expense reimbursements constituting compensation that are eligible for payment or reimbursement in any subsequent year, and the Participant’s right to such payments or reimbursement of any such expenses shall not be subject to liquidation or exchange for any other benefit.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u w:val="single" w:color="auto"/>
          <w:color w:val="auto"/>
        </w:rPr>
        <w:t>Distribution in the Event of Taxation</w:t>
      </w:r>
      <w:r>
        <w:rPr>
          <w:rFonts w:ascii="Arial" w:cs="Arial" w:eastAsia="Arial" w:hAnsi="Arial"/>
          <w:sz w:val="22"/>
          <w:szCs w:val="22"/>
          <w:color w:val="auto"/>
        </w:rPr>
        <w:t>. If, for any reason, all or any portion of a Participant’s benefits under this Plan becomes subject to federal income tax under Code Section 409A with respect to the Participant prior to receipt, a Participant may petition the Board for a distribution of that portion of his or her benefit that has become taxable. Upon the grant of such a petition, which grant shall not be unreasonably withheld, the Company or the relevant Affiliate shall distribute to the Participant immediately available funds in an amount equal to the taxable portion of his or her benefit (which amount shall not exceed a Participant’s unpaid vested Account balances). If the petition is granted, the tax liability distribution shall be made within 90 days of the date when the Participant’s petition is granted. Such a distribution shall affect and reduce the benefits to be paid under this Plan.</w:t>
      </w:r>
    </w:p>
    <w:p>
      <w:pPr>
        <w:spacing w:after="0" w:line="19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preempted by federal law, this Plan shall be governed by the laws of the State of Colorado,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85" w:name="page86"/>
    <w:bookmarkEnd w:id="85"/>
    <w:p>
      <w:pPr>
        <w:ind w:firstLine="176"/>
        <w:spacing w:after="0" w:line="263" w:lineRule="auto"/>
        <w:rPr>
          <w:sz w:val="20"/>
          <w:szCs w:val="20"/>
          <w:color w:val="auto"/>
        </w:rPr>
      </w:pPr>
      <w:r>
        <w:rPr>
          <w:rFonts w:ascii="Arial" w:cs="Arial" w:eastAsia="Arial" w:hAnsi="Arial"/>
          <w:sz w:val="22"/>
          <w:szCs w:val="22"/>
          <w:color w:val="auto"/>
        </w:rPr>
        <w:t>I hereby certify that this QEP Resources, Inc. Deferred Compensation Plan for Directors was duly amended by the Board of Directors of QEP Resources, Inc. on July 24, 2017.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Executed on this 24th day of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56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240" w:top="591" w:right="7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26, 2017</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26, 2017</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June 30, 2017,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July 26, 2017</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July 26, 2017</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2"/>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2"/>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lowerLetter"/>
      <w:start w:val="9"/>
    </w:lvl>
  </w:abstractNum>
  <w:abstractNum w:abstractNumId="22">
    <w:nsid w:val="507236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Letter"/>
      <w:start w:val="1"/>
    </w:lvl>
  </w:abstractNum>
  <w:abstractNum w:abstractNumId="23">
    <w:nsid w:val="3804823E"/>
    <w:multiLevelType w:val="hybridMultilevel"/>
    <w:lvl w:ilvl="0">
      <w:lvlJc w:val="left"/>
      <w:lvlText w:val="(%1)"/>
      <w:numFmt w:val="lowerRoman"/>
      <w:start w:val="3"/>
    </w:lvl>
    <w:lvl w:ilvl="1">
      <w:lvlJc w:val="left"/>
      <w:lvlText w:val="(%2)"/>
      <w:numFmt w:val="upp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Roman"/>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3"/>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3"/>
    </w:lvl>
  </w:abstractNum>
  <w:abstractNum w:abstractNumId="34">
    <w:nsid w:val="70A64E2A"/>
    <w:multiLevelType w:val="hybridMultilevel"/>
    <w:lvl w:ilvl="0">
      <w:lvlJc w:val="left"/>
      <w:lvlText w:val="(%1)"/>
      <w:numFmt w:val="lowerLetter"/>
      <w:start w:val="15"/>
    </w:lvl>
  </w:abstractNum>
  <w:abstractNum w:abstractNumId="35">
    <w:nsid w:val="6A2342EC"/>
    <w:multiLevelType w:val="hybridMultilevel"/>
    <w:lvl w:ilvl="0">
      <w:lvlJc w:val="left"/>
      <w:lvlText w:val="(%1)"/>
      <w:numFmt w:val="lowerLetter"/>
      <w:start w:val="1"/>
    </w:lvl>
    <w:lvl w:ilvl="1">
      <w:lvlJc w:val="left"/>
      <w:lvlText w:val="(%2)"/>
      <w:numFmt w:val="lowerLetter"/>
      <w:start w:val="2"/>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1)"/>
      <w:numFmt w:val="lowerLetter"/>
      <w:start w:val="1"/>
    </w:lvl>
    <w:lvl w:ilvl="1">
      <w:lvlJc w:val="left"/>
      <w:lvlText w:val="(%2)"/>
      <w:numFmt w:val="lowerRoman"/>
      <w:start w:val="1"/>
    </w:lvl>
  </w:abstractNum>
  <w:abstractNum w:abstractNumId="38">
    <w:nsid w:val="725A06FB"/>
    <w:multiLevelType w:val="hybridMultilevel"/>
    <w:lvl w:ilvl="0">
      <w:lvlJc w:val="left"/>
      <w:lvlText w:val="(%1)"/>
      <w:numFmt w:val="lowerRoman"/>
      <w:start w:val="2"/>
    </w:lvl>
  </w:abstractNum>
  <w:abstractNum w:abstractNumId="39">
    <w:nsid w:val="2CD89A32"/>
    <w:multiLevelType w:val="hybridMultilevel"/>
    <w:lvl w:ilvl="0">
      <w:lvlJc w:val="left"/>
      <w:lvlText w:val="(%1)"/>
      <w:numFmt w:val="lowerLetter"/>
      <w:start w:val="1"/>
    </w:lvl>
    <w:lvl w:ilvl="1">
      <w:lvlJc w:val="left"/>
      <w:lvlText w:val="(%2)"/>
      <w:numFmt w:val="lowerRoman"/>
      <w:start w:val="1"/>
    </w:lvl>
  </w:abstractNum>
  <w:abstractNum w:abstractNumId="40">
    <w:nsid w:val="57E4CCAF"/>
    <w:multiLevelType w:val="hybridMultilevel"/>
    <w:lvl w:ilvl="0">
      <w:lvlJc w:val="left"/>
      <w:lvlText w:val="(%1)"/>
      <w:numFmt w:val="lowerRoman"/>
      <w:start w:val="3"/>
    </w:lvl>
  </w:abstractNum>
  <w:abstractNum w:abstractNumId="41">
    <w:nsid w:val="7A6D8D3C"/>
    <w:multiLevelType w:val="hybridMultilevel"/>
    <w:lvl w:ilvl="0">
      <w:lvlJc w:val="left"/>
      <w:lvlText w:val="(%1)"/>
      <w:numFmt w:val="lowerLetter"/>
      <w:start w:val="3"/>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Roman"/>
      <w:start w:val="2"/>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2019-12-29T04:48:02Z</dcterms:created>
  <dcterms:modified xsi:type="dcterms:W3CDTF">2019-12-29T04:48:02Z</dcterms:modified>
</cp:coreProperties>
</file>