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12" w:lineRule="exact"/>
        <w:rPr>
          <w:sz w:val="24"/>
          <w:szCs w:val="24"/>
          <w:color w:val="auto"/>
        </w:rPr>
      </w:pPr>
    </w:p>
    <w:p>
      <w:pPr>
        <w:jc w:val="both"/>
        <w:ind w:left="320" w:right="340" w:hanging="246"/>
        <w:spacing w:after="0" w:line="183" w:lineRule="auto"/>
        <w:tabs>
          <w:tab w:leader="none" w:pos="320" w:val="left"/>
        </w:tabs>
        <w:numPr>
          <w:ilvl w:val="0"/>
          <w:numId w:val="1"/>
        </w:numPr>
        <w:rPr>
          <w:rFonts w:ascii="Times New Roman" w:cs="Times New Roman" w:eastAsia="Times New Roman" w:hAnsi="Times New Roman"/>
          <w:sz w:val="24"/>
          <w:szCs w:val="24"/>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-243205</wp:posOffset>
            </wp:positionV>
            <wp:extent cx="110490" cy="158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490" cy="1581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20" w:type="dxa"/>
            <w:vAlign w:val="bottom"/>
          </w:tcPr>
          <w:p>
            <w:pPr>
              <w:jc w:val="center"/>
              <w:ind w:right="29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9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2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5256530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38735</wp:posOffset>
            </wp:positionV>
            <wp:extent cx="6972935" cy="1557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55765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160" w:space="480"/>
            <w:col w:w="844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WOOSLEY CHRISTOPHER K</w:t>
        </w:r>
      </w:hyperlink>
    </w:p>
    <w:p>
      <w:pPr>
        <w:spacing w:after="0" w:line="27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1050 17TH STREET,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QEP RESOURCES,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QEP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03/17/2021</w:t>
      </w:r>
    </w:p>
    <w:p>
      <w:pPr>
        <w:spacing w:after="0" w:line="20" w:lineRule="exact"/>
        <w:rPr>
          <w:sz w:val="24"/>
          <w:szCs w:val="24"/>
          <w:color w:val="auto"/>
        </w:rPr>
      </w:pPr>
      <w:r>
        <w:rPr>
          <w:sz w:val="24"/>
          <w:szCs w:val="24"/>
          <w:color w:val="auto"/>
        </w:rPr>
        <w:br w:type="column"/>
      </w:r>
    </w:p>
    <w:p>
      <w:pPr>
        <w:ind w:left="-3" w:right="720" w:firstLine="3"/>
        <w:spacing w:after="0" w:line="270"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ind w:left="197"/>
        <w:spacing w:after="0"/>
        <w:tabs>
          <w:tab w:leader="none" w:pos="496" w:val="left"/>
          <w:tab w:leader="none" w:pos="2076"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19"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657"/>
        <w:spacing w:after="0"/>
        <w:rPr>
          <w:sz w:val="20"/>
          <w:szCs w:val="20"/>
          <w:color w:val="auto"/>
        </w:rPr>
      </w:pPr>
      <w:r>
        <w:rPr>
          <w:rFonts w:ascii="Times New Roman" w:cs="Times New Roman" w:eastAsia="Times New Roman" w:hAnsi="Times New Roman"/>
          <w:sz w:val="16"/>
          <w:szCs w:val="16"/>
          <w:color w:val="0000FF"/>
        </w:rPr>
        <w:t>EVP, General Counsel &amp; CS</w:t>
      </w:r>
    </w:p>
    <w:p>
      <w:pPr>
        <w:spacing w:after="0" w:line="324" w:lineRule="exact"/>
        <w:rPr>
          <w:sz w:val="24"/>
          <w:szCs w:val="24"/>
          <w:color w:val="auto"/>
        </w:rPr>
      </w:pPr>
    </w:p>
    <w:p>
      <w:pPr>
        <w:sectPr>
          <w:pgSz w:w="11900" w:h="16838" w:orient="portrait"/>
          <w:cols w:equalWidth="0" w:num="3">
            <w:col w:w="3180" w:space="720"/>
            <w:col w:w="3123" w:space="720"/>
            <w:col w:w="3337"/>
          </w:cols>
          <w:pgMar w:left="460" w:top="214" w:right="359" w:bottom="1440" w:gutter="0" w:footer="0" w:header="0"/>
          <w:type w:val="continuous"/>
        </w:sectPr>
      </w:pP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80" w:type="dxa"/>
            <w:vAlign w:val="bottom"/>
            <w:gridSpan w:val="7"/>
          </w:tcPr>
          <w:p>
            <w:pPr>
              <w:jc w:val="center"/>
              <w:ind w:right="75"/>
              <w:spacing w:after="0"/>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10"/>
          </w:tcPr>
          <w:p>
            <w:pPr>
              <w:ind w:left="40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vMerge w:val="restart"/>
          </w:tcPr>
          <w:p>
            <w:pPr>
              <w:ind w:left="400"/>
              <w:spacing w:after="0"/>
              <w:rPr>
                <w:sz w:val="20"/>
                <w:szCs w:val="20"/>
                <w:color w:val="auto"/>
              </w:rPr>
            </w:pPr>
            <w:r>
              <w:rPr>
                <w:rFonts w:ascii="Arial" w:cs="Arial" w:eastAsia="Arial" w:hAnsi="Arial"/>
                <w:sz w:val="12"/>
                <w:szCs w:val="12"/>
                <w:color w:val="auto"/>
              </w:rPr>
              <w:t>Line)</w:t>
            </w: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DENVER</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CO</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80265</w:t>
            </w: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20" w:type="dxa"/>
            <w:vAlign w:val="bottom"/>
            <w:gridSpan w:val="6"/>
            <w:vMerge w:val="restart"/>
          </w:tcPr>
          <w:p>
            <w:pPr>
              <w:ind w:left="60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20" w:type="dxa"/>
            <w:vAlign w:val="bottom"/>
            <w:gridSpan w:val="6"/>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3000" w:type="dxa"/>
            <w:vAlign w:val="bottom"/>
            <w:gridSpan w:val="8"/>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140" w:type="dxa"/>
            <w:vAlign w:val="bottom"/>
            <w:gridSpan w:val="2"/>
            <w:vMerge w:val="restart"/>
          </w:tcPr>
          <w:p>
            <w:pPr>
              <w:ind w:left="14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0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3"/>
          </w:tcPr>
          <w:p>
            <w:pPr>
              <w:jc w:val="center"/>
              <w:ind w:right="18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4"/>
          </w:tcPr>
          <w:p>
            <w:pPr>
              <w:ind w:left="9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2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ind w:left="900"/>
              <w:spacing w:after="0" w:line="120" w:lineRule="exact"/>
              <w:rPr>
                <w:sz w:val="20"/>
                <w:szCs w:val="20"/>
                <w:color w:val="auto"/>
              </w:rPr>
            </w:pPr>
            <w:r>
              <w:rPr>
                <w:rFonts w:ascii="Arial" w:cs="Arial" w:eastAsia="Arial" w:hAnsi="Arial"/>
                <w:sz w:val="11"/>
                <w:szCs w:val="11"/>
                <w:b w:val="1"/>
                <w:bCs w:val="1"/>
                <w:color w:val="auto"/>
                <w:w w:val="92"/>
              </w:rPr>
              <w:t>Date</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5"/>
          </w:tcPr>
          <w:p>
            <w:pPr>
              <w:ind w:left="6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80" w:type="dxa"/>
            <w:vAlign w:val="bottom"/>
            <w:gridSpan w:val="4"/>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4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gridSpan w:val="5"/>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7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6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4"/>
          </w:tcPr>
          <w:p>
            <w:pPr>
              <w:ind w:left="980"/>
              <w:spacing w:after="0"/>
              <w:rPr>
                <w:sz w:val="20"/>
                <w:szCs w:val="20"/>
                <w:color w:val="auto"/>
              </w:rPr>
            </w:pPr>
            <w:r>
              <w:rPr>
                <w:rFonts w:ascii="Times New Roman" w:cs="Times New Roman" w:eastAsia="Times New Roman" w:hAnsi="Times New Roman"/>
                <w:sz w:val="16"/>
                <w:szCs w:val="16"/>
                <w:color w:val="0000FF"/>
              </w:rPr>
              <w:t>03/17/2021</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2"/>
                <w:szCs w:val="12"/>
                <w:color w:val="0000FF"/>
                <w:w w:val="91"/>
              </w:rPr>
              <w:t>D</w:t>
            </w:r>
          </w:p>
        </w:tc>
        <w:tc>
          <w:tcPr>
            <w:tcW w:w="8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470,434</w:t>
            </w:r>
            <w:r>
              <w:rPr>
                <w:rFonts w:ascii="Times New Roman" w:cs="Times New Roman" w:eastAsia="Times New Roman" w:hAnsi="Times New Roman"/>
                <w:sz w:val="20"/>
                <w:szCs w:val="20"/>
                <w:color w:val="008000"/>
                <w:vertAlign w:val="superscript"/>
              </w:rPr>
              <w:t>(1)</w:t>
            </w:r>
          </w:p>
        </w:tc>
        <w:tc>
          <w:tcPr>
            <w:tcW w:w="4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right"/>
              <w:ind w:right="114"/>
              <w:spacing w:after="0"/>
              <w:rPr>
                <w:sz w:val="20"/>
                <w:szCs w:val="20"/>
                <w:color w:val="auto"/>
              </w:rPr>
            </w:pPr>
            <w:r>
              <w:rPr>
                <w:rFonts w:ascii="Times New Roman" w:cs="Times New Roman" w:eastAsia="Times New Roman" w:hAnsi="Times New Roman"/>
                <w:sz w:val="10"/>
                <w:szCs w:val="10"/>
                <w:color w:val="008000"/>
              </w:rPr>
              <w:t>(2)(3)</w:t>
            </w:r>
          </w:p>
        </w:tc>
        <w:tc>
          <w:tcPr>
            <w:tcW w:w="740" w:type="dxa"/>
            <w:vAlign w:val="bottom"/>
            <w:tcBorders>
              <w:bottom w:val="single" w:sz="8" w:color="2C2C2C"/>
            </w:tcBorders>
            <w:gridSpan w:val="2"/>
          </w:tcPr>
          <w:p>
            <w:pPr>
              <w:jc w:val="right"/>
              <w:ind w:right="83"/>
              <w:spacing w:after="0"/>
              <w:rPr>
                <w:sz w:val="20"/>
                <w:szCs w:val="20"/>
                <w:color w:val="auto"/>
              </w:rPr>
            </w:pPr>
            <w:r>
              <w:rPr>
                <w:rFonts w:ascii="Times New Roman" w:cs="Times New Roman" w:eastAsia="Times New Roman" w:hAnsi="Times New Roman"/>
                <w:sz w:val="16"/>
                <w:szCs w:val="16"/>
                <w:color w:val="0000FF"/>
              </w:rPr>
              <w:t>0</w:t>
            </w:r>
          </w:p>
        </w:tc>
        <w:tc>
          <w:tcPr>
            <w:tcW w:w="13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Employee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gridSpan w:val="4"/>
          </w:tcPr>
          <w:p>
            <w:pPr>
              <w:ind w:left="980"/>
              <w:spacing w:after="0"/>
              <w:rPr>
                <w:sz w:val="20"/>
                <w:szCs w:val="20"/>
                <w:color w:val="auto"/>
              </w:rPr>
            </w:pPr>
            <w:r>
              <w:rPr>
                <w:rFonts w:ascii="Times New Roman" w:cs="Times New Roman" w:eastAsia="Times New Roman" w:hAnsi="Times New Roman"/>
                <w:sz w:val="16"/>
                <w:szCs w:val="16"/>
                <w:color w:val="0000FF"/>
              </w:rPr>
              <w:t>03/17/2021</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2"/>
                <w:szCs w:val="12"/>
                <w:color w:val="0000FF"/>
                <w:w w:val="91"/>
              </w:rPr>
              <w:t>D</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1,417</w:t>
            </w:r>
          </w:p>
        </w:tc>
        <w:tc>
          <w:tcPr>
            <w:tcW w:w="120" w:type="dxa"/>
            <w:vAlign w:val="bottom"/>
          </w:tcPr>
          <w:p>
            <w:pPr>
              <w:spacing w:after="0"/>
              <w:rPr>
                <w:sz w:val="17"/>
                <w:szCs w:val="17"/>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0"/>
                <w:szCs w:val="10"/>
                <w:color w:val="008000"/>
              </w:rPr>
              <w:t>(2)(3)</w:t>
            </w:r>
          </w:p>
        </w:tc>
        <w:tc>
          <w:tcPr>
            <w:tcW w:w="740" w:type="dxa"/>
            <w:vAlign w:val="bottom"/>
            <w:gridSpan w:val="2"/>
          </w:tcPr>
          <w:p>
            <w:pPr>
              <w:jc w:val="right"/>
              <w:ind w:right="83"/>
              <w:spacing w:after="0"/>
              <w:rPr>
                <w:sz w:val="20"/>
                <w:szCs w:val="20"/>
                <w:color w:val="auto"/>
              </w:rPr>
            </w:pPr>
            <w:r>
              <w:rPr>
                <w:rFonts w:ascii="Times New Roman" w:cs="Times New Roman" w:eastAsia="Times New Roman" w:hAnsi="Times New Roman"/>
                <w:sz w:val="16"/>
                <w:szCs w:val="16"/>
                <w:color w:val="0000FF"/>
              </w:rPr>
              <w:t>0</w:t>
            </w:r>
          </w:p>
        </w:tc>
        <w:tc>
          <w:tcPr>
            <w:tcW w:w="900" w:type="dxa"/>
            <w:vAlign w:val="bottom"/>
          </w:tcPr>
          <w:p>
            <w:pPr>
              <w:ind w:left="820"/>
              <w:spacing w:after="0"/>
              <w:rPr>
                <w:sz w:val="20"/>
                <w:szCs w:val="20"/>
                <w:color w:val="auto"/>
              </w:rPr>
            </w:pPr>
            <w:r>
              <w:rPr>
                <w:rFonts w:ascii="Times New Roman" w:cs="Times New Roman" w:eastAsia="Times New Roman" w:hAnsi="Times New Roman"/>
                <w:sz w:val="16"/>
                <w:szCs w:val="16"/>
                <w:color w:val="0000FF"/>
              </w:rPr>
              <w:t>I</w:t>
            </w:r>
          </w:p>
        </w:tc>
        <w:tc>
          <w:tcPr>
            <w:tcW w:w="420" w:type="dxa"/>
            <w:vAlign w:val="bottom"/>
          </w:tcPr>
          <w:p>
            <w:pPr>
              <w:spacing w:after="0"/>
              <w:rPr>
                <w:sz w:val="17"/>
                <w:szCs w:val="17"/>
                <w:color w:val="auto"/>
              </w:rPr>
            </w:pP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Investment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6"/>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3"/>
          </w:tcPr>
          <w:p>
            <w:pPr>
              <w:jc w:val="center"/>
              <w:ind w:right="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40" w:type="dxa"/>
            <w:vAlign w:val="bottom"/>
            <w:gridSpan w:val="11"/>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jc w:val="center"/>
              <w:ind w:right="3"/>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vMerge w:val="continue"/>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vMerge w:val="restart"/>
          </w:tcPr>
          <w:p>
            <w:pPr>
              <w:jc w:val="center"/>
              <w:ind w:left="182"/>
              <w:spacing w:after="0"/>
              <w:rPr>
                <w:sz w:val="20"/>
                <w:szCs w:val="20"/>
                <w:color w:val="auto"/>
              </w:rPr>
            </w:pPr>
            <w:r>
              <w:rPr>
                <w:rFonts w:ascii="Times New Roman" w:cs="Times New Roman" w:eastAsia="Times New Roman" w:hAnsi="Times New Roman"/>
                <w:sz w:val="12"/>
                <w:szCs w:val="12"/>
                <w:color w:val="0000FF"/>
                <w:w w:val="95"/>
              </w:rPr>
              <w:t>588,423</w:t>
            </w:r>
            <w:r>
              <w:rPr>
                <w:rFonts w:ascii="Times New Roman" w:cs="Times New Roman" w:eastAsia="Times New Roman" w:hAnsi="Times New Roman"/>
                <w:sz w:val="20"/>
                <w:szCs w:val="20"/>
                <w:color w:val="008000"/>
                <w:w w:val="95"/>
                <w:vertAlign w:val="superscript"/>
              </w:rPr>
              <w:t>(4)</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center"/>
              <w:ind w:right="18"/>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588,423</w:t>
            </w:r>
            <w:r>
              <w:rPr>
                <w:rFonts w:ascii="Times New Roman" w:cs="Times New Roman" w:eastAsia="Times New Roman" w:hAnsi="Times New Roman"/>
                <w:sz w:val="20"/>
                <w:szCs w:val="20"/>
                <w:color w:val="008000"/>
                <w:w w:val="94"/>
                <w:vertAlign w:val="superscript"/>
              </w:rPr>
              <w:t>(4)</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0000FF"/>
              </w:rPr>
              <w:t>03/17/2021</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0000FF"/>
              </w:rPr>
              <w:t>D</w:t>
            </w:r>
          </w:p>
        </w:tc>
        <w:tc>
          <w:tcPr>
            <w:tcW w:w="100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42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restart"/>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21.69</w:t>
            </w:r>
          </w:p>
        </w:tc>
        <w:tc>
          <w:tcPr>
            <w:tcW w:w="120" w:type="dxa"/>
            <w:vAlign w:val="bottom"/>
          </w:tcPr>
          <w:p>
            <w:pPr>
              <w:spacing w:after="0"/>
              <w:rPr>
                <w:sz w:val="15"/>
                <w:szCs w:val="15"/>
                <w:color w:val="auto"/>
              </w:rPr>
            </w:pPr>
          </w:p>
        </w:tc>
        <w:tc>
          <w:tcPr>
            <w:tcW w:w="100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03/17/2021</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D</w:t>
            </w:r>
          </w:p>
        </w:tc>
        <w:tc>
          <w:tcPr>
            <w:tcW w:w="1000" w:type="dxa"/>
            <w:vAlign w:val="bottom"/>
            <w:vMerge w:val="restart"/>
          </w:tcPr>
          <w:p>
            <w:pPr>
              <w:jc w:val="center"/>
              <w:ind w:left="202"/>
              <w:spacing w:after="0"/>
              <w:rPr>
                <w:sz w:val="20"/>
                <w:szCs w:val="20"/>
                <w:color w:val="auto"/>
              </w:rPr>
            </w:pPr>
            <w:r>
              <w:rPr>
                <w:rFonts w:ascii="Times New Roman" w:cs="Times New Roman" w:eastAsia="Times New Roman" w:hAnsi="Times New Roman"/>
                <w:sz w:val="12"/>
                <w:szCs w:val="12"/>
                <w:color w:val="0000FF"/>
              </w:rPr>
              <w:t>29,528</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0000FF"/>
              </w:rPr>
              <w:t>02/12/2022</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29,528</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90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restart"/>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10.12</w:t>
            </w:r>
          </w:p>
        </w:tc>
        <w:tc>
          <w:tcPr>
            <w:tcW w:w="120" w:type="dxa"/>
            <w:vAlign w:val="bottom"/>
          </w:tcPr>
          <w:p>
            <w:pPr>
              <w:spacing w:after="0"/>
              <w:rPr>
                <w:sz w:val="15"/>
                <w:szCs w:val="15"/>
                <w:color w:val="auto"/>
              </w:rPr>
            </w:pPr>
          </w:p>
        </w:tc>
        <w:tc>
          <w:tcPr>
            <w:tcW w:w="100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03/17/2021</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D</w:t>
            </w:r>
          </w:p>
        </w:tc>
        <w:tc>
          <w:tcPr>
            <w:tcW w:w="1000" w:type="dxa"/>
            <w:vAlign w:val="bottom"/>
            <w:vMerge w:val="restart"/>
          </w:tcPr>
          <w:p>
            <w:pPr>
              <w:jc w:val="center"/>
              <w:ind w:left="202"/>
              <w:spacing w:after="0"/>
              <w:rPr>
                <w:sz w:val="20"/>
                <w:szCs w:val="20"/>
                <w:color w:val="auto"/>
              </w:rPr>
            </w:pPr>
            <w:r>
              <w:rPr>
                <w:rFonts w:ascii="Times New Roman" w:cs="Times New Roman" w:eastAsia="Times New Roman" w:hAnsi="Times New Roman"/>
                <w:sz w:val="12"/>
                <w:szCs w:val="12"/>
                <w:color w:val="0000FF"/>
              </w:rPr>
              <w:t>26,645</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0000FF"/>
              </w:rPr>
              <w:t>02/16/2023</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26,645</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90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restart"/>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16.98</w:t>
            </w:r>
          </w:p>
        </w:tc>
        <w:tc>
          <w:tcPr>
            <w:tcW w:w="120" w:type="dxa"/>
            <w:vAlign w:val="bottom"/>
          </w:tcPr>
          <w:p>
            <w:pPr>
              <w:spacing w:after="0"/>
              <w:rPr>
                <w:sz w:val="15"/>
                <w:szCs w:val="15"/>
                <w:color w:val="auto"/>
              </w:rPr>
            </w:pPr>
          </w:p>
        </w:tc>
        <w:tc>
          <w:tcPr>
            <w:tcW w:w="100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03/17/2021</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D</w:t>
            </w:r>
          </w:p>
        </w:tc>
        <w:tc>
          <w:tcPr>
            <w:tcW w:w="1000" w:type="dxa"/>
            <w:vAlign w:val="bottom"/>
            <w:vMerge w:val="restart"/>
          </w:tcPr>
          <w:p>
            <w:pPr>
              <w:jc w:val="center"/>
              <w:ind w:left="202"/>
              <w:spacing w:after="0"/>
              <w:rPr>
                <w:sz w:val="20"/>
                <w:szCs w:val="20"/>
                <w:color w:val="auto"/>
              </w:rPr>
            </w:pPr>
            <w:r>
              <w:rPr>
                <w:rFonts w:ascii="Times New Roman" w:cs="Times New Roman" w:eastAsia="Times New Roman" w:hAnsi="Times New Roman"/>
                <w:sz w:val="12"/>
                <w:szCs w:val="12"/>
                <w:color w:val="0000FF"/>
              </w:rPr>
              <w:t>27,856</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(8)</w:t>
            </w:r>
          </w:p>
        </w:tc>
        <w:tc>
          <w:tcPr>
            <w:tcW w:w="68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0000FF"/>
              </w:rPr>
              <w:t>02/13/2024</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27,856</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90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-3850005</wp:posOffset>
            </wp:positionV>
            <wp:extent cx="7035800" cy="388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3889375"/>
                    </a:xfrm>
                    <a:prstGeom prst="rect">
                      <a:avLst/>
                    </a:prstGeom>
                    <a:noFill/>
                  </pic:spPr>
                </pic:pic>
              </a:graphicData>
            </a:graphic>
          </wp:anchor>
        </w:drawing>
      </w:r>
    </w:p>
    <w:p>
      <w:pPr>
        <w:spacing w:after="0" w:line="6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160" w:hanging="123"/>
        <w:spacing w:after="0"/>
        <w:tabs>
          <w:tab w:leader="none" w:pos="16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amount includes 253,744 shares of common stock of QEP Resources, Inc. ("QEP") subject to restricted stock awards.</w:t>
      </w:r>
    </w:p>
    <w:p>
      <w:pPr>
        <w:spacing w:after="0" w:line="48" w:lineRule="exact"/>
        <w:rPr>
          <w:rFonts w:ascii="Times New Roman" w:cs="Times New Roman" w:eastAsia="Times New Roman" w:hAnsi="Times New Roman"/>
          <w:sz w:val="12"/>
          <w:szCs w:val="12"/>
          <w:color w:val="008000"/>
        </w:rPr>
      </w:pPr>
    </w:p>
    <w:p>
      <w:pPr>
        <w:jc w:val="both"/>
        <w:ind w:left="40" w:right="160" w:hanging="3"/>
        <w:spacing w:after="0" w:line="252" w:lineRule="auto"/>
        <w:tabs>
          <w:tab w:leader="none" w:pos="16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17, 2021, pursuant to the Agreement and Plan of Merger dated as of December 20, 2020 (the "Merger Agreement"), by and among Diamondback Energy, Inc. ("Diamondback"), Bohemia Merger Sub Inc., a wholly owned subsidiary of Diamondback ("Merger Sub"), and QEP, Merger Sub merged with and into QEP (the "Merger") with QEP surviving the Merger as a wholly-owned subsidiary of Diamondback. Pursuant to the Merger Agreement, each share of QEP common stock issued and outstanding immediately prior to the effective time of the Merger (the "Effective Time") (subject to certain exceptions) was converted into the right to receive 0.05 shares of Diamondback common stock (the "Exchange Ratio").</w:t>
      </w:r>
    </w:p>
    <w:p>
      <w:pPr>
        <w:spacing w:after="0" w:line="18" w:lineRule="exact"/>
        <w:rPr>
          <w:rFonts w:ascii="Times New Roman" w:cs="Times New Roman" w:eastAsia="Times New Roman" w:hAnsi="Times New Roman"/>
          <w:sz w:val="12"/>
          <w:szCs w:val="12"/>
          <w:color w:val="008000"/>
        </w:rPr>
      </w:pPr>
    </w:p>
    <w:p>
      <w:pPr>
        <w:ind w:left="40" w:right="260" w:hanging="3"/>
        <w:spacing w:after="0" w:line="266" w:lineRule="auto"/>
        <w:tabs>
          <w:tab w:leader="none" w:pos="16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at the Effective Time, any shares of QEP common stock subject to restricted stock awards were converted into a number of time-based restricted shares of Diamondback common stock (rounded to the nearest whole share) equal to the product of (i) the total number of shares of QEP common stock subject to such award immediately prior to the Effective Time multiplied by (ii) the Exchange Ratio.</w:t>
      </w:r>
    </w:p>
    <w:p>
      <w:pPr>
        <w:spacing w:after="0" w:line="154" w:lineRule="exact"/>
        <w:rPr>
          <w:rFonts w:ascii="Times New Roman" w:cs="Times New Roman" w:eastAsia="Times New Roman" w:hAnsi="Times New Roman"/>
          <w:sz w:val="12"/>
          <w:szCs w:val="12"/>
          <w:color w:val="008000"/>
        </w:rPr>
      </w:pPr>
    </w:p>
    <w:p>
      <w:pPr>
        <w:ind w:left="40" w:right="180" w:hanging="3"/>
        <w:spacing w:after="0" w:line="252" w:lineRule="auto"/>
        <w:tabs>
          <w:tab w:leader="none" w:pos="16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at the Effective Time, each unvested award of performance share units denominated in shares of QEP common stock that was outstanding immediately prior to the Effective Time was converted into time-based restricted stock units in respect of that number of shares of Diamondback common stock (rounded to the nearest whole share) equal to the product of (i) the number of shares of QEP common stock subject to such award immediately prior to the Effective Time that would have been earned under the applicable terms of such award based upon the higher of (A) 100% of the target level of performance and (B) actual performance through the closing date (as determined by the compensation committee of QEP's board of directors) multiplied by (ii) the Exchange Ratio.</w:t>
      </w:r>
    </w:p>
    <w:p>
      <w:pPr>
        <w:spacing w:after="0" w:line="18" w:lineRule="exact"/>
        <w:rPr>
          <w:rFonts w:ascii="Times New Roman" w:cs="Times New Roman" w:eastAsia="Times New Roman" w:hAnsi="Times New Roman"/>
          <w:sz w:val="12"/>
          <w:szCs w:val="12"/>
          <w:color w:val="008000"/>
        </w:rPr>
      </w:pPr>
    </w:p>
    <w:p>
      <w:pPr>
        <w:ind w:left="40" w:right="600" w:hanging="3"/>
        <w:spacing w:after="0" w:line="281" w:lineRule="auto"/>
        <w:tabs>
          <w:tab w:leader="none" w:pos="16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at the Effective Time, each option to purchase shares of QEP common stock that was outstanding immediately prior to the Effective Time, whether vested or unvested, was cancelled without any payment or other consideration required to be made in respect thereof.</w:t>
      </w:r>
    </w:p>
    <w:p>
      <w:pPr>
        <w:ind w:left="160" w:hanging="123"/>
        <w:spacing w:after="0"/>
        <w:tabs>
          <w:tab w:leader="none" w:pos="16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vested in three annual installments beginning on March 5, 2016, subject to accelerated vesting upon the occurrence of certain events as set forth in the award agreement.</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vested in three annual installments beginning on March 5, 2017, subject to accelerated vesting upon the occurrence of certain events as set forth in the award agreement.</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vested in three annual installments beginning on March 5, 2018, subject to accelerated vesting upon the occurrence of certain events as set forth in the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9"/>
              </w:rPr>
              <w:t>/s/ Christopher K. Woosley</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03/17/2021</w:t>
            </w:r>
          </w:p>
        </w:tc>
      </w:tr>
      <w:tr>
        <w:trPr>
          <w:trHeight w:val="219"/>
        </w:trPr>
        <w:tc>
          <w:tcPr>
            <w:tcW w:w="20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2"/>
                <w:szCs w:val="12"/>
                <w:color w:val="auto"/>
              </w:rPr>
              <w:t>Date</w:t>
            </w: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8870" TargetMode="External"/><Relationship Id="rId14" Type="http://schemas.openxmlformats.org/officeDocument/2006/relationships/hyperlink" Target="http://www.sec.gov/cgi-bin/browse-edgar?action=getcompany&amp;CIK=00011088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2021-03-17T19:28:39Z</dcterms:created>
  <dcterms:modified xsi:type="dcterms:W3CDTF">2021-03-17T19:28:39Z</dcterms:modified>
</cp:coreProperties>
</file>