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SCHEDULE 13G/A</w:t>
      </w: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QEP Resources,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74733V100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(Date of Event Which Requires Filing of this Statement)</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146" w:lineRule="exact"/>
        <w:rPr>
          <w:sz w:val="24"/>
          <w:szCs w:val="24"/>
          <w:color w:val="auto"/>
        </w:rPr>
      </w:pPr>
    </w:p>
    <w:p>
      <w:pPr>
        <w:jc w:val="both"/>
        <w:ind w:left="660" w:right="7419" w:hanging="4"/>
        <w:spacing w:after="0" w:line="343" w:lineRule="exact"/>
        <w:tabs>
          <w:tab w:leader="none" w:pos="1497"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 xml:space="preserve">Rule 13d-1(b) </w:t>
      </w:r>
      <w:r>
        <w:rPr>
          <w:rFonts w:ascii="MS PGothic" w:cs="MS PGothic" w:eastAsia="MS PGothic" w:hAnsi="MS PGothic"/>
          <w:sz w:val="21"/>
          <w:szCs w:val="21"/>
          <w:color w:val="auto"/>
        </w:rPr>
        <w:t>☐</w:t>
      </w:r>
      <w:r>
        <w:rPr>
          <w:rFonts w:ascii="Arial" w:cs="Arial" w:eastAsia="Arial" w:hAnsi="Arial"/>
          <w:sz w:val="21"/>
          <w:szCs w:val="21"/>
          <w:color w:val="auto"/>
        </w:rPr>
        <w:t xml:space="preserve"> Rule 13d-1(c) </w:t>
      </w:r>
      <w:r>
        <w:rPr>
          <w:rFonts w:ascii="MS PGothic" w:cs="MS PGothic" w:eastAsia="MS PGothic" w:hAnsi="MS PGothic"/>
          <w:sz w:val="21"/>
          <w:szCs w:val="21"/>
          <w:color w:val="auto"/>
        </w:rPr>
        <w:t>☐</w:t>
      </w:r>
      <w:r>
        <w:rPr>
          <w:rFonts w:ascii="Arial" w:cs="Arial" w:eastAsia="Arial" w:hAnsi="Arial"/>
          <w:sz w:val="21"/>
          <w:szCs w:val="21"/>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1"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74733V100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926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926205"/>
                    </a:xfrm>
                    <a:prstGeom prst="rect">
                      <a:avLst/>
                    </a:prstGeom>
                    <a:noFill/>
                  </pic:spPr>
                </pic:pic>
              </a:graphicData>
            </a:graphic>
          </wp:anchor>
        </w:drawing>
      </w:r>
    </w:p>
    <w:p>
      <w:pPr>
        <w:spacing w:after="0" w:line="16" w:lineRule="exact"/>
        <w:rPr>
          <w:sz w:val="20"/>
          <w:szCs w:val="20"/>
          <w:color w:val="auto"/>
        </w:rPr>
      </w:pPr>
    </w:p>
    <w:p>
      <w:pPr>
        <w:ind w:left="1280" w:hanging="1245"/>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920" w:right="4580" w:hanging="648"/>
        <w:spacing w:after="0" w:line="257"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Key Group Holdings (Cayman) Ltd.</w:t>
      </w:r>
    </w:p>
    <w:p>
      <w:pPr>
        <w:spacing w:after="0" w:line="1" w:lineRule="exact"/>
        <w:rPr>
          <w:rFonts w:ascii="Arial" w:cs="Arial" w:eastAsia="Arial" w:hAnsi="Arial"/>
          <w:sz w:val="18"/>
          <w:szCs w:val="18"/>
          <w:color w:val="auto"/>
        </w:rPr>
      </w:pPr>
    </w:p>
    <w:p>
      <w:pPr>
        <w:ind w:left="1280" w:hanging="1245"/>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93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93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1280" w:hanging="1245"/>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920" w:right="6300" w:hanging="1885"/>
        <w:spacing w:after="0" w:line="270" w:lineRule="auto"/>
        <w:tabs>
          <w:tab w:leader="none" w:pos="127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9"/>
        </w:trPr>
        <w:tc>
          <w:tcPr>
            <w:tcW w:w="286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jc w:val="right"/>
              <w:ind w:right="1370"/>
              <w:spacing w:after="0" w:line="189" w:lineRule="exact"/>
              <w:rPr>
                <w:sz w:val="20"/>
                <w:szCs w:val="20"/>
                <w:color w:val="auto"/>
              </w:rPr>
            </w:pPr>
            <w:r>
              <w:rPr>
                <w:rFonts w:ascii="Arial" w:cs="Arial" w:eastAsia="Arial" w:hAnsi="Arial"/>
                <w:sz w:val="18"/>
                <w:szCs w:val="18"/>
                <w:color w:val="auto"/>
                <w:w w:val="79"/>
              </w:rPr>
              <w:t>5.</w:t>
            </w:r>
          </w:p>
        </w:tc>
        <w:tc>
          <w:tcPr>
            <w:tcW w:w="6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6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SHARES</w:t>
            </w:r>
          </w:p>
        </w:tc>
        <w:tc>
          <w:tcPr>
            <w:tcW w:w="1600" w:type="dxa"/>
            <w:vAlign w:val="bottom"/>
            <w:tcBorders>
              <w:right w:val="single" w:sz="8" w:color="auto"/>
            </w:tcBorders>
          </w:tcPr>
          <w:p>
            <w:pPr>
              <w:jc w:val="right"/>
              <w:ind w:right="1370"/>
              <w:spacing w:after="0" w:line="175" w:lineRule="exact"/>
              <w:rPr>
                <w:sz w:val="20"/>
                <w:szCs w:val="20"/>
                <w:color w:val="auto"/>
              </w:rPr>
            </w:pPr>
            <w:r>
              <w:rPr>
                <w:rFonts w:ascii="Arial" w:cs="Arial" w:eastAsia="Arial" w:hAnsi="Arial"/>
                <w:sz w:val="18"/>
                <w:szCs w:val="18"/>
                <w:color w:val="auto"/>
                <w:w w:val="79"/>
              </w:rPr>
              <w:t>6.</w:t>
            </w:r>
          </w:p>
        </w:tc>
        <w:tc>
          <w:tcPr>
            <w:tcW w:w="6780" w:type="dxa"/>
            <w:vAlign w:val="bottom"/>
          </w:tcPr>
          <w:p>
            <w:pPr>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BENEFICIALLY</w:t>
            </w:r>
          </w:p>
        </w:tc>
        <w:tc>
          <w:tcPr>
            <w:tcW w:w="1600" w:type="dxa"/>
            <w:vAlign w:val="bottom"/>
            <w:tcBorders>
              <w:right w:val="single" w:sz="8" w:color="auto"/>
            </w:tcBorders>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OWNED BY EACH</w:t>
            </w:r>
          </w:p>
        </w:tc>
        <w:tc>
          <w:tcPr>
            <w:tcW w:w="1600" w:type="dxa"/>
            <w:vAlign w:val="bottom"/>
            <w:tcBorders>
              <w:bottom w:val="single" w:sz="8" w:color="auto"/>
              <w:right w:val="single" w:sz="8" w:color="auto"/>
            </w:tcBorders>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6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tcPr>
          <w:p>
            <w:pPr>
              <w:jc w:val="right"/>
              <w:ind w:right="1370"/>
              <w:spacing w:after="0" w:line="162" w:lineRule="exact"/>
              <w:rPr>
                <w:sz w:val="20"/>
                <w:szCs w:val="20"/>
                <w:color w:val="auto"/>
              </w:rPr>
            </w:pPr>
            <w:r>
              <w:rPr>
                <w:rFonts w:ascii="Arial" w:cs="Arial" w:eastAsia="Arial" w:hAnsi="Arial"/>
                <w:sz w:val="18"/>
                <w:szCs w:val="18"/>
                <w:color w:val="auto"/>
                <w:w w:val="79"/>
              </w:rPr>
              <w:t>7.</w:t>
            </w:r>
          </w:p>
        </w:tc>
        <w:tc>
          <w:tcPr>
            <w:tcW w:w="6780" w:type="dxa"/>
            <w:vAlign w:val="bottom"/>
          </w:tcPr>
          <w:p>
            <w:pPr>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REPORTING</w:t>
            </w:r>
          </w:p>
        </w:tc>
        <w:tc>
          <w:tcPr>
            <w:tcW w:w="1600" w:type="dxa"/>
            <w:vAlign w:val="bottom"/>
            <w:tcBorders>
              <w:right w:val="single" w:sz="8" w:color="auto"/>
            </w:tcBorders>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PERSON WITH:</w:t>
            </w:r>
          </w:p>
        </w:tc>
        <w:tc>
          <w:tcPr>
            <w:tcW w:w="1600" w:type="dxa"/>
            <w:vAlign w:val="bottom"/>
            <w:tcBorders>
              <w:bottom w:val="single" w:sz="8" w:color="auto"/>
              <w:right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restart"/>
          </w:tcPr>
          <w:p>
            <w:pPr>
              <w:jc w:val="right"/>
              <w:ind w:right="1370"/>
              <w:spacing w:after="0" w:line="201" w:lineRule="exact"/>
              <w:rPr>
                <w:sz w:val="20"/>
                <w:szCs w:val="20"/>
                <w:color w:val="auto"/>
              </w:rPr>
            </w:pPr>
            <w:r>
              <w:rPr>
                <w:rFonts w:ascii="Arial" w:cs="Arial" w:eastAsia="Arial" w:hAnsi="Arial"/>
                <w:sz w:val="18"/>
                <w:szCs w:val="18"/>
                <w:color w:val="auto"/>
                <w:w w:val="79"/>
              </w:rPr>
              <w:t>8.</w:t>
            </w:r>
          </w:p>
        </w:tc>
        <w:tc>
          <w:tcPr>
            <w:tcW w:w="6780" w:type="dxa"/>
            <w:vAlign w:val="bottom"/>
            <w:vMerge w:val="restart"/>
          </w:tcPr>
          <w:p>
            <w:pPr>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
        </w:trPr>
        <w:tc>
          <w:tcPr>
            <w:tcW w:w="286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6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ind w:left="1280" w:right="5180" w:hanging="1245"/>
        <w:spacing w:after="0" w:line="250"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ind w:left="19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5"/>
              </w:rPr>
              <w:t>10.</w:t>
            </w:r>
          </w:p>
        </w:tc>
        <w:tc>
          <w:tcPr>
            <w:tcW w:w="71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BOX IF THE AGGREGATE AMOUNT IN ROW (9)</w:t>
            </w:r>
          </w:p>
        </w:tc>
        <w:tc>
          <w:tcPr>
            <w:tcW w:w="3320" w:type="dxa"/>
            <w:vAlign w:val="bottom"/>
            <w:tcBorders>
              <w:top w:val="single" w:sz="8" w:color="auto"/>
            </w:tcBorders>
          </w:tcPr>
          <w:p>
            <w:pPr>
              <w:ind w:left="170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76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EXCLUDES CERTAIN SHARES</w:t>
            </w:r>
          </w:p>
        </w:tc>
        <w:tc>
          <w:tcPr>
            <w:tcW w:w="3320" w:type="dxa"/>
            <w:vAlign w:val="bottom"/>
            <w:tcBorders>
              <w:bottom w:val="single" w:sz="8" w:color="auto"/>
            </w:tcBorders>
          </w:tcPr>
          <w:p>
            <w:pPr>
              <w:spacing w:after="0"/>
              <w:rPr>
                <w:sz w:val="20"/>
                <w:szCs w:val="20"/>
                <w:color w:val="auto"/>
              </w:rPr>
            </w:pPr>
          </w:p>
        </w:tc>
      </w:tr>
      <w:tr>
        <w:trPr>
          <w:trHeight w:val="202"/>
        </w:trPr>
        <w:tc>
          <w:tcPr>
            <w:tcW w:w="760" w:type="dxa"/>
            <w:vAlign w:val="bottom"/>
          </w:tcPr>
          <w:p>
            <w:pPr>
              <w:jc w:val="right"/>
              <w:ind w:right="410"/>
              <w:spacing w:after="0" w:line="201" w:lineRule="exact"/>
              <w:rPr>
                <w:sz w:val="20"/>
                <w:szCs w:val="20"/>
                <w:color w:val="auto"/>
              </w:rPr>
            </w:pPr>
            <w:r>
              <w:rPr>
                <w:rFonts w:ascii="Arial" w:cs="Arial" w:eastAsia="Arial" w:hAnsi="Arial"/>
                <w:sz w:val="18"/>
                <w:szCs w:val="18"/>
                <w:color w:val="auto"/>
                <w:w w:val="95"/>
              </w:rPr>
              <w:t>11.</w:t>
            </w:r>
          </w:p>
        </w:tc>
        <w:tc>
          <w:tcPr>
            <w:tcW w:w="7160" w:type="dxa"/>
            <w:vAlign w:val="bottom"/>
          </w:tcPr>
          <w:p>
            <w:pPr>
              <w:ind w:left="520"/>
              <w:spacing w:after="0" w:line="201" w:lineRule="exact"/>
              <w:rPr>
                <w:sz w:val="20"/>
                <w:szCs w:val="20"/>
                <w:color w:val="auto"/>
              </w:rPr>
            </w:pPr>
            <w:r>
              <w:rPr>
                <w:rFonts w:ascii="Arial" w:cs="Arial" w:eastAsia="Arial" w:hAnsi="Arial"/>
                <w:sz w:val="18"/>
                <w:szCs w:val="18"/>
                <w:color w:val="auto"/>
              </w:rPr>
              <w:t>PERCENT OF CLASS REPRESENTED BY AMOUNT IN ROW 9</w:t>
            </w:r>
          </w:p>
        </w:tc>
        <w:tc>
          <w:tcPr>
            <w:tcW w:w="3320" w:type="dxa"/>
            <w:vAlign w:val="bottom"/>
          </w:tcPr>
          <w:p>
            <w:pPr>
              <w:spacing w:after="0"/>
              <w:rPr>
                <w:sz w:val="17"/>
                <w:szCs w:val="17"/>
                <w:color w:val="auto"/>
              </w:rPr>
            </w:pPr>
          </w:p>
        </w:tc>
      </w:tr>
      <w:tr>
        <w:trPr>
          <w:trHeight w:val="237"/>
        </w:trPr>
        <w:tc>
          <w:tcPr>
            <w:tcW w:w="76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0%</w:t>
            </w:r>
          </w:p>
        </w:tc>
        <w:tc>
          <w:tcPr>
            <w:tcW w:w="3320" w:type="dxa"/>
            <w:vAlign w:val="bottom"/>
            <w:tcBorders>
              <w:bottom w:val="single" w:sz="8" w:color="auto"/>
            </w:tcBorders>
          </w:tcPr>
          <w:p>
            <w:pPr>
              <w:spacing w:after="0"/>
              <w:rPr>
                <w:sz w:val="20"/>
                <w:szCs w:val="20"/>
                <w:color w:val="auto"/>
              </w:rPr>
            </w:pPr>
          </w:p>
        </w:tc>
      </w:tr>
      <w:tr>
        <w:trPr>
          <w:trHeight w:val="202"/>
        </w:trPr>
        <w:tc>
          <w:tcPr>
            <w:tcW w:w="760" w:type="dxa"/>
            <w:vAlign w:val="bottom"/>
          </w:tcPr>
          <w:p>
            <w:pPr>
              <w:jc w:val="right"/>
              <w:ind w:right="410"/>
              <w:spacing w:after="0" w:line="201" w:lineRule="exact"/>
              <w:rPr>
                <w:sz w:val="20"/>
                <w:szCs w:val="20"/>
                <w:color w:val="auto"/>
              </w:rPr>
            </w:pPr>
            <w:r>
              <w:rPr>
                <w:rFonts w:ascii="Arial" w:cs="Arial" w:eastAsia="Arial" w:hAnsi="Arial"/>
                <w:sz w:val="18"/>
                <w:szCs w:val="18"/>
                <w:color w:val="auto"/>
                <w:w w:val="95"/>
              </w:rPr>
              <w:t>12.</w:t>
            </w:r>
          </w:p>
        </w:tc>
        <w:tc>
          <w:tcPr>
            <w:tcW w:w="7160" w:type="dxa"/>
            <w:vAlign w:val="bottom"/>
          </w:tcPr>
          <w:p>
            <w:pPr>
              <w:ind w:left="520"/>
              <w:spacing w:after="0" w:line="201" w:lineRule="exact"/>
              <w:rPr>
                <w:sz w:val="20"/>
                <w:szCs w:val="20"/>
                <w:color w:val="auto"/>
              </w:rPr>
            </w:pPr>
            <w:r>
              <w:rPr>
                <w:rFonts w:ascii="Arial" w:cs="Arial" w:eastAsia="Arial" w:hAnsi="Arial"/>
                <w:sz w:val="18"/>
                <w:szCs w:val="18"/>
                <w:color w:val="auto"/>
              </w:rPr>
              <w:t>TYPE OF REPORTING PERSON</w:t>
            </w:r>
          </w:p>
        </w:tc>
        <w:tc>
          <w:tcPr>
            <w:tcW w:w="3320" w:type="dxa"/>
            <w:vAlign w:val="bottom"/>
          </w:tcPr>
          <w:p>
            <w:pPr>
              <w:spacing w:after="0"/>
              <w:rPr>
                <w:sz w:val="17"/>
                <w:szCs w:val="17"/>
                <w:color w:val="auto"/>
              </w:rPr>
            </w:pPr>
          </w:p>
        </w:tc>
      </w:tr>
      <w:tr>
        <w:trPr>
          <w:trHeight w:val="230"/>
        </w:trPr>
        <w:tc>
          <w:tcPr>
            <w:tcW w:w="760" w:type="dxa"/>
            <w:vAlign w:val="bottom"/>
          </w:tcPr>
          <w:p>
            <w:pPr>
              <w:spacing w:after="0"/>
              <w:rPr>
                <w:sz w:val="20"/>
                <w:szCs w:val="20"/>
                <w:color w:val="auto"/>
              </w:rPr>
            </w:pPr>
          </w:p>
        </w:tc>
        <w:tc>
          <w:tcPr>
            <w:tcW w:w="7160" w:type="dxa"/>
            <w:vAlign w:val="bottom"/>
          </w:tcPr>
          <w:p>
            <w:pPr>
              <w:ind w:left="1140"/>
              <w:spacing w:after="0"/>
              <w:rPr>
                <w:sz w:val="20"/>
                <w:szCs w:val="20"/>
                <w:color w:val="auto"/>
              </w:rPr>
            </w:pPr>
            <w:r>
              <w:rPr>
                <w:rFonts w:ascii="Arial" w:cs="Arial" w:eastAsia="Arial" w:hAnsi="Arial"/>
                <w:sz w:val="18"/>
                <w:szCs w:val="18"/>
                <w:color w:val="auto"/>
              </w:rPr>
              <w:t>IA</w:t>
            </w:r>
          </w:p>
        </w:tc>
        <w:tc>
          <w:tcPr>
            <w:tcW w:w="33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74733V100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94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943350"/>
                    </a:xfrm>
                    <a:prstGeom prst="rect">
                      <a:avLst/>
                    </a:prstGeom>
                    <a:noFill/>
                  </pic:spPr>
                </pic:pic>
              </a:graphicData>
            </a:graphic>
          </wp:anchor>
        </w:drawing>
      </w:r>
    </w:p>
    <w:p>
      <w:pPr>
        <w:spacing w:after="0" w:line="16" w:lineRule="exact"/>
        <w:rPr>
          <w:sz w:val="20"/>
          <w:szCs w:val="20"/>
          <w:color w:val="auto"/>
        </w:rPr>
      </w:pPr>
    </w:p>
    <w:p>
      <w:pPr>
        <w:ind w:left="1280" w:hanging="1245"/>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Sunil Jagwani</w:t>
      </w:r>
    </w:p>
    <w:p>
      <w:pPr>
        <w:spacing w:after="0" w:line="6" w:lineRule="exact"/>
        <w:rPr>
          <w:sz w:val="20"/>
          <w:szCs w:val="20"/>
          <w:color w:val="auto"/>
        </w:rPr>
      </w:pPr>
    </w:p>
    <w:p>
      <w:pPr>
        <w:ind w:left="1280" w:hanging="1245"/>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93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9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1280" w:hanging="1245"/>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920" w:right="6300" w:hanging="1885"/>
        <w:spacing w:after="0" w:line="270" w:lineRule="auto"/>
        <w:tabs>
          <w:tab w:leader="none" w:pos="1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India</w:t>
      </w:r>
    </w:p>
    <w:tbl>
      <w:tblPr>
        <w:tblLayout w:type="fixed"/>
        <w:tblInd w:w="0" w:type="dxa"/>
        <w:tblCellMar>
          <w:top w:w="0" w:type="dxa"/>
          <w:left w:w="0" w:type="dxa"/>
          <w:bottom w:w="0" w:type="dxa"/>
          <w:right w:w="0" w:type="dxa"/>
        </w:tblCellMar>
      </w:tblPr>
      <w:tr>
        <w:trPr>
          <w:trHeight w:val="189"/>
        </w:trPr>
        <w:tc>
          <w:tcPr>
            <w:tcW w:w="284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jc w:val="right"/>
              <w:ind w:right="1350"/>
              <w:spacing w:after="0" w:line="189" w:lineRule="exact"/>
              <w:rPr>
                <w:sz w:val="20"/>
                <w:szCs w:val="20"/>
                <w:color w:val="auto"/>
              </w:rPr>
            </w:pPr>
            <w:r>
              <w:rPr>
                <w:rFonts w:ascii="Arial" w:cs="Arial" w:eastAsia="Arial" w:hAnsi="Arial"/>
                <w:sz w:val="18"/>
                <w:szCs w:val="18"/>
                <w:color w:val="auto"/>
                <w:w w:val="79"/>
              </w:rPr>
              <w:t>5.</w:t>
            </w:r>
          </w:p>
        </w:tc>
        <w:tc>
          <w:tcPr>
            <w:tcW w:w="6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5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284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SHARES</w:t>
            </w:r>
          </w:p>
        </w:tc>
        <w:tc>
          <w:tcPr>
            <w:tcW w:w="1580" w:type="dxa"/>
            <w:vAlign w:val="bottom"/>
            <w:tcBorders>
              <w:right w:val="single" w:sz="8" w:color="auto"/>
            </w:tcBorders>
          </w:tcPr>
          <w:p>
            <w:pPr>
              <w:jc w:val="right"/>
              <w:ind w:right="1350"/>
              <w:spacing w:after="0" w:line="175" w:lineRule="exact"/>
              <w:rPr>
                <w:sz w:val="20"/>
                <w:szCs w:val="20"/>
                <w:color w:val="auto"/>
              </w:rPr>
            </w:pPr>
            <w:r>
              <w:rPr>
                <w:rFonts w:ascii="Arial" w:cs="Arial" w:eastAsia="Arial" w:hAnsi="Arial"/>
                <w:sz w:val="18"/>
                <w:szCs w:val="18"/>
                <w:color w:val="auto"/>
                <w:w w:val="79"/>
              </w:rPr>
              <w:t>6.</w:t>
            </w:r>
          </w:p>
        </w:tc>
        <w:tc>
          <w:tcPr>
            <w:tcW w:w="6820" w:type="dxa"/>
            <w:vAlign w:val="bottom"/>
          </w:tcPr>
          <w:p>
            <w:pPr>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BENEFICIALLY</w:t>
            </w:r>
          </w:p>
        </w:tc>
        <w:tc>
          <w:tcPr>
            <w:tcW w:w="1580" w:type="dxa"/>
            <w:vAlign w:val="bottom"/>
            <w:tcBorders>
              <w:right w:val="single" w:sz="8" w:color="auto"/>
            </w:tcBorders>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OWNED BY EACH</w:t>
            </w:r>
          </w:p>
        </w:tc>
        <w:tc>
          <w:tcPr>
            <w:tcW w:w="1580" w:type="dxa"/>
            <w:vAlign w:val="bottom"/>
            <w:tcBorders>
              <w:bottom w:val="single" w:sz="8" w:color="auto"/>
              <w:right w:val="single" w:sz="8" w:color="auto"/>
            </w:tcBorders>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4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tcPr>
          <w:p>
            <w:pPr>
              <w:jc w:val="right"/>
              <w:ind w:right="1350"/>
              <w:spacing w:after="0" w:line="162" w:lineRule="exact"/>
              <w:rPr>
                <w:sz w:val="20"/>
                <w:szCs w:val="20"/>
                <w:color w:val="auto"/>
              </w:rPr>
            </w:pPr>
            <w:r>
              <w:rPr>
                <w:rFonts w:ascii="Arial" w:cs="Arial" w:eastAsia="Arial" w:hAnsi="Arial"/>
                <w:sz w:val="18"/>
                <w:szCs w:val="18"/>
                <w:color w:val="auto"/>
                <w:w w:val="79"/>
              </w:rPr>
              <w:t>7.</w:t>
            </w:r>
          </w:p>
        </w:tc>
        <w:tc>
          <w:tcPr>
            <w:tcW w:w="6820" w:type="dxa"/>
            <w:vAlign w:val="bottom"/>
          </w:tcPr>
          <w:p>
            <w:pPr>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REPORTING</w:t>
            </w:r>
          </w:p>
        </w:tc>
        <w:tc>
          <w:tcPr>
            <w:tcW w:w="1580" w:type="dxa"/>
            <w:vAlign w:val="bottom"/>
            <w:tcBorders>
              <w:right w:val="single" w:sz="8" w:color="auto"/>
            </w:tcBorders>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2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PERSON WITH:</w:t>
            </w:r>
          </w:p>
        </w:tc>
        <w:tc>
          <w:tcPr>
            <w:tcW w:w="158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restart"/>
          </w:tcPr>
          <w:p>
            <w:pPr>
              <w:jc w:val="right"/>
              <w:ind w:right="1350"/>
              <w:spacing w:after="0" w:line="201" w:lineRule="exact"/>
              <w:rPr>
                <w:sz w:val="20"/>
                <w:szCs w:val="20"/>
                <w:color w:val="auto"/>
              </w:rPr>
            </w:pPr>
            <w:r>
              <w:rPr>
                <w:rFonts w:ascii="Arial" w:cs="Arial" w:eastAsia="Arial" w:hAnsi="Arial"/>
                <w:sz w:val="18"/>
                <w:szCs w:val="18"/>
                <w:color w:val="auto"/>
                <w:w w:val="79"/>
              </w:rPr>
              <w:t>8.</w:t>
            </w:r>
          </w:p>
        </w:tc>
        <w:tc>
          <w:tcPr>
            <w:tcW w:w="6820" w:type="dxa"/>
            <w:vAlign w:val="bottom"/>
            <w:vMerge w:val="restart"/>
          </w:tcPr>
          <w:p>
            <w:pPr>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
        </w:trPr>
        <w:tc>
          <w:tcPr>
            <w:tcW w:w="28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vMerge w:val="continue"/>
          </w:tcPr>
          <w:p>
            <w:pPr>
              <w:spacing w:after="0"/>
              <w:rPr>
                <w:sz w:val="4"/>
                <w:szCs w:val="4"/>
                <w:color w:val="auto"/>
              </w:rPr>
            </w:pPr>
          </w:p>
        </w:tc>
        <w:tc>
          <w:tcPr>
            <w:tcW w:w="6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ind w:left="1280" w:right="5180" w:hanging="1245"/>
        <w:spacing w:after="0" w:line="250"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ind w:left="19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5"/>
              </w:rPr>
              <w:t>10.</w:t>
            </w:r>
          </w:p>
        </w:tc>
        <w:tc>
          <w:tcPr>
            <w:tcW w:w="72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BOX IF THE AGGREGATE AMOUNT IN ROW (9)</w:t>
            </w:r>
          </w:p>
        </w:tc>
        <w:tc>
          <w:tcPr>
            <w:tcW w:w="3240" w:type="dxa"/>
            <w:vAlign w:val="bottom"/>
            <w:tcBorders>
              <w:top w:val="single" w:sz="8" w:color="auto"/>
            </w:tcBorders>
          </w:tcPr>
          <w:p>
            <w:pPr>
              <w:ind w:left="176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76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EXCLUDES CERTAIN SHARES</w:t>
            </w:r>
          </w:p>
        </w:tc>
        <w:tc>
          <w:tcPr>
            <w:tcW w:w="3240" w:type="dxa"/>
            <w:vAlign w:val="bottom"/>
            <w:tcBorders>
              <w:bottom w:val="single" w:sz="8" w:color="auto"/>
            </w:tcBorders>
          </w:tcPr>
          <w:p>
            <w:pPr>
              <w:spacing w:after="0"/>
              <w:rPr>
                <w:sz w:val="20"/>
                <w:szCs w:val="20"/>
                <w:color w:val="auto"/>
              </w:rPr>
            </w:pPr>
          </w:p>
        </w:tc>
      </w:tr>
      <w:tr>
        <w:trPr>
          <w:trHeight w:val="202"/>
        </w:trPr>
        <w:tc>
          <w:tcPr>
            <w:tcW w:w="760" w:type="dxa"/>
            <w:vAlign w:val="bottom"/>
          </w:tcPr>
          <w:p>
            <w:pPr>
              <w:jc w:val="right"/>
              <w:ind w:right="410"/>
              <w:spacing w:after="0" w:line="201" w:lineRule="exact"/>
              <w:rPr>
                <w:sz w:val="20"/>
                <w:szCs w:val="20"/>
                <w:color w:val="auto"/>
              </w:rPr>
            </w:pPr>
            <w:r>
              <w:rPr>
                <w:rFonts w:ascii="Arial" w:cs="Arial" w:eastAsia="Arial" w:hAnsi="Arial"/>
                <w:sz w:val="18"/>
                <w:szCs w:val="18"/>
                <w:color w:val="auto"/>
                <w:w w:val="95"/>
              </w:rPr>
              <w:t>11.</w:t>
            </w:r>
          </w:p>
        </w:tc>
        <w:tc>
          <w:tcPr>
            <w:tcW w:w="7240" w:type="dxa"/>
            <w:vAlign w:val="bottom"/>
          </w:tcPr>
          <w:p>
            <w:pPr>
              <w:ind w:left="520"/>
              <w:spacing w:after="0" w:line="201" w:lineRule="exact"/>
              <w:rPr>
                <w:sz w:val="20"/>
                <w:szCs w:val="20"/>
                <w:color w:val="auto"/>
              </w:rPr>
            </w:pPr>
            <w:r>
              <w:rPr>
                <w:rFonts w:ascii="Arial" w:cs="Arial" w:eastAsia="Arial" w:hAnsi="Arial"/>
                <w:sz w:val="18"/>
                <w:szCs w:val="18"/>
                <w:color w:val="auto"/>
              </w:rPr>
              <w:t>PERCENT OF CLASS REPRESENTED BY AMOUNT IN ROW 9</w:t>
            </w:r>
          </w:p>
        </w:tc>
        <w:tc>
          <w:tcPr>
            <w:tcW w:w="3240" w:type="dxa"/>
            <w:vAlign w:val="bottom"/>
          </w:tcPr>
          <w:p>
            <w:pPr>
              <w:spacing w:after="0"/>
              <w:rPr>
                <w:sz w:val="17"/>
                <w:szCs w:val="17"/>
                <w:color w:val="auto"/>
              </w:rPr>
            </w:pPr>
          </w:p>
        </w:tc>
      </w:tr>
      <w:tr>
        <w:trPr>
          <w:trHeight w:val="237"/>
        </w:trPr>
        <w:tc>
          <w:tcPr>
            <w:tcW w:w="76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0%</w:t>
            </w:r>
          </w:p>
        </w:tc>
        <w:tc>
          <w:tcPr>
            <w:tcW w:w="3240" w:type="dxa"/>
            <w:vAlign w:val="bottom"/>
            <w:tcBorders>
              <w:bottom w:val="single" w:sz="8" w:color="auto"/>
            </w:tcBorders>
          </w:tcPr>
          <w:p>
            <w:pPr>
              <w:spacing w:after="0"/>
              <w:rPr>
                <w:sz w:val="20"/>
                <w:szCs w:val="20"/>
                <w:color w:val="auto"/>
              </w:rPr>
            </w:pPr>
          </w:p>
        </w:tc>
      </w:tr>
      <w:tr>
        <w:trPr>
          <w:trHeight w:val="202"/>
        </w:trPr>
        <w:tc>
          <w:tcPr>
            <w:tcW w:w="760" w:type="dxa"/>
            <w:vAlign w:val="bottom"/>
          </w:tcPr>
          <w:p>
            <w:pPr>
              <w:jc w:val="right"/>
              <w:ind w:right="410"/>
              <w:spacing w:after="0" w:line="201" w:lineRule="exact"/>
              <w:rPr>
                <w:sz w:val="20"/>
                <w:szCs w:val="20"/>
                <w:color w:val="auto"/>
              </w:rPr>
            </w:pPr>
            <w:r>
              <w:rPr>
                <w:rFonts w:ascii="Arial" w:cs="Arial" w:eastAsia="Arial" w:hAnsi="Arial"/>
                <w:sz w:val="18"/>
                <w:szCs w:val="18"/>
                <w:color w:val="auto"/>
                <w:w w:val="95"/>
              </w:rPr>
              <w:t>12.</w:t>
            </w:r>
          </w:p>
        </w:tc>
        <w:tc>
          <w:tcPr>
            <w:tcW w:w="7240" w:type="dxa"/>
            <w:vAlign w:val="bottom"/>
          </w:tcPr>
          <w:p>
            <w:pPr>
              <w:ind w:left="520"/>
              <w:spacing w:after="0" w:line="201" w:lineRule="exact"/>
              <w:rPr>
                <w:sz w:val="20"/>
                <w:szCs w:val="20"/>
                <w:color w:val="auto"/>
              </w:rPr>
            </w:pPr>
            <w:r>
              <w:rPr>
                <w:rFonts w:ascii="Arial" w:cs="Arial" w:eastAsia="Arial" w:hAnsi="Arial"/>
                <w:sz w:val="18"/>
                <w:szCs w:val="18"/>
                <w:color w:val="auto"/>
              </w:rPr>
              <w:t>TYPE OF REPORTING PERSON</w:t>
            </w:r>
          </w:p>
        </w:tc>
        <w:tc>
          <w:tcPr>
            <w:tcW w:w="3240" w:type="dxa"/>
            <w:vAlign w:val="bottom"/>
          </w:tcPr>
          <w:p>
            <w:pPr>
              <w:spacing w:after="0"/>
              <w:rPr>
                <w:sz w:val="17"/>
                <w:szCs w:val="17"/>
                <w:color w:val="auto"/>
              </w:rPr>
            </w:pPr>
          </w:p>
        </w:tc>
      </w:tr>
      <w:tr>
        <w:trPr>
          <w:trHeight w:val="230"/>
        </w:trPr>
        <w:tc>
          <w:tcPr>
            <w:tcW w:w="760" w:type="dxa"/>
            <w:vAlign w:val="bottom"/>
          </w:tcPr>
          <w:p>
            <w:pPr>
              <w:spacing w:after="0"/>
              <w:rPr>
                <w:sz w:val="20"/>
                <w:szCs w:val="20"/>
                <w:color w:val="auto"/>
              </w:rPr>
            </w:pPr>
          </w:p>
        </w:tc>
        <w:tc>
          <w:tcPr>
            <w:tcW w:w="7240" w:type="dxa"/>
            <w:vAlign w:val="bottom"/>
          </w:tcPr>
          <w:p>
            <w:pPr>
              <w:ind w:left="1140"/>
              <w:spacing w:after="0"/>
              <w:rPr>
                <w:sz w:val="20"/>
                <w:szCs w:val="20"/>
                <w:color w:val="auto"/>
              </w:rPr>
            </w:pPr>
            <w:r>
              <w:rPr>
                <w:rFonts w:ascii="Arial" w:cs="Arial" w:eastAsia="Arial" w:hAnsi="Arial"/>
                <w:sz w:val="18"/>
                <w:szCs w:val="18"/>
                <w:color w:val="auto"/>
              </w:rPr>
              <w:t>IN, HC</w:t>
            </w:r>
          </w:p>
        </w:tc>
        <w:tc>
          <w:tcPr>
            <w:tcW w:w="324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74733V100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94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943350"/>
                    </a:xfrm>
                    <a:prstGeom prst="rect">
                      <a:avLst/>
                    </a:prstGeom>
                    <a:noFill/>
                  </pic:spPr>
                </pic:pic>
              </a:graphicData>
            </a:graphic>
          </wp:anchor>
        </w:drawing>
      </w:r>
    </w:p>
    <w:p>
      <w:pPr>
        <w:spacing w:after="0" w:line="16" w:lineRule="exact"/>
        <w:rPr>
          <w:sz w:val="20"/>
          <w:szCs w:val="20"/>
          <w:color w:val="auto"/>
        </w:rPr>
      </w:pPr>
    </w:p>
    <w:p>
      <w:pPr>
        <w:ind w:left="1280" w:hanging="1245"/>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Millinvest, Ltd.</w:t>
      </w:r>
    </w:p>
    <w:p>
      <w:pPr>
        <w:spacing w:after="0" w:line="6" w:lineRule="exact"/>
        <w:rPr>
          <w:sz w:val="20"/>
          <w:szCs w:val="20"/>
          <w:color w:val="auto"/>
        </w:rPr>
      </w:pPr>
    </w:p>
    <w:p>
      <w:pPr>
        <w:ind w:left="1280" w:hanging="1245"/>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93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93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1280" w:hanging="1245"/>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920" w:right="6300" w:hanging="1885"/>
        <w:spacing w:after="0" w:line="270" w:lineRule="auto"/>
        <w:tabs>
          <w:tab w:leader="none" w:pos="1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Bahamas</w:t>
      </w:r>
    </w:p>
    <w:tbl>
      <w:tblPr>
        <w:tblLayout w:type="fixed"/>
        <w:tblInd w:w="0" w:type="dxa"/>
        <w:tblCellMar>
          <w:top w:w="0" w:type="dxa"/>
          <w:left w:w="0" w:type="dxa"/>
          <w:bottom w:w="0" w:type="dxa"/>
          <w:right w:w="0" w:type="dxa"/>
        </w:tblCellMar>
      </w:tblPr>
      <w:tr>
        <w:trPr>
          <w:trHeight w:val="189"/>
        </w:trPr>
        <w:tc>
          <w:tcPr>
            <w:tcW w:w="2840" w:type="dxa"/>
            <w:vAlign w:val="bottom"/>
            <w:tcBorders>
              <w:top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jc w:val="right"/>
              <w:ind w:right="1330"/>
              <w:spacing w:after="0" w:line="189" w:lineRule="exact"/>
              <w:rPr>
                <w:sz w:val="20"/>
                <w:szCs w:val="20"/>
                <w:color w:val="auto"/>
              </w:rPr>
            </w:pPr>
            <w:r>
              <w:rPr>
                <w:rFonts w:ascii="Arial" w:cs="Arial" w:eastAsia="Arial" w:hAnsi="Arial"/>
                <w:sz w:val="18"/>
                <w:szCs w:val="18"/>
                <w:color w:val="auto"/>
                <w:w w:val="79"/>
              </w:rPr>
              <w:t>5.</w:t>
            </w:r>
          </w:p>
        </w:tc>
        <w:tc>
          <w:tcPr>
            <w:tcW w:w="6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1560" w:type="dxa"/>
            <w:vAlign w:val="bottom"/>
            <w:tcBorders>
              <w:bottom w:val="single" w:sz="8" w:color="auto"/>
              <w:right w:val="single" w:sz="8" w:color="auto"/>
            </w:tcBorders>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284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SHARES</w:t>
            </w:r>
          </w:p>
        </w:tc>
        <w:tc>
          <w:tcPr>
            <w:tcW w:w="1560" w:type="dxa"/>
            <w:vAlign w:val="bottom"/>
            <w:tcBorders>
              <w:right w:val="single" w:sz="8" w:color="auto"/>
            </w:tcBorders>
          </w:tcPr>
          <w:p>
            <w:pPr>
              <w:jc w:val="right"/>
              <w:ind w:right="1330"/>
              <w:spacing w:after="0" w:line="175" w:lineRule="exact"/>
              <w:rPr>
                <w:sz w:val="20"/>
                <w:szCs w:val="20"/>
                <w:color w:val="auto"/>
              </w:rPr>
            </w:pPr>
            <w:r>
              <w:rPr>
                <w:rFonts w:ascii="Arial" w:cs="Arial" w:eastAsia="Arial" w:hAnsi="Arial"/>
                <w:sz w:val="18"/>
                <w:szCs w:val="18"/>
                <w:color w:val="auto"/>
                <w:w w:val="79"/>
              </w:rPr>
              <w:t>6.</w:t>
            </w:r>
          </w:p>
        </w:tc>
        <w:tc>
          <w:tcPr>
            <w:tcW w:w="6840" w:type="dxa"/>
            <w:vAlign w:val="bottom"/>
          </w:tcPr>
          <w:p>
            <w:pPr>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BENEFICIALLY</w:t>
            </w:r>
          </w:p>
        </w:tc>
        <w:tc>
          <w:tcPr>
            <w:tcW w:w="1560" w:type="dxa"/>
            <w:vAlign w:val="bottom"/>
            <w:tcBorders>
              <w:right w:val="single" w:sz="8" w:color="auto"/>
            </w:tcBorders>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OWNED BY EACH</w:t>
            </w:r>
          </w:p>
        </w:tc>
        <w:tc>
          <w:tcPr>
            <w:tcW w:w="156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4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tcPr>
          <w:p>
            <w:pPr>
              <w:jc w:val="right"/>
              <w:ind w:right="1330"/>
              <w:spacing w:after="0" w:line="162" w:lineRule="exact"/>
              <w:rPr>
                <w:sz w:val="20"/>
                <w:szCs w:val="20"/>
                <w:color w:val="auto"/>
              </w:rPr>
            </w:pPr>
            <w:r>
              <w:rPr>
                <w:rFonts w:ascii="Arial" w:cs="Arial" w:eastAsia="Arial" w:hAnsi="Arial"/>
                <w:sz w:val="18"/>
                <w:szCs w:val="18"/>
                <w:color w:val="auto"/>
                <w:w w:val="79"/>
              </w:rPr>
              <w:t>7.</w:t>
            </w:r>
          </w:p>
        </w:tc>
        <w:tc>
          <w:tcPr>
            <w:tcW w:w="6840" w:type="dxa"/>
            <w:vAlign w:val="bottom"/>
          </w:tcPr>
          <w:p>
            <w:pPr>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REPORTING</w:t>
            </w:r>
          </w:p>
        </w:tc>
        <w:tc>
          <w:tcPr>
            <w:tcW w:w="1560" w:type="dxa"/>
            <w:vAlign w:val="bottom"/>
            <w:tcBorders>
              <w:right w:val="single" w:sz="8" w:color="auto"/>
            </w:tcBorders>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2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PERSON WITH:</w:t>
            </w:r>
          </w:p>
        </w:tc>
        <w:tc>
          <w:tcPr>
            <w:tcW w:w="1560" w:type="dxa"/>
            <w:vAlign w:val="bottom"/>
            <w:tcBorders>
              <w:bottom w:val="single" w:sz="8" w:color="auto"/>
              <w:right w:val="single" w:sz="8" w:color="auto"/>
            </w:tcBorders>
          </w:tcPr>
          <w:p>
            <w:pPr>
              <w:spacing w:after="0"/>
              <w:rPr>
                <w:sz w:val="5"/>
                <w:szCs w:val="5"/>
                <w:color w:val="auto"/>
              </w:rPr>
            </w:pPr>
          </w:p>
        </w:tc>
        <w:tc>
          <w:tcPr>
            <w:tcW w:w="6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restart"/>
          </w:tcPr>
          <w:p>
            <w:pPr>
              <w:jc w:val="right"/>
              <w:ind w:right="1330"/>
              <w:spacing w:after="0" w:line="201" w:lineRule="exact"/>
              <w:rPr>
                <w:sz w:val="20"/>
                <w:szCs w:val="20"/>
                <w:color w:val="auto"/>
              </w:rPr>
            </w:pPr>
            <w:r>
              <w:rPr>
                <w:rFonts w:ascii="Arial" w:cs="Arial" w:eastAsia="Arial" w:hAnsi="Arial"/>
                <w:sz w:val="18"/>
                <w:szCs w:val="18"/>
                <w:color w:val="auto"/>
                <w:w w:val="79"/>
              </w:rPr>
              <w:t>8.</w:t>
            </w:r>
          </w:p>
        </w:tc>
        <w:tc>
          <w:tcPr>
            <w:tcW w:w="6840" w:type="dxa"/>
            <w:vAlign w:val="bottom"/>
            <w:vMerge w:val="restart"/>
          </w:tcPr>
          <w:p>
            <w:pPr>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
        </w:trPr>
        <w:tc>
          <w:tcPr>
            <w:tcW w:w="284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6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ind w:left="1280" w:right="5180" w:hanging="1245"/>
        <w:spacing w:after="0" w:line="250"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ind w:left="19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5"/>
              </w:rPr>
              <w:t>10.</w:t>
            </w:r>
          </w:p>
        </w:tc>
        <w:tc>
          <w:tcPr>
            <w:tcW w:w="72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BOX IF THE AGGREGATE AMOUNT IN ROW (9)</w:t>
            </w:r>
          </w:p>
        </w:tc>
        <w:tc>
          <w:tcPr>
            <w:tcW w:w="3220" w:type="dxa"/>
            <w:vAlign w:val="bottom"/>
            <w:tcBorders>
              <w:top w:val="single" w:sz="8" w:color="auto"/>
            </w:tcBorders>
          </w:tcPr>
          <w:p>
            <w:pPr>
              <w:ind w:left="1800"/>
              <w:spacing w:after="0" w:line="181" w:lineRule="exact"/>
              <w:rPr>
                <w:sz w:val="20"/>
                <w:szCs w:val="20"/>
                <w:color w:val="auto"/>
              </w:rPr>
            </w:pPr>
            <w:r>
              <w:rPr>
                <w:rFonts w:ascii="MS PGothic" w:cs="MS PGothic" w:eastAsia="MS PGothic" w:hAnsi="MS PGothic"/>
                <w:sz w:val="18"/>
                <w:szCs w:val="18"/>
                <w:color w:val="auto"/>
              </w:rPr>
              <w:t>☐</w:t>
            </w:r>
          </w:p>
        </w:tc>
      </w:tr>
      <w:tr>
        <w:trPr>
          <w:trHeight w:val="237"/>
        </w:trPr>
        <w:tc>
          <w:tcPr>
            <w:tcW w:w="76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EXCLUDES CERTAIN SHARES</w:t>
            </w:r>
          </w:p>
        </w:tc>
        <w:tc>
          <w:tcPr>
            <w:tcW w:w="3220" w:type="dxa"/>
            <w:vAlign w:val="bottom"/>
            <w:tcBorders>
              <w:bottom w:val="single" w:sz="8" w:color="auto"/>
            </w:tcBorders>
          </w:tcPr>
          <w:p>
            <w:pPr>
              <w:spacing w:after="0"/>
              <w:rPr>
                <w:sz w:val="20"/>
                <w:szCs w:val="20"/>
                <w:color w:val="auto"/>
              </w:rPr>
            </w:pPr>
          </w:p>
        </w:tc>
      </w:tr>
      <w:tr>
        <w:trPr>
          <w:trHeight w:val="202"/>
        </w:trPr>
        <w:tc>
          <w:tcPr>
            <w:tcW w:w="760" w:type="dxa"/>
            <w:vAlign w:val="bottom"/>
          </w:tcPr>
          <w:p>
            <w:pPr>
              <w:jc w:val="right"/>
              <w:ind w:right="410"/>
              <w:spacing w:after="0" w:line="201" w:lineRule="exact"/>
              <w:rPr>
                <w:sz w:val="20"/>
                <w:szCs w:val="20"/>
                <w:color w:val="auto"/>
              </w:rPr>
            </w:pPr>
            <w:r>
              <w:rPr>
                <w:rFonts w:ascii="Arial" w:cs="Arial" w:eastAsia="Arial" w:hAnsi="Arial"/>
                <w:sz w:val="18"/>
                <w:szCs w:val="18"/>
                <w:color w:val="auto"/>
                <w:w w:val="95"/>
              </w:rPr>
              <w:t>11.</w:t>
            </w:r>
          </w:p>
        </w:tc>
        <w:tc>
          <w:tcPr>
            <w:tcW w:w="7260" w:type="dxa"/>
            <w:vAlign w:val="bottom"/>
          </w:tcPr>
          <w:p>
            <w:pPr>
              <w:ind w:left="520"/>
              <w:spacing w:after="0" w:line="201" w:lineRule="exact"/>
              <w:rPr>
                <w:sz w:val="20"/>
                <w:szCs w:val="20"/>
                <w:color w:val="auto"/>
              </w:rPr>
            </w:pPr>
            <w:r>
              <w:rPr>
                <w:rFonts w:ascii="Arial" w:cs="Arial" w:eastAsia="Arial" w:hAnsi="Arial"/>
                <w:sz w:val="18"/>
                <w:szCs w:val="18"/>
                <w:color w:val="auto"/>
              </w:rPr>
              <w:t>PERCENT OF CLASS REPRESENTED BY AMOUNT IN ROW 9</w:t>
            </w:r>
          </w:p>
        </w:tc>
        <w:tc>
          <w:tcPr>
            <w:tcW w:w="3220" w:type="dxa"/>
            <w:vAlign w:val="bottom"/>
          </w:tcPr>
          <w:p>
            <w:pPr>
              <w:spacing w:after="0"/>
              <w:rPr>
                <w:sz w:val="17"/>
                <w:szCs w:val="17"/>
                <w:color w:val="auto"/>
              </w:rPr>
            </w:pPr>
          </w:p>
        </w:tc>
      </w:tr>
      <w:tr>
        <w:trPr>
          <w:trHeight w:val="237"/>
        </w:trPr>
        <w:tc>
          <w:tcPr>
            <w:tcW w:w="76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0%</w:t>
            </w:r>
          </w:p>
        </w:tc>
        <w:tc>
          <w:tcPr>
            <w:tcW w:w="3220" w:type="dxa"/>
            <w:vAlign w:val="bottom"/>
            <w:tcBorders>
              <w:bottom w:val="single" w:sz="8" w:color="auto"/>
            </w:tcBorders>
          </w:tcPr>
          <w:p>
            <w:pPr>
              <w:spacing w:after="0"/>
              <w:rPr>
                <w:sz w:val="20"/>
                <w:szCs w:val="20"/>
                <w:color w:val="auto"/>
              </w:rPr>
            </w:pPr>
          </w:p>
        </w:tc>
      </w:tr>
      <w:tr>
        <w:trPr>
          <w:trHeight w:val="202"/>
        </w:trPr>
        <w:tc>
          <w:tcPr>
            <w:tcW w:w="760" w:type="dxa"/>
            <w:vAlign w:val="bottom"/>
          </w:tcPr>
          <w:p>
            <w:pPr>
              <w:jc w:val="right"/>
              <w:ind w:right="410"/>
              <w:spacing w:after="0" w:line="201" w:lineRule="exact"/>
              <w:rPr>
                <w:sz w:val="20"/>
                <w:szCs w:val="20"/>
                <w:color w:val="auto"/>
              </w:rPr>
            </w:pPr>
            <w:r>
              <w:rPr>
                <w:rFonts w:ascii="Arial" w:cs="Arial" w:eastAsia="Arial" w:hAnsi="Arial"/>
                <w:sz w:val="18"/>
                <w:szCs w:val="18"/>
                <w:color w:val="auto"/>
                <w:w w:val="95"/>
              </w:rPr>
              <w:t>12.</w:t>
            </w:r>
          </w:p>
        </w:tc>
        <w:tc>
          <w:tcPr>
            <w:tcW w:w="7260" w:type="dxa"/>
            <w:vAlign w:val="bottom"/>
          </w:tcPr>
          <w:p>
            <w:pPr>
              <w:ind w:left="520"/>
              <w:spacing w:after="0" w:line="201" w:lineRule="exact"/>
              <w:rPr>
                <w:sz w:val="20"/>
                <w:szCs w:val="20"/>
                <w:color w:val="auto"/>
              </w:rPr>
            </w:pPr>
            <w:r>
              <w:rPr>
                <w:rFonts w:ascii="Arial" w:cs="Arial" w:eastAsia="Arial" w:hAnsi="Arial"/>
                <w:sz w:val="18"/>
                <w:szCs w:val="18"/>
                <w:color w:val="auto"/>
              </w:rPr>
              <w:t>TYPE OF REPORTING PERSON</w:t>
            </w:r>
          </w:p>
        </w:tc>
        <w:tc>
          <w:tcPr>
            <w:tcW w:w="3220" w:type="dxa"/>
            <w:vAlign w:val="bottom"/>
          </w:tcPr>
          <w:p>
            <w:pPr>
              <w:spacing w:after="0"/>
              <w:rPr>
                <w:sz w:val="17"/>
                <w:szCs w:val="17"/>
                <w:color w:val="auto"/>
              </w:rPr>
            </w:pPr>
          </w:p>
        </w:tc>
      </w:tr>
      <w:tr>
        <w:trPr>
          <w:trHeight w:val="230"/>
        </w:trPr>
        <w:tc>
          <w:tcPr>
            <w:tcW w:w="760" w:type="dxa"/>
            <w:vAlign w:val="bottom"/>
          </w:tcPr>
          <w:p>
            <w:pPr>
              <w:spacing w:after="0"/>
              <w:rPr>
                <w:sz w:val="20"/>
                <w:szCs w:val="20"/>
                <w:color w:val="auto"/>
              </w:rPr>
            </w:pPr>
          </w:p>
        </w:tc>
        <w:tc>
          <w:tcPr>
            <w:tcW w:w="7260" w:type="dxa"/>
            <w:vAlign w:val="bottom"/>
          </w:tcPr>
          <w:p>
            <w:pPr>
              <w:ind w:left="1140"/>
              <w:spacing w:after="0"/>
              <w:rPr>
                <w:sz w:val="20"/>
                <w:szCs w:val="20"/>
                <w:color w:val="auto"/>
              </w:rPr>
            </w:pPr>
            <w:r>
              <w:rPr>
                <w:rFonts w:ascii="Arial" w:cs="Arial" w:eastAsia="Arial" w:hAnsi="Arial"/>
                <w:sz w:val="18"/>
                <w:szCs w:val="18"/>
                <w:color w:val="auto"/>
              </w:rPr>
              <w:t>HC</w:t>
            </w:r>
          </w:p>
        </w:tc>
        <w:tc>
          <w:tcPr>
            <w:tcW w:w="32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Arial" w:cs="Arial" w:eastAsia="Arial" w:hAnsi="Arial"/>
                <w:sz w:val="22"/>
                <w:szCs w:val="22"/>
                <w:b w:val="1"/>
                <w:bCs w:val="1"/>
                <w:color w:val="auto"/>
              </w:rPr>
              <w:t>ITEM 1(a).</w:t>
            </w: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6"/>
              </w:rPr>
              <w:t>NAME OF ISSUER:</w:t>
            </w:r>
          </w:p>
        </w:tc>
        <w:tc>
          <w:tcPr>
            <w:tcW w:w="7360" w:type="dxa"/>
            <w:vAlign w:val="bottom"/>
            <w:gridSpan w:val="8"/>
          </w:tcPr>
          <w:p>
            <w:pPr>
              <w:spacing w:after="0"/>
              <w:rPr>
                <w:sz w:val="21"/>
                <w:szCs w:val="21"/>
                <w:color w:val="auto"/>
              </w:rPr>
            </w:pPr>
          </w:p>
        </w:tc>
      </w:tr>
      <w:tr>
        <w:trPr>
          <w:trHeight w:val="466"/>
        </w:trPr>
        <w:tc>
          <w:tcPr>
            <w:tcW w:w="19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QEP Resources, Inc. (the “Issuer”)</w:t>
            </w:r>
          </w:p>
        </w:tc>
      </w:tr>
      <w:tr>
        <w:trPr>
          <w:trHeight w:val="20"/>
        </w:trPr>
        <w:tc>
          <w:tcPr>
            <w:tcW w:w="1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960" w:type="dxa"/>
            <w:vAlign w:val="bottom"/>
          </w:tcPr>
          <w:p>
            <w:pPr>
              <w:spacing w:after="0"/>
              <w:rPr>
                <w:sz w:val="20"/>
                <w:szCs w:val="20"/>
                <w:color w:val="auto"/>
              </w:rPr>
            </w:pPr>
            <w:r>
              <w:rPr>
                <w:rFonts w:ascii="Arial" w:cs="Arial" w:eastAsia="Arial" w:hAnsi="Arial"/>
                <w:sz w:val="22"/>
                <w:szCs w:val="22"/>
                <w:b w:val="1"/>
                <w:bCs w:val="1"/>
                <w:color w:val="auto"/>
              </w:rPr>
              <w:t>ITEM 1(b).</w:t>
            </w:r>
          </w:p>
        </w:tc>
        <w:tc>
          <w:tcPr>
            <w:tcW w:w="6020" w:type="dxa"/>
            <w:vAlign w:val="bottom"/>
            <w:tcBorders>
              <w:bottom w:val="single" w:sz="8" w:color="auto"/>
            </w:tcBorders>
            <w:gridSpan w:val="8"/>
          </w:tcPr>
          <w:p>
            <w:pPr>
              <w:spacing w:after="0"/>
              <w:rPr>
                <w:sz w:val="20"/>
                <w:szCs w:val="20"/>
                <w:color w:val="auto"/>
              </w:rPr>
            </w:pPr>
            <w:r>
              <w:rPr>
                <w:rFonts w:ascii="Arial" w:cs="Arial" w:eastAsia="Arial" w:hAnsi="Arial"/>
                <w:sz w:val="22"/>
                <w:szCs w:val="22"/>
                <w:b w:val="1"/>
                <w:bCs w:val="1"/>
                <w:color w:val="auto"/>
                <w:w w:val="97"/>
              </w:rPr>
              <w:t>ADDRESS OF ISSUER’S PRINCIPAL EXECUTIVE OFFICES:</w:t>
            </w:r>
          </w:p>
        </w:tc>
        <w:tc>
          <w:tcPr>
            <w:tcW w:w="3260" w:type="dxa"/>
            <w:vAlign w:val="bottom"/>
            <w:gridSpan w:val="3"/>
          </w:tcPr>
          <w:p>
            <w:pPr>
              <w:spacing w:after="0"/>
              <w:rPr>
                <w:sz w:val="24"/>
                <w:szCs w:val="24"/>
                <w:color w:val="auto"/>
              </w:rPr>
            </w:pPr>
          </w:p>
        </w:tc>
      </w:tr>
      <w:tr>
        <w:trPr>
          <w:trHeight w:val="707"/>
        </w:trPr>
        <w:tc>
          <w:tcPr>
            <w:tcW w:w="19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1050 17</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Suite 800, Denver, Colorado 80265</w:t>
            </w:r>
          </w:p>
        </w:tc>
      </w:tr>
      <w:tr>
        <w:trPr>
          <w:trHeight w:val="245"/>
        </w:trPr>
        <w:tc>
          <w:tcPr>
            <w:tcW w:w="1960" w:type="dxa"/>
            <w:vAlign w:val="bottom"/>
          </w:tcPr>
          <w:p>
            <w:pPr>
              <w:spacing w:after="0" w:line="245" w:lineRule="exact"/>
              <w:rPr>
                <w:sz w:val="20"/>
                <w:szCs w:val="20"/>
                <w:color w:val="auto"/>
              </w:rPr>
            </w:pPr>
            <w:r>
              <w:rPr>
                <w:rFonts w:ascii="Arial" w:cs="Arial" w:eastAsia="Arial" w:hAnsi="Arial"/>
                <w:sz w:val="22"/>
                <w:szCs w:val="22"/>
                <w:b w:val="1"/>
                <w:bCs w:val="1"/>
                <w:color w:val="auto"/>
              </w:rPr>
              <w:t>ITEM 2(a).</w:t>
            </w:r>
          </w:p>
        </w:tc>
        <w:tc>
          <w:tcPr>
            <w:tcW w:w="2860" w:type="dxa"/>
            <w:vAlign w:val="bottom"/>
            <w:tcBorders>
              <w:bottom w:val="single" w:sz="8" w:color="auto"/>
            </w:tcBorders>
            <w:gridSpan w:val="5"/>
          </w:tcPr>
          <w:p>
            <w:pPr>
              <w:spacing w:after="0" w:line="245" w:lineRule="exact"/>
              <w:rPr>
                <w:sz w:val="20"/>
                <w:szCs w:val="20"/>
                <w:color w:val="auto"/>
              </w:rPr>
            </w:pPr>
            <w:r>
              <w:rPr>
                <w:rFonts w:ascii="Arial" w:cs="Arial" w:eastAsia="Arial" w:hAnsi="Arial"/>
                <w:sz w:val="22"/>
                <w:szCs w:val="22"/>
                <w:b w:val="1"/>
                <w:bCs w:val="1"/>
                <w:color w:val="auto"/>
                <w:w w:val="98"/>
              </w:rPr>
              <w:t>NAME OF PERSON FILING:</w:t>
            </w:r>
          </w:p>
        </w:tc>
        <w:tc>
          <w:tcPr>
            <w:tcW w:w="6420" w:type="dxa"/>
            <w:vAlign w:val="bottom"/>
            <w:gridSpan w:val="6"/>
          </w:tcPr>
          <w:p>
            <w:pPr>
              <w:spacing w:after="0"/>
              <w:rPr>
                <w:sz w:val="21"/>
                <w:szCs w:val="21"/>
                <w:color w:val="auto"/>
              </w:rPr>
            </w:pPr>
          </w:p>
        </w:tc>
      </w:tr>
      <w:tr>
        <w:trPr>
          <w:trHeight w:val="485"/>
        </w:trPr>
        <w:tc>
          <w:tcPr>
            <w:tcW w:w="19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Key Group Holdings (Cayman) Ltd.</w:t>
            </w:r>
          </w:p>
        </w:tc>
      </w:tr>
      <w:tr>
        <w:trPr>
          <w:trHeight w:val="243"/>
        </w:trPr>
        <w:tc>
          <w:tcPr>
            <w:tcW w:w="1960" w:type="dxa"/>
            <w:vAlign w:val="bottom"/>
          </w:tcPr>
          <w:p>
            <w:pPr>
              <w:spacing w:after="0"/>
              <w:rPr>
                <w:sz w:val="21"/>
                <w:szCs w:val="21"/>
                <w:color w:val="auto"/>
              </w:rPr>
            </w:pPr>
          </w:p>
        </w:tc>
        <w:tc>
          <w:tcPr>
            <w:tcW w:w="9280" w:type="dxa"/>
            <w:vAlign w:val="bottom"/>
            <w:gridSpan w:val="11"/>
          </w:tcPr>
          <w:p>
            <w:pPr>
              <w:spacing w:after="0" w:line="243" w:lineRule="exact"/>
              <w:rPr>
                <w:sz w:val="20"/>
                <w:szCs w:val="20"/>
                <w:color w:val="auto"/>
              </w:rPr>
            </w:pPr>
            <w:r>
              <w:rPr>
                <w:rFonts w:ascii="Arial" w:cs="Arial" w:eastAsia="Arial" w:hAnsi="Arial"/>
                <w:sz w:val="22"/>
                <w:szCs w:val="22"/>
                <w:color w:val="auto"/>
              </w:rPr>
              <w:t>Sunil Jagwani</w:t>
            </w:r>
          </w:p>
        </w:tc>
      </w:tr>
      <w:tr>
        <w:trPr>
          <w:trHeight w:val="274"/>
        </w:trPr>
        <w:tc>
          <w:tcPr>
            <w:tcW w:w="1960" w:type="dxa"/>
            <w:vAlign w:val="bottom"/>
          </w:tcPr>
          <w:p>
            <w:pPr>
              <w:spacing w:after="0"/>
              <w:rPr>
                <w:sz w:val="23"/>
                <w:szCs w:val="23"/>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Millinvest, Ltd.</w:t>
            </w:r>
          </w:p>
        </w:tc>
      </w:tr>
      <w:tr>
        <w:trPr>
          <w:trHeight w:val="786"/>
        </w:trPr>
        <w:tc>
          <w:tcPr>
            <w:tcW w:w="1960" w:type="dxa"/>
            <w:vAlign w:val="bottom"/>
          </w:tcPr>
          <w:p>
            <w:pPr>
              <w:spacing w:after="0"/>
              <w:rPr>
                <w:sz w:val="20"/>
                <w:szCs w:val="20"/>
                <w:color w:val="auto"/>
              </w:rPr>
            </w:pPr>
            <w:r>
              <w:rPr>
                <w:rFonts w:ascii="Arial" w:cs="Arial" w:eastAsia="Arial" w:hAnsi="Arial"/>
                <w:sz w:val="22"/>
                <w:szCs w:val="22"/>
                <w:b w:val="1"/>
                <w:bCs w:val="1"/>
                <w:color w:val="auto"/>
              </w:rPr>
              <w:t>ITEM 2(b).</w:t>
            </w:r>
          </w:p>
        </w:tc>
        <w:tc>
          <w:tcPr>
            <w:tcW w:w="7440" w:type="dxa"/>
            <w:vAlign w:val="bottom"/>
            <w:tcBorders>
              <w:bottom w:val="single" w:sz="8" w:color="auto"/>
            </w:tcBorders>
            <w:gridSpan w:val="9"/>
          </w:tcPr>
          <w:p>
            <w:pPr>
              <w:spacing w:after="0"/>
              <w:rPr>
                <w:sz w:val="20"/>
                <w:szCs w:val="20"/>
                <w:color w:val="auto"/>
              </w:rPr>
            </w:pPr>
            <w:r>
              <w:rPr>
                <w:rFonts w:ascii="Arial" w:cs="Arial" w:eastAsia="Arial" w:hAnsi="Arial"/>
                <w:sz w:val="22"/>
                <w:szCs w:val="22"/>
                <w:b w:val="1"/>
                <w:bCs w:val="1"/>
                <w:color w:val="auto"/>
                <w:w w:val="96"/>
              </w:rPr>
              <w:t>ADDRESS OF PRINCIPAL BUSINESS OFFICE, OR, IF NONE, RESIDENCE:</w:t>
            </w:r>
          </w:p>
        </w:tc>
        <w:tc>
          <w:tcPr>
            <w:tcW w:w="1840" w:type="dxa"/>
            <w:vAlign w:val="bottom"/>
            <w:gridSpan w:val="2"/>
          </w:tcPr>
          <w:p>
            <w:pPr>
              <w:spacing w:after="0"/>
              <w:rPr>
                <w:sz w:val="24"/>
                <w:szCs w:val="24"/>
                <w:color w:val="auto"/>
              </w:rPr>
            </w:pPr>
          </w:p>
        </w:tc>
      </w:tr>
      <w:tr>
        <w:trPr>
          <w:trHeight w:val="458"/>
        </w:trPr>
        <w:tc>
          <w:tcPr>
            <w:tcW w:w="19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w w:val="90"/>
              </w:rPr>
              <w:t>The address of the principal business office of each of Key Group Holdings (Cayman) Ltd., Sunil Jagwani</w:t>
            </w:r>
          </w:p>
        </w:tc>
      </w:tr>
      <w:tr>
        <w:trPr>
          <w:trHeight w:val="274"/>
        </w:trPr>
        <w:tc>
          <w:tcPr>
            <w:tcW w:w="1960" w:type="dxa"/>
            <w:vAlign w:val="bottom"/>
          </w:tcPr>
          <w:p>
            <w:pPr>
              <w:spacing w:after="0"/>
              <w:rPr>
                <w:sz w:val="23"/>
                <w:szCs w:val="23"/>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and Millinvest, Ltd. is 3C Caves Point, West Bay Street, Nassau, Bahamas.</w:t>
            </w:r>
          </w:p>
        </w:tc>
      </w:tr>
      <w:tr>
        <w:trPr>
          <w:trHeight w:val="436"/>
        </w:trPr>
        <w:tc>
          <w:tcPr>
            <w:tcW w:w="1960" w:type="dxa"/>
            <w:vAlign w:val="bottom"/>
          </w:tcPr>
          <w:p>
            <w:pPr>
              <w:spacing w:after="0"/>
              <w:rPr>
                <w:sz w:val="20"/>
                <w:szCs w:val="20"/>
                <w:color w:val="auto"/>
              </w:rPr>
            </w:pPr>
            <w:r>
              <w:rPr>
                <w:rFonts w:ascii="Arial" w:cs="Arial" w:eastAsia="Arial" w:hAnsi="Arial"/>
                <w:sz w:val="22"/>
                <w:szCs w:val="22"/>
                <w:b w:val="1"/>
                <w:bCs w:val="1"/>
                <w:color w:val="auto"/>
              </w:rPr>
              <w:t>ITEM 2(c)</w:t>
            </w:r>
          </w:p>
        </w:tc>
        <w:tc>
          <w:tcPr>
            <w:tcW w:w="9280" w:type="dxa"/>
            <w:vAlign w:val="bottom"/>
            <w:gridSpan w:val="11"/>
          </w:tcPr>
          <w:p>
            <w:pPr>
              <w:spacing w:after="0"/>
              <w:rPr>
                <w:sz w:val="20"/>
                <w:szCs w:val="20"/>
                <w:color w:val="auto"/>
              </w:rPr>
            </w:pPr>
            <w:r>
              <w:rPr>
                <w:rFonts w:ascii="Arial" w:cs="Arial" w:eastAsia="Arial" w:hAnsi="Arial"/>
                <w:sz w:val="22"/>
                <w:szCs w:val="22"/>
                <w:b w:val="1"/>
                <w:bCs w:val="1"/>
                <w:color w:val="auto"/>
              </w:rPr>
              <w:t>CITIZENSHIP:</w:t>
            </w:r>
          </w:p>
        </w:tc>
      </w:tr>
      <w:tr>
        <w:trPr>
          <w:trHeight w:val="20"/>
        </w:trPr>
        <w:tc>
          <w:tcPr>
            <w:tcW w:w="1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5"/>
        </w:trPr>
        <w:tc>
          <w:tcPr>
            <w:tcW w:w="19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w w:val="91"/>
              </w:rPr>
              <w:t>The place of organization of Key Group Holdings (Cayman) Ltd. is the Cayman Islands. Sunil Jagwani is</w:t>
            </w:r>
          </w:p>
        </w:tc>
      </w:tr>
      <w:tr>
        <w:trPr>
          <w:trHeight w:val="274"/>
        </w:trPr>
        <w:tc>
          <w:tcPr>
            <w:tcW w:w="1960" w:type="dxa"/>
            <w:vAlign w:val="bottom"/>
          </w:tcPr>
          <w:p>
            <w:pPr>
              <w:spacing w:after="0"/>
              <w:rPr>
                <w:sz w:val="23"/>
                <w:szCs w:val="23"/>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a citizen of India. The place of organization of Millinvest, Ltd. is the Bahamas.</w:t>
            </w:r>
          </w:p>
        </w:tc>
      </w:tr>
      <w:tr>
        <w:trPr>
          <w:trHeight w:val="435"/>
        </w:trPr>
        <w:tc>
          <w:tcPr>
            <w:tcW w:w="196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9280" w:type="dxa"/>
            <w:vAlign w:val="bottom"/>
            <w:gridSpan w:val="11"/>
          </w:tcPr>
          <w:p>
            <w:pPr>
              <w:spacing w:after="0"/>
              <w:rPr>
                <w:sz w:val="20"/>
                <w:szCs w:val="20"/>
                <w:color w:val="auto"/>
              </w:rPr>
            </w:pPr>
            <w:r>
              <w:rPr>
                <w:rFonts w:ascii="Arial" w:cs="Arial" w:eastAsia="Arial" w:hAnsi="Arial"/>
                <w:sz w:val="22"/>
                <w:szCs w:val="22"/>
                <w:b w:val="1"/>
                <w:bCs w:val="1"/>
                <w:color w:val="auto"/>
              </w:rPr>
              <w:t>TITLE OF CLASS OF SECURITIES:</w:t>
            </w:r>
          </w:p>
        </w:tc>
      </w:tr>
      <w:tr>
        <w:trPr>
          <w:trHeight w:val="20"/>
        </w:trPr>
        <w:tc>
          <w:tcPr>
            <w:tcW w:w="196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820" w:type="dxa"/>
            <w:vAlign w:val="bottom"/>
            <w:gridSpan w:val="4"/>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7"/>
        </w:trPr>
        <w:tc>
          <w:tcPr>
            <w:tcW w:w="19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Common Stock, par value $0.01per share</w:t>
            </w:r>
          </w:p>
        </w:tc>
      </w:tr>
      <w:tr>
        <w:trPr>
          <w:trHeight w:val="678"/>
        </w:trPr>
        <w:tc>
          <w:tcPr>
            <w:tcW w:w="196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9280" w:type="dxa"/>
            <w:vAlign w:val="bottom"/>
            <w:gridSpan w:val="11"/>
          </w:tcPr>
          <w:p>
            <w:pPr>
              <w:spacing w:after="0"/>
              <w:rPr>
                <w:sz w:val="20"/>
                <w:szCs w:val="20"/>
                <w:color w:val="auto"/>
              </w:rPr>
            </w:pPr>
            <w:r>
              <w:rPr>
                <w:rFonts w:ascii="Arial" w:cs="Arial" w:eastAsia="Arial" w:hAnsi="Arial"/>
                <w:sz w:val="22"/>
                <w:szCs w:val="22"/>
                <w:b w:val="1"/>
                <w:bCs w:val="1"/>
                <w:color w:val="auto"/>
              </w:rPr>
              <w:t>CUSIP NUMBER:</w:t>
            </w:r>
          </w:p>
        </w:tc>
      </w:tr>
      <w:tr>
        <w:trPr>
          <w:trHeight w:val="517"/>
        </w:trPr>
        <w:tc>
          <w:tcPr>
            <w:tcW w:w="1960" w:type="dxa"/>
            <w:vAlign w:val="bottom"/>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74733V100</w:t>
            </w:r>
          </w:p>
        </w:tc>
        <w:tc>
          <w:tcPr>
            <w:tcW w:w="7560" w:type="dxa"/>
            <w:vAlign w:val="bottom"/>
            <w:gridSpan w:val="9"/>
          </w:tcPr>
          <w:p>
            <w:pPr>
              <w:spacing w:after="0"/>
              <w:rPr>
                <w:sz w:val="24"/>
                <w:szCs w:val="24"/>
                <w:color w:val="auto"/>
              </w:rPr>
            </w:pPr>
          </w:p>
        </w:tc>
      </w:tr>
      <w:tr>
        <w:trPr>
          <w:trHeight w:val="435"/>
        </w:trPr>
        <w:tc>
          <w:tcPr>
            <w:tcW w:w="196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9280" w:type="dxa"/>
            <w:vAlign w:val="bottom"/>
            <w:gridSpan w:val="11"/>
          </w:tcPr>
          <w:p>
            <w:pPr>
              <w:spacing w:after="0"/>
              <w:rPr>
                <w:sz w:val="20"/>
                <w:szCs w:val="20"/>
                <w:color w:val="auto"/>
              </w:rPr>
            </w:pPr>
            <w:r>
              <w:rPr>
                <w:rFonts w:ascii="Arial" w:cs="Arial" w:eastAsia="Arial" w:hAnsi="Arial"/>
                <w:sz w:val="22"/>
                <w:szCs w:val="22"/>
                <w:b w:val="1"/>
                <w:bCs w:val="1"/>
                <w:color w:val="auto"/>
                <w:w w:val="96"/>
              </w:rPr>
              <w:t>IF THIS STATEMENT IS FILED PURSUANT TO SECTIONS 240.13D-1(B), OR 240.13D-2(B) OR</w:t>
            </w:r>
          </w:p>
        </w:tc>
      </w:tr>
      <w:tr>
        <w:trPr>
          <w:trHeight w:val="223"/>
        </w:trPr>
        <w:tc>
          <w:tcPr>
            <w:tcW w:w="1960" w:type="dxa"/>
            <w:vAlign w:val="bottom"/>
          </w:tcPr>
          <w:p>
            <w:pPr>
              <w:spacing w:after="0"/>
              <w:rPr>
                <w:sz w:val="19"/>
                <w:szCs w:val="19"/>
                <w:color w:val="auto"/>
              </w:rPr>
            </w:pPr>
          </w:p>
        </w:tc>
        <w:tc>
          <w:tcPr>
            <w:tcW w:w="9220" w:type="dxa"/>
            <w:vAlign w:val="bottom"/>
            <w:tcBorders>
              <w:top w:val="single" w:sz="8" w:color="auto"/>
            </w:tcBorders>
            <w:gridSpan w:val="10"/>
          </w:tcPr>
          <w:p>
            <w:pPr>
              <w:spacing w:after="0" w:line="223" w:lineRule="exact"/>
              <w:rPr>
                <w:sz w:val="20"/>
                <w:szCs w:val="20"/>
                <w:color w:val="auto"/>
              </w:rPr>
            </w:pPr>
            <w:r>
              <w:rPr>
                <w:rFonts w:ascii="Arial" w:cs="Arial" w:eastAsia="Arial" w:hAnsi="Arial"/>
                <w:sz w:val="22"/>
                <w:szCs w:val="22"/>
                <w:b w:val="1"/>
                <w:bCs w:val="1"/>
                <w:color w:val="auto"/>
              </w:rPr>
              <w:t>(C), CHECK WHETHER THE PERSON FILING IS A:</w:t>
            </w:r>
          </w:p>
        </w:tc>
        <w:tc>
          <w:tcPr>
            <w:tcW w:w="6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5120" w:type="dxa"/>
            <w:vAlign w:val="bottom"/>
            <w:gridSpan w:val="7"/>
            <w:shd w:val="clear" w:color="auto" w:fill="000000"/>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99"/>
        </w:trPr>
        <w:tc>
          <w:tcPr>
            <w:tcW w:w="1960" w:type="dxa"/>
            <w:vAlign w:val="bottom"/>
          </w:tcPr>
          <w:p>
            <w:pPr>
              <w:spacing w:after="0"/>
              <w:rPr>
                <w:sz w:val="24"/>
                <w:szCs w:val="24"/>
                <w:color w:val="auto"/>
              </w:rPr>
            </w:pPr>
          </w:p>
        </w:tc>
        <w:tc>
          <w:tcPr>
            <w:tcW w:w="9280" w:type="dxa"/>
            <w:vAlign w:val="bottom"/>
            <w:gridSpan w:val="11"/>
          </w:tcPr>
          <w:p>
            <w:pPr>
              <w:spacing w:after="0" w:line="253" w:lineRule="exact"/>
              <w:rPr>
                <w:sz w:val="20"/>
                <w:szCs w:val="20"/>
                <w:color w:val="auto"/>
              </w:rPr>
            </w:pPr>
            <w:r>
              <w:rPr>
                <w:rFonts w:ascii="MS PGothic" w:cs="MS PGothic" w:eastAsia="MS PGothic" w:hAnsi="MS PGothic"/>
                <w:sz w:val="22"/>
                <w:szCs w:val="22"/>
                <w:color w:val="auto"/>
                <w:w w:val="93"/>
              </w:rPr>
              <w:t>☒</w:t>
            </w:r>
            <w:r>
              <w:rPr>
                <w:rFonts w:ascii="Arial" w:cs="Arial" w:eastAsia="Arial" w:hAnsi="Arial"/>
                <w:sz w:val="22"/>
                <w:szCs w:val="22"/>
                <w:color w:val="auto"/>
                <w:w w:val="93"/>
              </w:rPr>
              <w:t xml:space="preserve">  An investment adviser in accordance with section 240.13d-1(b)(1)(ii)(E) (as to Key Group Holdings</w:t>
            </w:r>
          </w:p>
        </w:tc>
      </w:tr>
      <w:tr>
        <w:trPr>
          <w:trHeight w:val="274"/>
        </w:trPr>
        <w:tc>
          <w:tcPr>
            <w:tcW w:w="1960" w:type="dxa"/>
            <w:vAlign w:val="bottom"/>
          </w:tcPr>
          <w:p>
            <w:pPr>
              <w:spacing w:after="0"/>
              <w:rPr>
                <w:sz w:val="23"/>
                <w:szCs w:val="23"/>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(Cayman) Ltd.).</w:t>
            </w:r>
          </w:p>
        </w:tc>
      </w:tr>
      <w:tr>
        <w:trPr>
          <w:trHeight w:val="468"/>
        </w:trPr>
        <w:tc>
          <w:tcPr>
            <w:tcW w:w="1960" w:type="dxa"/>
            <w:vAlign w:val="bottom"/>
          </w:tcPr>
          <w:p>
            <w:pPr>
              <w:spacing w:after="0"/>
              <w:rPr>
                <w:sz w:val="24"/>
                <w:szCs w:val="24"/>
                <w:color w:val="auto"/>
              </w:rPr>
            </w:pPr>
          </w:p>
        </w:tc>
        <w:tc>
          <w:tcPr>
            <w:tcW w:w="9280" w:type="dxa"/>
            <w:vAlign w:val="bottom"/>
            <w:gridSpan w:val="11"/>
          </w:tcPr>
          <w:p>
            <w:pPr>
              <w:spacing w:after="0" w:line="253" w:lineRule="exact"/>
              <w:rPr>
                <w:sz w:val="20"/>
                <w:szCs w:val="20"/>
                <w:color w:val="auto"/>
              </w:rPr>
            </w:pPr>
            <w:r>
              <w:rPr>
                <w:rFonts w:ascii="MS PGothic" w:cs="MS PGothic" w:eastAsia="MS PGothic" w:hAnsi="MS PGothic"/>
                <w:sz w:val="22"/>
                <w:szCs w:val="22"/>
                <w:color w:val="auto"/>
                <w:w w:val="92"/>
              </w:rPr>
              <w:t>☒</w:t>
            </w:r>
            <w:r>
              <w:rPr>
                <w:rFonts w:ascii="Arial" w:cs="Arial" w:eastAsia="Arial" w:hAnsi="Arial"/>
                <w:sz w:val="22"/>
                <w:szCs w:val="22"/>
                <w:color w:val="auto"/>
                <w:w w:val="92"/>
              </w:rPr>
              <w:t xml:space="preserve">  A parent holding company or control person in accordance with section 240.13d-1(b)(1)(ii)(G) (as to</w:t>
            </w:r>
          </w:p>
        </w:tc>
      </w:tr>
      <w:tr>
        <w:trPr>
          <w:trHeight w:val="274"/>
        </w:trPr>
        <w:tc>
          <w:tcPr>
            <w:tcW w:w="1960" w:type="dxa"/>
            <w:vAlign w:val="bottom"/>
          </w:tcPr>
          <w:p>
            <w:pPr>
              <w:spacing w:after="0"/>
              <w:rPr>
                <w:sz w:val="23"/>
                <w:szCs w:val="23"/>
                <w:color w:val="auto"/>
              </w:rPr>
            </w:pPr>
          </w:p>
        </w:tc>
        <w:tc>
          <w:tcPr>
            <w:tcW w:w="9280" w:type="dxa"/>
            <w:vAlign w:val="bottom"/>
            <w:gridSpan w:val="11"/>
          </w:tcPr>
          <w:p>
            <w:pPr>
              <w:spacing w:after="0"/>
              <w:rPr>
                <w:sz w:val="20"/>
                <w:szCs w:val="20"/>
                <w:color w:val="auto"/>
              </w:rPr>
            </w:pPr>
            <w:r>
              <w:rPr>
                <w:rFonts w:ascii="Arial" w:cs="Arial" w:eastAsia="Arial" w:hAnsi="Arial"/>
                <w:sz w:val="22"/>
                <w:szCs w:val="22"/>
                <w:color w:val="auto"/>
              </w:rPr>
              <w:t>Sunil Jagwani and Millinvest, Ltd.).</w:t>
            </w:r>
          </w:p>
        </w:tc>
      </w:tr>
      <w:tr>
        <w:trPr>
          <w:trHeight w:val="815"/>
        </w:trPr>
        <w:tc>
          <w:tcPr>
            <w:tcW w:w="1960" w:type="dxa"/>
            <w:vAlign w:val="bottom"/>
          </w:tcPr>
          <w:p>
            <w:pPr>
              <w:spacing w:after="0"/>
              <w:rPr>
                <w:sz w:val="24"/>
                <w:szCs w:val="24"/>
                <w:color w:val="auto"/>
              </w:rPr>
            </w:pPr>
          </w:p>
        </w:tc>
        <w:tc>
          <w:tcPr>
            <w:tcW w:w="5120" w:type="dxa"/>
            <w:vAlign w:val="bottom"/>
            <w:gridSpan w:val="7"/>
          </w:tcPr>
          <w:p>
            <w:pPr>
              <w:ind w:left="3620"/>
              <w:spacing w:after="0"/>
              <w:rPr>
                <w:sz w:val="20"/>
                <w:szCs w:val="20"/>
                <w:color w:val="auto"/>
              </w:rPr>
            </w:pPr>
            <w:r>
              <w:rPr>
                <w:rFonts w:ascii="Arial" w:cs="Arial" w:eastAsia="Arial" w:hAnsi="Arial"/>
                <w:sz w:val="14"/>
                <w:szCs w:val="14"/>
                <w:color w:val="auto"/>
              </w:rPr>
              <w:t>5</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
        </w:trPr>
        <w:tc>
          <w:tcPr>
            <w:tcW w:w="19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32" w:right="339" w:bottom="1440" w:gutter="0" w:footer="0" w:header="0"/>
        </w:sectPr>
      </w:pPr>
    </w:p>
    <w:bookmarkStart w:id="5" w:name="page6"/>
    <w:bookmarkEnd w:id="5"/>
    <w:p>
      <w:pPr>
        <w:spacing w:after="0"/>
        <w:tabs>
          <w:tab w:leader="none" w:pos="19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u w:val="single" w:color="auto"/>
          <w:color w:val="auto"/>
        </w:rPr>
        <w:t>OWNERSHIP</w:t>
      </w:r>
      <w:r>
        <w:rPr>
          <w:rFonts w:ascii="Arial" w:cs="Arial" w:eastAsia="Arial" w:hAnsi="Arial"/>
          <w:sz w:val="21"/>
          <w:szCs w:val="21"/>
          <w:b w:val="1"/>
          <w:bCs w:val="1"/>
          <w:color w:val="auto"/>
        </w:rPr>
        <w:t>:</w:t>
      </w:r>
    </w:p>
    <w:p>
      <w:pPr>
        <w:spacing w:after="0" w:line="212" w:lineRule="exact"/>
        <w:rPr>
          <w:sz w:val="20"/>
          <w:szCs w:val="20"/>
          <w:color w:val="auto"/>
        </w:rPr>
      </w:pPr>
    </w:p>
    <w:p>
      <w:pPr>
        <w:ind w:left="1960" w:hanging="494"/>
        <w:spacing w:after="0"/>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Amount Beneficially Owned: </w:t>
      </w:r>
      <w:r>
        <w:rPr>
          <w:rFonts w:ascii="Arial" w:cs="Arial" w:eastAsia="Arial" w:hAnsi="Arial"/>
          <w:sz w:val="17"/>
          <w:szCs w:val="17"/>
          <w:color w:val="auto"/>
        </w:rPr>
        <w:t>0</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Percent of Class: </w:t>
      </w:r>
      <w:r>
        <w:rPr>
          <w:rFonts w:ascii="Arial" w:cs="Arial" w:eastAsia="Arial" w:hAnsi="Arial"/>
          <w:sz w:val="17"/>
          <w:szCs w:val="17"/>
          <w:color w:val="auto"/>
        </w:rPr>
        <w:t>0</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jc w:val="both"/>
        <w:ind w:left="2600" w:right="5180" w:hanging="648"/>
        <w:spacing w:after="0" w:line="519" w:lineRule="auto"/>
        <w:tabs>
          <w:tab w:leader="none" w:pos="26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sole power to vote or to direct the vote: Key Group Holdings (Cayman) Ltd.: - </w:t>
      </w:r>
      <w:r>
        <w:rPr>
          <w:rFonts w:ascii="Arial" w:cs="Arial" w:eastAsia="Arial" w:hAnsi="Arial"/>
          <w:sz w:val="15"/>
          <w:szCs w:val="15"/>
          <w:color w:val="auto"/>
        </w:rPr>
        <w:t>0</w:t>
      </w:r>
    </w:p>
    <w:p>
      <w:pPr>
        <w:ind w:left="2600" w:hanging="648"/>
        <w:spacing w:after="0"/>
        <w:tabs>
          <w:tab w:leader="none" w:pos="26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06"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 xml:space="preserve">Sunil Jagwani: - </w:t>
      </w:r>
      <w:r>
        <w:rPr>
          <w:rFonts w:ascii="Arial" w:cs="Arial" w:eastAsia="Arial" w:hAnsi="Arial"/>
          <w:sz w:val="17"/>
          <w:szCs w:val="17"/>
          <w:color w:val="auto"/>
        </w:rPr>
        <w:t>0</w:t>
      </w:r>
    </w:p>
    <w:p>
      <w:pPr>
        <w:spacing w:after="0" w:line="98"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 xml:space="preserve">Millinvest, Ltd.: - </w:t>
      </w:r>
      <w:r>
        <w:rPr>
          <w:rFonts w:ascii="Arial" w:cs="Arial" w:eastAsia="Arial" w:hAnsi="Arial"/>
          <w:sz w:val="17"/>
          <w:szCs w:val="17"/>
          <w:color w:val="auto"/>
        </w:rPr>
        <w:t>0</w:t>
      </w:r>
    </w:p>
    <w:p>
      <w:pPr>
        <w:spacing w:after="0" w:line="233" w:lineRule="exact"/>
        <w:rPr>
          <w:rFonts w:ascii="Arial" w:cs="Arial" w:eastAsia="Arial" w:hAnsi="Arial"/>
          <w:sz w:val="22"/>
          <w:szCs w:val="22"/>
          <w:color w:val="auto"/>
        </w:rPr>
      </w:pPr>
    </w:p>
    <w:p>
      <w:pPr>
        <w:ind w:left="2600" w:right="4160" w:hanging="648"/>
        <w:spacing w:after="0" w:line="504" w:lineRule="auto"/>
        <w:tabs>
          <w:tab w:leader="none" w:pos="26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sole power to dispose or to direct the disposition of: Key Group Holdings (Cayman) Ltd. - </w:t>
      </w:r>
      <w:r>
        <w:rPr>
          <w:rFonts w:ascii="Arial" w:cs="Arial" w:eastAsia="Arial" w:hAnsi="Arial"/>
          <w:sz w:val="15"/>
          <w:szCs w:val="15"/>
          <w:color w:val="auto"/>
        </w:rPr>
        <w:t>0</w:t>
      </w:r>
    </w:p>
    <w:p>
      <w:pPr>
        <w:ind w:left="2600" w:hanging="648"/>
        <w:spacing w:after="0"/>
        <w:tabs>
          <w:tab w:leader="none" w:pos="26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6"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 xml:space="preserve">Sunil Jagwani: - </w:t>
      </w:r>
      <w:r>
        <w:rPr>
          <w:rFonts w:ascii="Arial" w:cs="Arial" w:eastAsia="Arial" w:hAnsi="Arial"/>
          <w:sz w:val="17"/>
          <w:szCs w:val="17"/>
          <w:color w:val="auto"/>
        </w:rPr>
        <w:t>0</w:t>
      </w:r>
    </w:p>
    <w:p>
      <w:pPr>
        <w:spacing w:after="0" w:line="98"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 xml:space="preserve">Millinvest, Ltd.: - </w:t>
      </w:r>
      <w:r>
        <w:rPr>
          <w:rFonts w:ascii="Arial" w:cs="Arial" w:eastAsia="Arial" w:hAnsi="Arial"/>
          <w:sz w:val="17"/>
          <w:szCs w:val="17"/>
          <w:color w:val="auto"/>
        </w:rPr>
        <w:t>0</w:t>
      </w:r>
    </w:p>
    <w:p>
      <w:pPr>
        <w:spacing w:after="0" w:line="233" w:lineRule="exact"/>
        <w:rPr>
          <w:sz w:val="20"/>
          <w:szCs w:val="20"/>
          <w:color w:val="auto"/>
        </w:rPr>
      </w:pPr>
    </w:p>
    <w:p>
      <w:pPr>
        <w:jc w:val="both"/>
        <w:ind w:left="1300"/>
        <w:spacing w:after="0" w:line="245" w:lineRule="auto"/>
        <w:rPr>
          <w:sz w:val="20"/>
          <w:szCs w:val="20"/>
          <w:color w:val="auto"/>
        </w:rPr>
      </w:pPr>
      <w:r>
        <w:rPr>
          <w:rFonts w:ascii="Arial" w:cs="Arial" w:eastAsia="Arial" w:hAnsi="Arial"/>
          <w:sz w:val="21"/>
          <w:szCs w:val="21"/>
          <w:color w:val="auto"/>
        </w:rPr>
        <w:t>The securities reported in this Schedule 13G are held by investment advisory clients or discretionary accounts of which Key Group Holdings (Cayman) Ltd. is the investment advisor. When an investment management contract delegates to Key Group Holdings (Cayman) Ltd. investment discretion or voting power over the securities held in the investment advisory accounts that are subject to that agreement, Key Group Holdings (Cayman) Ltd. is treated as having sole investment discretion or voting authority, as the case may be, unless the agreement specifies otherwise. Accordingly, Key Group Holdings (Cayman) Ltd. reports on Schedule 13G that it has sole investment discretion and voting authority over the securities covered by any such investment management agreement. As a result, Key Group Holdings (Cayman) Ltd. may be deemed to beneficially own the securities held by its clients or accounts within the meaning of Rule 13d-3 under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both"/>
        <w:ind w:left="1300"/>
        <w:spacing w:after="0" w:line="248" w:lineRule="auto"/>
        <w:rPr>
          <w:sz w:val="20"/>
          <w:szCs w:val="20"/>
          <w:color w:val="auto"/>
        </w:rPr>
      </w:pPr>
      <w:r>
        <w:rPr>
          <w:rFonts w:ascii="Arial" w:cs="Arial" w:eastAsia="Arial" w:hAnsi="Arial"/>
          <w:sz w:val="21"/>
          <w:szCs w:val="21"/>
          <w:color w:val="auto"/>
        </w:rPr>
        <w:t>Millinvest, Ltd. is the owner of Key Group Holdings (Cayman) Ltd. Sunil Jagwani is the ultimate beneficial owner of Millinvest, Ltd. Because Millinvest, Ltd. is the owner of Key Group Holdings (Cayman) Ltd. and Mr. Jagwani is the ultimate beneficial owner of Millinvest, Ltd., they may be deemed to share voting and dispositive power over the shares of Common Stock managed by Key Group Holdings (Cayman) Ltd. on behalf of the clients and accounts. As a result, they may also be deemed to beneficially own the securities held by the clients or accounts of Key Group Holdings (Cayman) Ltd.</w:t>
      </w:r>
    </w:p>
    <w:p>
      <w:pPr>
        <w:spacing w:after="0" w:line="177" w:lineRule="exact"/>
        <w:rPr>
          <w:sz w:val="20"/>
          <w:szCs w:val="20"/>
          <w:color w:val="auto"/>
        </w:rPr>
      </w:pPr>
    </w:p>
    <w:p>
      <w:pPr>
        <w:jc w:val="both"/>
        <w:ind w:left="1300"/>
        <w:spacing w:after="0" w:line="279" w:lineRule="auto"/>
        <w:rPr>
          <w:sz w:val="20"/>
          <w:szCs w:val="20"/>
          <w:color w:val="auto"/>
        </w:rPr>
      </w:pPr>
      <w:r>
        <w:rPr>
          <w:rFonts w:ascii="Arial" w:cs="Arial" w:eastAsia="Arial" w:hAnsi="Arial"/>
          <w:sz w:val="19"/>
          <w:szCs w:val="19"/>
          <w:color w:val="auto"/>
        </w:rPr>
        <w:t>Key Group Holdings (Cayman) Ltd., Sunil Jagwani and Millinvest, Ltd. believe that they do not constitute a “group” within the meaning of Rule 13d-5 under the Exchange Act and that they are not otherwise required to attribute to each other the beneficial ownership of the securities reported in this Schedule 13G held by them or by any persons or entities for whom or for which Key Group Holdings (Cayman) Ltd. provides investment management services. Each of Key Group Holdings (Cayman) Ltd., Sunil Jagwani and Millinvest, Ltd. also disclaims beneficial ownership of these securities except to the extent of that filer’s pecuniary interest therein.</w:t>
      </w:r>
    </w:p>
    <w:p>
      <w:pPr>
        <w:spacing w:after="0" w:line="14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u w:val="single" w:color="auto"/>
          <w:color w:val="auto"/>
        </w:rPr>
        <w:t>OWNERSHIP OF FIVE PERCENT OR LESS OF A CLASS:</w:t>
      </w:r>
    </w:p>
    <w:p>
      <w:pPr>
        <w:spacing w:after="0" w:line="239" w:lineRule="exact"/>
        <w:rPr>
          <w:sz w:val="20"/>
          <w:szCs w:val="20"/>
          <w:color w:val="auto"/>
        </w:rPr>
      </w:pPr>
    </w:p>
    <w:p>
      <w:pPr>
        <w:ind w:left="1960" w:right="60"/>
        <w:spacing w:after="0" w:line="277"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156"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u w:val="single" w:color="auto"/>
          <w:color w:val="auto"/>
        </w:rPr>
        <w:t>OWNERSHIP OF MORE THAN FIVE PERCENT ON BEHALF OF ANOTHER PERSON</w:t>
      </w:r>
      <w:r>
        <w:rPr>
          <w:rFonts w:ascii="Arial" w:cs="Arial" w:eastAsia="Arial" w:hAnsi="Arial"/>
          <w:sz w:val="21"/>
          <w:szCs w:val="21"/>
          <w:b w:val="1"/>
          <w:bCs w:val="1"/>
          <w:color w:val="auto"/>
        </w:rPr>
        <w:t>:</w:t>
      </w:r>
    </w:p>
    <w:p>
      <w:pPr>
        <w:spacing w:after="0" w:line="239" w:lineRule="exact"/>
        <w:rPr>
          <w:sz w:val="20"/>
          <w:szCs w:val="20"/>
          <w:color w:val="auto"/>
        </w:rPr>
      </w:pPr>
    </w:p>
    <w:p>
      <w:pPr>
        <w:ind w:left="1960" w:right="80"/>
        <w:spacing w:after="0"/>
        <w:rPr>
          <w:sz w:val="20"/>
          <w:szCs w:val="20"/>
          <w:color w:val="auto"/>
        </w:rPr>
      </w:pPr>
      <w:r>
        <w:rPr>
          <w:rFonts w:ascii="Arial" w:cs="Arial" w:eastAsia="Arial" w:hAnsi="Arial"/>
          <w:sz w:val="22"/>
          <w:szCs w:val="22"/>
          <w:color w:val="auto"/>
        </w:rPr>
        <w:t>See Item 4. Each client of Key Group Holdings (Cayman) Ltd. has the right to receive or the power to direct the receipt of dividends from, or the proceeds from the sale of the class of securities reported herein. No one client holds more than five percent of such securities.</w:t>
      </w:r>
    </w:p>
    <w:p>
      <w:pPr>
        <w:spacing w:after="0" w:line="207" w:lineRule="exact"/>
        <w:rPr>
          <w:sz w:val="20"/>
          <w:szCs w:val="20"/>
          <w:color w:val="auto"/>
        </w:rPr>
      </w:pPr>
    </w:p>
    <w:p>
      <w:pPr>
        <w:jc w:val="both"/>
        <w:ind w:left="1960" w:right="200" w:hanging="1943"/>
        <w:spacing w:after="0" w:line="243" w:lineRule="auto"/>
        <w:tabs>
          <w:tab w:leader="none" w:pos="19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u w:val="single" w:color="auto"/>
          <w:color w:val="auto"/>
        </w:rPr>
        <w:t>IDENTIFICATION AND CLASSIFICATION OF THE SUBSIDIARY WHICH ACQUIRED THE SECURITY BEING REPORTED ON BY THE PARENT HOLDING COMPANY OR CONTROL PERSON:</w:t>
      </w:r>
    </w:p>
    <w:p>
      <w:pPr>
        <w:spacing w:after="0" w:line="21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See Items 3 and 4.</w:t>
      </w:r>
    </w:p>
    <w:p>
      <w:pPr>
        <w:spacing w:after="0" w:line="227"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1"/>
          <w:szCs w:val="21"/>
          <w:b w:val="1"/>
          <w:bCs w:val="1"/>
          <w:u w:val="single" w:color="auto"/>
          <w:color w:val="auto"/>
        </w:rPr>
        <w:t>IDENTIFICATION AND CLASSIFICATION OF MEMBERS OF THE GROUP</w:t>
      </w:r>
      <w:r>
        <w:rPr>
          <w:rFonts w:ascii="Arial" w:cs="Arial" w:eastAsia="Arial" w:hAnsi="Arial"/>
          <w:sz w:val="21"/>
          <w:szCs w:val="21"/>
          <w:b w:val="1"/>
          <w:bCs w:val="1"/>
          <w:color w:val="auto"/>
        </w:rPr>
        <w:t>:</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1"/>
          <w:szCs w:val="21"/>
          <w:b w:val="1"/>
          <w:bCs w:val="1"/>
          <w:u w:val="single" w:color="auto"/>
          <w:color w:val="auto"/>
        </w:rPr>
        <w:t>NOTICE OF DISSOLUTION OF GROUP</w:t>
      </w:r>
      <w:r>
        <w:rPr>
          <w:rFonts w:ascii="Arial" w:cs="Arial" w:eastAsia="Arial" w:hAnsi="Arial"/>
          <w:sz w:val="21"/>
          <w:szCs w:val="21"/>
          <w:b w:val="1"/>
          <w:bCs w:val="1"/>
          <w:color w:val="auto"/>
        </w:rPr>
        <w:t>:</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tabs>
          <w:tab w:leader="none" w:pos="19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2"/>
          <w:szCs w:val="22"/>
          <w:b w:val="1"/>
          <w:bCs w:val="1"/>
          <w:u w:val="single" w:color="auto"/>
          <w:color w:val="auto"/>
        </w:rPr>
        <w:t>CERTIFICATION</w:t>
      </w:r>
      <w:r>
        <w:rPr>
          <w:rFonts w:ascii="Arial" w:cs="Arial" w:eastAsia="Arial" w:hAnsi="Arial"/>
          <w:sz w:val="22"/>
          <w:szCs w:val="22"/>
          <w:b w:val="1"/>
          <w:bCs w:val="1"/>
          <w:color w:val="auto"/>
        </w:rPr>
        <w:t>:</w:t>
      </w:r>
    </w:p>
    <w:p>
      <w:pPr>
        <w:spacing w:after="0" w:line="240" w:lineRule="exact"/>
        <w:rPr>
          <w:sz w:val="20"/>
          <w:szCs w:val="20"/>
          <w:color w:val="auto"/>
        </w:rPr>
      </w:pPr>
    </w:p>
    <w:p>
      <w:pPr>
        <w:jc w:val="both"/>
        <w:ind w:left="1960"/>
        <w:spacing w:after="0" w:line="282"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3" w:lineRule="exact"/>
        <w:rPr>
          <w:sz w:val="20"/>
          <w:szCs w:val="20"/>
          <w:color w:val="auto"/>
        </w:rPr>
      </w:pPr>
    </w:p>
    <w:p>
      <w:pPr>
        <w:ind w:left="1960" w:right="780"/>
        <w:spacing w:after="0" w:line="250" w:lineRule="auto"/>
        <w:rPr>
          <w:rFonts w:ascii="Arial" w:cs="Arial" w:eastAsia="Arial" w:hAnsi="Arial"/>
          <w:sz w:val="22"/>
          <w:szCs w:val="22"/>
          <w:color w:val="0000EE"/>
        </w:rPr>
      </w:pPr>
      <w:hyperlink r:id="rId21">
        <w:r>
          <w:rPr>
            <w:rFonts w:ascii="Arial" w:cs="Arial" w:eastAsia="Arial" w:hAnsi="Arial"/>
            <w:sz w:val="22"/>
            <w:szCs w:val="22"/>
            <w:u w:val="single" w:color="auto"/>
            <w:color w:val="0000EE"/>
          </w:rPr>
          <w:t>Agreement to file Schedule 13G jointly (previously filed as Exhibit 99.1 to the Reporting Person’s</w:t>
        </w:r>
      </w:hyperlink>
      <w:r>
        <w:rPr>
          <w:rFonts w:ascii="Arial" w:cs="Arial" w:eastAsia="Arial" w:hAnsi="Arial"/>
          <w:sz w:val="22"/>
          <w:szCs w:val="22"/>
          <w:u w:val="single" w:color="auto"/>
          <w:color w:val="0000EE"/>
        </w:rPr>
        <w:t xml:space="preserve"> </w:t>
      </w:r>
      <w:hyperlink r:id="rId21">
        <w:r>
          <w:rPr>
            <w:rFonts w:ascii="Arial" w:cs="Arial" w:eastAsia="Arial" w:hAnsi="Arial"/>
            <w:sz w:val="22"/>
            <w:szCs w:val="22"/>
            <w:u w:val="single" w:color="auto"/>
            <w:color w:val="0000EE"/>
          </w:rPr>
          <w:t>Schedule 13G filed December 9, 2020)</w:t>
        </w:r>
        <w:r>
          <w:rPr>
            <w:rFonts w:ascii="Arial" w:cs="Arial" w:eastAsia="Arial" w:hAnsi="Arial"/>
            <w:sz w:val="22"/>
            <w:szCs w:val="22"/>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2022</w:t>
      </w: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KEY GROUP HOLDINGS (CAYMAN) LTD.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Yvonne Daffy</w:t>
      </w:r>
    </w:p>
    <w:p>
      <w:pPr>
        <w:spacing w:after="0" w:line="206" w:lineRule="exact"/>
        <w:rPr>
          <w:sz w:val="20"/>
          <w:szCs w:val="20"/>
          <w:color w:val="auto"/>
        </w:rPr>
      </w:pPr>
    </w:p>
    <w:p>
      <w:pPr>
        <w:ind w:left="4700"/>
        <w:spacing w:after="0"/>
        <w:tabs>
          <w:tab w:leader="none" w:pos="5500" w:val="left"/>
        </w:tabs>
        <w:rPr>
          <w:sz w:val="20"/>
          <w:szCs w:val="20"/>
          <w:color w:val="auto"/>
        </w:rPr>
      </w:pPr>
      <w:r>
        <w:rPr>
          <w:rFonts w:ascii="Arial" w:cs="Arial" w:eastAsia="Arial" w:hAnsi="Arial"/>
          <w:sz w:val="22"/>
          <w:szCs w:val="22"/>
          <w:color w:val="auto"/>
        </w:rPr>
        <w:t>Name:</w:t>
        <w:tab/>
        <w:t>Yvonne Daffy</w:t>
      </w:r>
    </w:p>
    <w:p>
      <w:pPr>
        <w:spacing w:after="0" w:line="206" w:lineRule="exact"/>
        <w:rPr>
          <w:sz w:val="20"/>
          <w:szCs w:val="20"/>
          <w:color w:val="auto"/>
        </w:rPr>
      </w:pPr>
    </w:p>
    <w:p>
      <w:pPr>
        <w:ind w:left="4700"/>
        <w:spacing w:after="0"/>
        <w:tabs>
          <w:tab w:leader="none" w:pos="5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COO/CFO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Sunil Jagwani</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Sunil Jagwani</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MILLINVEST, LTD.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Sunil Jagwani</w:t>
      </w:r>
    </w:p>
    <w:p>
      <w:pPr>
        <w:spacing w:after="0" w:line="206" w:lineRule="exact"/>
        <w:rPr>
          <w:sz w:val="20"/>
          <w:szCs w:val="20"/>
          <w:color w:val="auto"/>
        </w:rPr>
      </w:pPr>
    </w:p>
    <w:p>
      <w:pPr>
        <w:ind w:left="4700"/>
        <w:spacing w:after="0"/>
        <w:tabs>
          <w:tab w:leader="none" w:pos="5500" w:val="left"/>
        </w:tabs>
        <w:rPr>
          <w:sz w:val="20"/>
          <w:szCs w:val="20"/>
          <w:color w:val="auto"/>
        </w:rPr>
      </w:pPr>
      <w:r>
        <w:rPr>
          <w:rFonts w:ascii="Arial" w:cs="Arial" w:eastAsia="Arial" w:hAnsi="Arial"/>
          <w:sz w:val="22"/>
          <w:szCs w:val="22"/>
          <w:color w:val="auto"/>
        </w:rPr>
        <w:t>Name:</w:t>
        <w:tab/>
        <w:t>Sunil Jagwani</w:t>
      </w:r>
    </w:p>
    <w:p>
      <w:pPr>
        <w:spacing w:after="0" w:line="206" w:lineRule="exact"/>
        <w:rPr>
          <w:sz w:val="20"/>
          <w:szCs w:val="20"/>
          <w:color w:val="auto"/>
        </w:rPr>
      </w:pPr>
    </w:p>
    <w:p>
      <w:pPr>
        <w:ind w:left="4700"/>
        <w:spacing w:after="0"/>
        <w:tabs>
          <w:tab w:leader="none" w:pos="5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decimal"/>
      <w:start w:val="3"/>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1" Type="http://schemas.openxmlformats.org/officeDocument/2006/relationships/hyperlink" Target="https://www.sec.gov/Archives/edgar/data/1108827/000089706920000476/cmw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2022-02-12T01:22:42Z</dcterms:created>
  <dcterms:modified xsi:type="dcterms:W3CDTF">2022-02-12T01:22:42Z</dcterms:modified>
</cp:coreProperties>
</file>