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As filed with the Securities and Exchange Commission on May 5,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333-167727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S-8</w:t>
      </w:r>
    </w:p>
    <w:p>
      <w:pPr>
        <w:jc w:val="center"/>
        <w:spacing w:after="0"/>
        <w:rPr>
          <w:sz w:val="20"/>
          <w:szCs w:val="20"/>
          <w:color w:val="auto"/>
        </w:rPr>
      </w:pPr>
      <w:r>
        <w:rPr>
          <w:rFonts w:ascii="Arial" w:cs="Arial" w:eastAsia="Arial" w:hAnsi="Arial"/>
          <w:sz w:val="32"/>
          <w:szCs w:val="32"/>
          <w:b w:val="1"/>
          <w:bCs w:val="1"/>
          <w:color w:val="auto"/>
        </w:rPr>
        <w:t>REGISTRATION STATEMENT NO. 333-167727</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QEP RESOURCES,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460"/>
        <w:spacing w:after="0"/>
        <w:rPr>
          <w:sz w:val="20"/>
          <w:szCs w:val="20"/>
          <w:color w:val="auto"/>
        </w:rPr>
      </w:pPr>
      <w:r>
        <w:rPr>
          <w:rFonts w:ascii="Arial" w:cs="Arial" w:eastAsia="Arial" w:hAnsi="Arial"/>
          <w:sz w:val="16"/>
          <w:szCs w:val="16"/>
          <w:b w:val="1"/>
          <w:bCs w:val="1"/>
          <w:color w:val="auto"/>
        </w:rPr>
        <w:t>1050 17th Street, Suite 800</w:t>
      </w:r>
    </w:p>
    <w:p>
      <w:pPr>
        <w:spacing w:after="0" w:line="50" w:lineRule="exact"/>
        <w:rPr>
          <w:sz w:val="24"/>
          <w:szCs w:val="24"/>
          <w:color w:val="auto"/>
        </w:rPr>
      </w:pPr>
    </w:p>
    <w:p>
      <w:pPr>
        <w:jc w:val="center"/>
        <w:ind w:right="1460"/>
        <w:spacing w:after="0"/>
        <w:rPr>
          <w:sz w:val="20"/>
          <w:szCs w:val="20"/>
          <w:color w:val="auto"/>
        </w:rPr>
      </w:pPr>
      <w:r>
        <w:rPr>
          <w:rFonts w:ascii="Arial" w:cs="Arial" w:eastAsia="Arial" w:hAnsi="Arial"/>
          <w:sz w:val="17"/>
          <w:szCs w:val="17"/>
          <w:b w:val="1"/>
          <w:bCs w:val="1"/>
          <w:color w:val="auto"/>
        </w:rPr>
        <w:t>Denver, Colorado 80265</w:t>
      </w:r>
    </w:p>
    <w:p>
      <w:pPr>
        <w:spacing w:after="0" w:line="21"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303-672-6900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87-0287750</w:t>
      </w:r>
    </w:p>
    <w:p>
      <w:pPr>
        <w:spacing w:after="0" w:line="30" w:lineRule="exact"/>
        <w:rPr>
          <w:sz w:val="24"/>
          <w:szCs w:val="24"/>
          <w:color w:val="auto"/>
        </w:rPr>
      </w:pPr>
    </w:p>
    <w:p>
      <w:pPr>
        <w:sectPr>
          <w:pgSz w:w="11900" w:h="16838" w:orient="portrait"/>
          <w:cols w:equalWidth="0" w:num="3">
            <w:col w:w="3880" w:space="720"/>
            <w:col w:w="3500" w:space="720"/>
            <w:col w:w="2200"/>
          </w:cols>
          <w:pgMar w:left="440" w:top="229" w:right="439" w:bottom="1440" w:gutter="0" w:footer="0" w:header="0"/>
          <w:type w:val="continuous"/>
        </w:sectPr>
      </w:pPr>
    </w:p>
    <w:p>
      <w:pPr>
        <w:spacing w:after="0" w:line="12" w:lineRule="exact"/>
        <w:rPr>
          <w:sz w:val="24"/>
          <w:szCs w:val="24"/>
          <w:color w:val="auto"/>
        </w:rPr>
      </w:pPr>
    </w:p>
    <w:p>
      <w:pPr>
        <w:ind w:left="960"/>
        <w:spacing w:after="0"/>
        <w:rPr>
          <w:sz w:val="20"/>
          <w:szCs w:val="20"/>
          <w:color w:val="auto"/>
        </w:rPr>
      </w:pPr>
      <w:r>
        <w:rPr>
          <w:rFonts w:ascii="Arial" w:cs="Arial" w:eastAsia="Arial" w:hAnsi="Arial"/>
          <w:sz w:val="13"/>
          <w:szCs w:val="13"/>
          <w:b w:val="1"/>
          <w:bCs w:val="1"/>
          <w:color w:val="auto"/>
        </w:rPr>
        <w:t>(State or other jurisdiction of</w:t>
      </w:r>
    </w:p>
    <w:p>
      <w:pPr>
        <w:ind w:left="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420"/>
        <w:spacing w:after="0"/>
        <w:rPr>
          <w:sz w:val="20"/>
          <w:szCs w:val="20"/>
          <w:color w:val="auto"/>
        </w:rPr>
      </w:pPr>
      <w:r>
        <w:rPr>
          <w:rFonts w:ascii="Arial" w:cs="Arial" w:eastAsia="Arial" w:hAnsi="Arial"/>
          <w:sz w:val="12"/>
          <w:szCs w:val="12"/>
          <w:b w:val="1"/>
          <w:bCs w:val="1"/>
          <w:color w:val="auto"/>
        </w:rPr>
        <w:t>(Address including zip code of</w:t>
      </w:r>
    </w:p>
    <w:p>
      <w:pPr>
        <w:spacing w:after="0" w:line="4" w:lineRule="exact"/>
        <w:rPr>
          <w:sz w:val="24"/>
          <w:szCs w:val="24"/>
          <w:color w:val="auto"/>
        </w:rPr>
      </w:pPr>
    </w:p>
    <w:p>
      <w:pPr>
        <w:jc w:val="center"/>
        <w:ind w:right="1420"/>
        <w:spacing w:after="0"/>
        <w:rPr>
          <w:sz w:val="20"/>
          <w:szCs w:val="20"/>
          <w:color w:val="auto"/>
        </w:rPr>
      </w:pPr>
      <w:r>
        <w:rPr>
          <w:rFonts w:ascii="Arial" w:cs="Arial" w:eastAsia="Arial" w:hAnsi="Arial"/>
          <w:sz w:val="13"/>
          <w:szCs w:val="13"/>
          <w:b w:val="1"/>
          <w:bCs w:val="1"/>
          <w:color w:val="auto"/>
        </w:rPr>
        <w:t>Principal Executive Offices)</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3980" w:space="720"/>
            <w:col w:w="3260" w:space="720"/>
            <w:col w:w="2340"/>
          </w:cols>
          <w:pgMar w:left="440" w:top="229" w:right="439" w:bottom="1440" w:gutter="0" w:footer="0" w:header="0"/>
          <w:type w:val="continuous"/>
        </w:sectPr>
      </w:pP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QEP RESOURCES, INC. EMPLOYEE INVESTMENT PLAN</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(Full title of the plans)</w:t>
      </w:r>
    </w:p>
    <w:p>
      <w:pPr>
        <w:sectPr>
          <w:pgSz w:w="11900" w:h="16838" w:orient="portrait"/>
          <w:cols w:equalWidth="0" w:num="1">
            <w:col w:w="11020"/>
          </w:cols>
          <w:pgMar w:left="440" w:top="229" w:right="439" w:bottom="1440" w:gutter="0" w:footer="0" w:header="0"/>
          <w:type w:val="continuous"/>
        </w:sectPr>
      </w:pP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Teresa L. Dick</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Vice President, Chief Accounting Officer and Assistant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QEP Resources,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1050 17th Street, Suite 800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Denver, Colorado 80265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303-672-6900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Seth R. Molay, P.C.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Akin Gump Strauss Hauer &amp; Feld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2300 N. Field Street, Suite 1800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Dallas, TX 75201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(214) 969-4780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type w:val="continuous"/>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This Post-Effective Amendment (this “</w:t>
      </w:r>
      <w:r>
        <w:rPr>
          <w:rFonts w:ascii="Arial" w:cs="Arial" w:eastAsia="Arial" w:hAnsi="Arial"/>
          <w:sz w:val="18"/>
          <w:szCs w:val="18"/>
          <w:b w:val="1"/>
          <w:bCs w:val="1"/>
          <w:color w:val="auto"/>
        </w:rPr>
        <w:t>Post-Effective Amendment</w:t>
      </w:r>
      <w:r>
        <w:rPr>
          <w:rFonts w:ascii="Arial" w:cs="Arial" w:eastAsia="Arial" w:hAnsi="Arial"/>
          <w:sz w:val="18"/>
          <w:szCs w:val="18"/>
          <w:color w:val="auto"/>
        </w:rPr>
        <w:t>”) relates to the following Registration Statement on Form S-8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filed by QEP Resources,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with the Securities and Exchange Commission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w:t>
      </w:r>
    </w:p>
    <w:p>
      <w:pPr>
        <w:spacing w:after="0" w:line="207" w:lineRule="exact"/>
        <w:rPr>
          <w:sz w:val="20"/>
          <w:szCs w:val="20"/>
          <w:color w:val="auto"/>
        </w:rPr>
      </w:pPr>
    </w:p>
    <w:p>
      <w:pPr>
        <w:ind w:left="1420" w:right="220" w:hanging="331"/>
        <w:spacing w:after="0" w:line="342" w:lineRule="auto"/>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Registration Statement No. 333-167727, filed with the Commission on June 24, 2010, pertaining to the registration of 4,000,000 shares of common stock, par value $0.01 per share, of the Company under the QEP Resources, Inc. Employee Investment Plan.</w:t>
      </w:r>
    </w:p>
    <w:p>
      <w:pPr>
        <w:spacing w:after="0" w:line="12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On March 17, 2021, pursuant to the Agreement and Plan of Merger (“</w:t>
      </w:r>
      <w:r>
        <w:rPr>
          <w:rFonts w:ascii="Arial" w:cs="Arial" w:eastAsia="Arial" w:hAnsi="Arial"/>
          <w:sz w:val="18"/>
          <w:szCs w:val="18"/>
          <w:b w:val="1"/>
          <w:bCs w:val="1"/>
          <w:color w:val="auto"/>
        </w:rPr>
        <w:t>Merger Agreement</w:t>
      </w:r>
      <w:r>
        <w:rPr>
          <w:rFonts w:ascii="Arial" w:cs="Arial" w:eastAsia="Arial" w:hAnsi="Arial"/>
          <w:sz w:val="18"/>
          <w:szCs w:val="18"/>
          <w:color w:val="auto"/>
        </w:rPr>
        <w:t>”), dated as of December 20, 2020, by and among Diamondback Energy, Inc. (“</w:t>
      </w:r>
      <w:r>
        <w:rPr>
          <w:rFonts w:ascii="Arial" w:cs="Arial" w:eastAsia="Arial" w:hAnsi="Arial"/>
          <w:sz w:val="18"/>
          <w:szCs w:val="18"/>
          <w:b w:val="1"/>
          <w:bCs w:val="1"/>
          <w:color w:val="auto"/>
        </w:rPr>
        <w:t>Diamondback</w:t>
      </w:r>
      <w:r>
        <w:rPr>
          <w:rFonts w:ascii="Arial" w:cs="Arial" w:eastAsia="Arial" w:hAnsi="Arial"/>
          <w:sz w:val="18"/>
          <w:szCs w:val="18"/>
          <w:color w:val="auto"/>
        </w:rPr>
        <w:t>”), Bohemia Merger Sub Inc., a wholly owned subsidiary of Diamondback (“</w:t>
      </w:r>
      <w:r>
        <w:rPr>
          <w:rFonts w:ascii="Arial" w:cs="Arial" w:eastAsia="Arial" w:hAnsi="Arial"/>
          <w:sz w:val="18"/>
          <w:szCs w:val="18"/>
          <w:b w:val="1"/>
          <w:bCs w:val="1"/>
          <w:color w:val="auto"/>
        </w:rPr>
        <w:t>Merger Sub</w:t>
      </w:r>
      <w:r>
        <w:rPr>
          <w:rFonts w:ascii="Arial" w:cs="Arial" w:eastAsia="Arial" w:hAnsi="Arial"/>
          <w:sz w:val="18"/>
          <w:szCs w:val="18"/>
          <w:color w:val="auto"/>
        </w:rPr>
        <w:t>”), and the Company, Merger Sub merged with and into the Company (the “</w:t>
      </w:r>
      <w:r>
        <w:rPr>
          <w:rFonts w:ascii="Arial" w:cs="Arial" w:eastAsia="Arial" w:hAnsi="Arial"/>
          <w:sz w:val="18"/>
          <w:szCs w:val="18"/>
          <w:b w:val="1"/>
          <w:bCs w:val="1"/>
          <w:color w:val="auto"/>
        </w:rPr>
        <w:t>Merger</w:t>
      </w:r>
      <w:r>
        <w:rPr>
          <w:rFonts w:ascii="Arial" w:cs="Arial" w:eastAsia="Arial" w:hAnsi="Arial"/>
          <w:sz w:val="18"/>
          <w:szCs w:val="18"/>
          <w:color w:val="auto"/>
        </w:rPr>
        <w:t>”), with the Company surviving the Merger as a wholly owned subsidiary of Diamondback.</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Merger, the Company has terminated any and all offerings of the Company’s securities pursuant to the Registration Statement. Accordingly, the Company hereby terminates the effectiveness of the Registration Statement and, in accordance with an undertaking made by the Company in Part II of the Registration Statement to remove from registration, by means of a post-effective amendment, any securities that had been registered for issuance but remain unsold at the termination of the offering, removes from registration any and all securities registered but unsold under the Registration Statement.</w:t>
      </w:r>
    </w:p>
    <w:p>
      <w:pPr>
        <w:sectPr>
          <w:pgSz w:w="11900" w:h="16838" w:orient="portrait"/>
          <w:cols w:equalWidth="0" w:num="1">
            <w:col w:w="10880"/>
          </w:cols>
          <w:pgMar w:left="440" w:top="270" w:right="57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requirements of the Securities Act of 1933, the Company certifies that it has reasonable grounds to believe that it meets all of the requirements for filing on Form S-8 and has duly caused this Post-Effective Amendment to the Registration Statement to be signed on its behalf by the undersigned, thereunto duly authorized, in Oklahoma City, State of Oklahoma, on May 5, 2021.</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QEP RESOURCES,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Teresa L. Dick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Executive Vice President, Chief Accounting Officer and</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Assistant Secretary</w:t>
      </w:r>
    </w:p>
    <w:p>
      <w:pPr>
        <w:spacing w:after="0" w:line="2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Note: Pursuant to Rule 478 of the Securities Act of 1933, as amended, no other person is required to sign this Post-Effective Amendment to the Registration Statement.</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2021-05-05T05:25:55Z</dcterms:created>
  <dcterms:modified xsi:type="dcterms:W3CDTF">2021-05-05T05:25:55Z</dcterms:modified>
</cp:coreProperties>
</file>