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216535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90805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320" w:right="1780" w:hanging="4312"/>
        <w:spacing w:after="0" w:line="532"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June 30, 2012</w:t>
      </w:r>
    </w:p>
    <w:p>
      <w:pPr>
        <w:spacing w:after="0" w:line="1" w:lineRule="exact"/>
        <w:rPr>
          <w:sz w:val="24"/>
          <w:szCs w:val="24"/>
          <w:color w:val="auto"/>
        </w:rPr>
      </w:pPr>
    </w:p>
    <w:p>
      <w:pPr>
        <w:ind w:left="3860" w:right="1760" w:hanging="3852"/>
        <w:spacing w:after="0" w:line="564" w:lineRule="auto"/>
        <w:tabs>
          <w:tab w:leader="none" w:pos="48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26670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QEP RESOURCES,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980" w:type="dxa"/>
            <w:vAlign w:val="bottom"/>
          </w:tcPr>
          <w:p>
            <w:pPr>
              <w:spacing w:after="0"/>
              <w:rPr>
                <w:sz w:val="20"/>
                <w:szCs w:val="20"/>
                <w:color w:val="auto"/>
              </w:rPr>
            </w:pPr>
          </w:p>
        </w:tc>
      </w:tr>
      <w:tr>
        <w:trPr>
          <w:trHeight w:val="441"/>
        </w:trPr>
        <w:tc>
          <w:tcPr>
            <w:tcW w:w="264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STATE OF DELAWARE</w:t>
            </w:r>
          </w:p>
        </w:tc>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001-34778</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87-0287750</w:t>
            </w:r>
          </w:p>
        </w:tc>
      </w:tr>
      <w:tr>
        <w:trPr>
          <w:trHeight w:val="216"/>
        </w:trPr>
        <w:tc>
          <w:tcPr>
            <w:tcW w:w="26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64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1050 17</w:t>
            </w:r>
            <w:r>
              <w:rPr>
                <w:rFonts w:ascii="Arial" w:cs="Arial" w:eastAsia="Arial" w:hAnsi="Arial"/>
                <w:sz w:val="25"/>
                <w:szCs w:val="25"/>
                <w:b w:val="1"/>
                <w:bCs w:val="1"/>
                <w:color w:val="auto"/>
                <w:w w:val="88"/>
                <w:vertAlign w:val="superscript"/>
              </w:rPr>
              <w:t>th</w:t>
            </w:r>
            <w:r>
              <w:rPr>
                <w:rFonts w:ascii="Arial" w:cs="Arial" w:eastAsia="Arial" w:hAnsi="Arial"/>
                <w:sz w:val="18"/>
                <w:szCs w:val="18"/>
                <w:b w:val="1"/>
                <w:bCs w:val="1"/>
                <w:color w:val="auto"/>
                <w:w w:val="88"/>
              </w:rPr>
              <w:t xml:space="preserve"> Street, Suite 500, Denver, Colorado 80265</w:t>
            </w:r>
          </w:p>
        </w:tc>
        <w:tc>
          <w:tcPr>
            <w:tcW w:w="1980" w:type="dxa"/>
            <w:vAlign w:val="bottom"/>
          </w:tcPr>
          <w:p>
            <w:pPr>
              <w:spacing w:after="0"/>
              <w:rPr>
                <w:sz w:val="24"/>
                <w:szCs w:val="24"/>
                <w:color w:val="auto"/>
              </w:rPr>
            </w:pPr>
          </w:p>
        </w:tc>
      </w:tr>
      <w:tr>
        <w:trPr>
          <w:trHeight w:val="234"/>
        </w:trPr>
        <w:tc>
          <w:tcPr>
            <w:tcW w:w="2640" w:type="dxa"/>
            <w:vAlign w:val="bottom"/>
          </w:tcPr>
          <w:p>
            <w:pPr>
              <w:spacing w:after="0"/>
              <w:rPr>
                <w:sz w:val="20"/>
                <w:szCs w:val="20"/>
                <w:color w:val="auto"/>
              </w:rPr>
            </w:pPr>
          </w:p>
        </w:tc>
        <w:tc>
          <w:tcPr>
            <w:tcW w:w="48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98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238125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ind w:right="1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1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06"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4">
            <w:col w:w="1620" w:space="680"/>
            <w:col w:w="4980" w:space="720"/>
            <w:col w:w="2620" w:space="720"/>
            <w:col w:w="80"/>
          </w:cols>
          <w:pgMar w:left="240" w:top="306"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580" w:space="720"/>
            <w:col w:w="4980" w:space="720"/>
            <w:col w:w="2620" w:space="720"/>
            <w:col w:w="80"/>
          </w:cols>
          <w:pgMar w:left="240" w:top="306"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3">
            <w:col w:w="8180" w:space="180"/>
            <w:col w:w="440" w:space="180"/>
            <w:col w:w="2440"/>
          </w:cols>
          <w:pgMar w:left="240" w:top="306"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At June 30, 2012, there were 177,769,238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80" w:type="dxa"/>
            <w:vAlign w:val="bottom"/>
            <w:gridSpan w:val="2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1.</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INCOME FOR THE THREE AND SIX</w:t>
              </w:r>
            </w:hyperlink>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0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MONTHS ENDED JUNE 30, 2012 AND 2011</w:t>
              </w:r>
            </w:hyperlink>
          </w:p>
        </w:tc>
        <w:tc>
          <w:tcPr>
            <w:tcW w:w="680" w:type="dxa"/>
            <w:vAlign w:val="bottom"/>
            <w:tcBorders>
              <w:top w:val="single" w:sz="8" w:color="CCEEFF"/>
            </w:tcBorders>
            <w:gridSpan w:val="5"/>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COMPREHENSIVE INCOME FOR THE</w:t>
              </w:r>
            </w:hyperlink>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16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30, 2012 AND 2011</w:t>
              </w:r>
            </w:hyperlink>
          </w:p>
        </w:tc>
        <w:tc>
          <w:tcPr>
            <w:tcW w:w="520" w:type="dxa"/>
            <w:vAlign w:val="bottom"/>
            <w:tcBorders>
              <w:top w:val="single" w:sz="8" w:color="CCEEFF"/>
            </w:tcBorders>
            <w:gridSpan w:val="4"/>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680" w:type="dxa"/>
            <w:vAlign w:val="bottom"/>
            <w:gridSpan w:val="22"/>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CONSOLIDATED BALANCE SHEETS AT JUNE 30, 2012 AND DECEMBER 31,</w:t>
              </w:r>
            </w:hyperlink>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2011</w:t>
              </w:r>
            </w:hyperlink>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38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CASH FLOWS FOR THE SIX MONTHS</w:t>
              </w:r>
            </w:hyperlink>
          </w:p>
        </w:tc>
        <w:tc>
          <w:tcPr>
            <w:tcW w:w="500" w:type="dxa"/>
            <w:vAlign w:val="bottom"/>
            <w:tcBorders>
              <w:bottom w:val="single" w:sz="8" w:color="CCEEFF"/>
            </w:tcBorders>
            <w:gridSpan w:val="3"/>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80" w:type="dxa"/>
            <w:vAlign w:val="bottom"/>
            <w:gridSpan w:val="2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JUNE 30, 2012 AND 2011</w:t>
              </w:r>
            </w:hyperlink>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ACCOMPANYING THE CONDENSED CONSOLIDATED FINANCIAL STATEMENTS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bottom w:val="single" w:sz="8" w:color="CCEEFF"/>
            </w:tcBorders>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MANAGEMENT’S DISCUSSION AND ANALYSIS OF FINANCIAL CONDITION AND RESULTS OF</w:t>
              </w:r>
            </w:hyperlink>
          </w:p>
        </w:tc>
        <w:tc>
          <w:tcPr>
            <w:tcW w:w="900" w:type="dxa"/>
            <w:vAlign w:val="bottom"/>
            <w:tcBorders>
              <w:bottom w:val="single" w:sz="8" w:color="CCEEFF"/>
            </w:tcBorders>
            <w:gridSpan w:val="6"/>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80" w:type="dxa"/>
            <w:vAlign w:val="bottom"/>
            <w:gridSpan w:val="22"/>
            <w:shd w:val="clear" w:color="auto" w:fill="CCEEFF"/>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OPERATIONS</w:t>
              </w:r>
            </w:hyperlink>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3.</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4.</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4"/>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PART II. OTHER INFORMATION</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1.</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1A.</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2.</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3.</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4.</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5.</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ITEM 6.</w:t>
            </w:r>
          </w:p>
        </w:tc>
        <w:tc>
          <w:tcPr>
            <w:tcW w:w="8680" w:type="dxa"/>
            <w:vAlign w:val="bottom"/>
            <w:gridSpan w:val="2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gridSpan w:val="2"/>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gridSpan w:val="13"/>
          </w:tcPr>
          <w:p>
            <w:pPr>
              <w:ind w:left="3960"/>
              <w:spacing w:after="0"/>
              <w:rPr>
                <w:sz w:val="20"/>
                <w:szCs w:val="20"/>
                <w:color w:val="auto"/>
              </w:rPr>
            </w:pPr>
            <w:r>
              <w:rPr>
                <w:rFonts w:ascii="Arial" w:cs="Arial" w:eastAsia="Arial" w:hAnsi="Arial"/>
                <w:sz w:val="14"/>
                <w:szCs w:val="14"/>
                <w:color w:val="auto"/>
              </w:rPr>
              <w:t>1</w:t>
            </w:r>
          </w:p>
        </w:tc>
        <w:tc>
          <w:tcPr>
            <w:tcW w:w="1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INCOME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4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w w:val="89"/>
              </w:rPr>
              <w:t>(in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0"/>
              </w:rPr>
              <w:t>millions, except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w w:val="84"/>
              </w:rPr>
              <w:t>per share amounts)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00" w:type="dxa"/>
            <w:vAlign w:val="bottom"/>
            <w:gridSpan w:val="2"/>
            <w:vMerge w:val="continue"/>
          </w:tcPr>
          <w:p>
            <w:pPr>
              <w:spacing w:after="0"/>
              <w:rPr>
                <w:sz w:val="17"/>
                <w:szCs w:val="17"/>
                <w:color w:val="auto"/>
              </w:rPr>
            </w:pPr>
          </w:p>
        </w:tc>
        <w:tc>
          <w:tcPr>
            <w:tcW w:w="4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138.9</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107.2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80.7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63.8</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sales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309.3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ind w:left="320"/>
              <w:spacing w:after="0"/>
              <w:rPr>
                <w:sz w:val="20"/>
                <w:szCs w:val="20"/>
                <w:color w:val="auto"/>
              </w:rPr>
            </w:pPr>
            <w:r>
              <w:rPr>
                <w:rFonts w:ascii="Arial" w:cs="Arial" w:eastAsia="Arial" w:hAnsi="Arial"/>
                <w:sz w:val="18"/>
                <w:szCs w:val="18"/>
                <w:color w:val="auto"/>
              </w:rPr>
              <w:t>Total Revenues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1,102.5</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Purchased gas, oil and NGL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124.9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303.9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Natural gas, oil and NGL transportation and other handling costs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75.2</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Gathering, processing and other</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186.6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413.3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Exploration expenses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Abandonment and impairment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Net gain from asset sales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(LOSS) INCOME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168.9</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Realized and unrealized gains on derivative contracts (See Note 6)</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298.6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(loss)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early extinguishment of debt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(52.9)</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98"/>
              </w:rPr>
              <w:t>Income taxes</w:t>
            </w: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(88.8)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(LOSS) INCOME ATTRIBUTABLE TO QEP</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Borders>
              <w:top w:val="single" w:sz="8" w:color="CCEEFF"/>
            </w:tcBorders>
            <w:gridSpan w:val="2"/>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rPr>
              <w:t>Basic total</w:t>
            </w:r>
          </w:p>
        </w:tc>
        <w:tc>
          <w:tcPr>
            <w:tcW w:w="44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0.52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0.87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Diluted total</w:t>
            </w:r>
          </w:p>
        </w:tc>
        <w:tc>
          <w:tcPr>
            <w:tcW w:w="4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0.87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20"/>
              <w:spacing w:after="0"/>
              <w:rPr>
                <w:sz w:val="20"/>
                <w:szCs w:val="20"/>
                <w:color w:val="auto"/>
              </w:rPr>
            </w:pPr>
            <w:r>
              <w:rPr>
                <w:rFonts w:ascii="Arial" w:cs="Arial" w:eastAsia="Arial" w:hAnsi="Arial"/>
                <w:sz w:val="18"/>
                <w:szCs w:val="18"/>
                <w:color w:val="auto"/>
              </w:rPr>
              <w:t>Used in basic calculation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177.7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176.6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Used in diluted calculation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178.6</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0.02</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0.02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(in</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156.2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(44.7)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Pension and other postretirement plans adjustments: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20"/>
              <w:spacing w:after="0" w:line="216"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20"/>
              <w:spacing w:after="0" w:line="216"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pension and other postretirement plans adjustments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(43.8)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(43.6)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 QEP</w:t>
            </w:r>
          </w:p>
        </w:tc>
        <w:tc>
          <w:tcPr>
            <w:tcW w:w="15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(44.5)</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92.0</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240" w:hanging="322"/>
        <w:spacing w:after="0" w:line="227" w:lineRule="auto"/>
        <w:tabs>
          <w:tab w:leader="none" w:pos="5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$26.5 million and $54.3 million during the three and six months ended June 30, 2012, respectively, and net of income tax benefit of $1.5 million and $29.8 million during the three and six months ended June 30, 2011, respectively.</w:t>
      </w:r>
    </w:p>
    <w:p>
      <w:pPr>
        <w:ind w:left="500" w:hanging="322"/>
        <w:spacing w:after="0" w:line="180"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and $0.2 million during the three and six months ended June 30, 2012, respectively,.</w:t>
      </w:r>
    </w:p>
    <w:p>
      <w:pPr>
        <w:spacing w:after="0" w:line="2" w:lineRule="exact"/>
        <w:rPr>
          <w:rFonts w:ascii="Arial" w:cs="Arial" w:eastAsia="Arial" w:hAnsi="Arial"/>
          <w:sz w:val="25"/>
          <w:szCs w:val="25"/>
          <w:color w:val="auto"/>
          <w:vertAlign w:val="superscript"/>
        </w:rPr>
      </w:pPr>
    </w:p>
    <w:p>
      <w:pPr>
        <w:ind w:left="500" w:right="340" w:hanging="322"/>
        <w:spacing w:after="0" w:line="208"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$0.5 million and $1.1 million during the three and six months ended June 30, 2012, respectively, and net of income tax expense of $1.1 million during the three and six months ended June 30, 2011,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146.4</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236.9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Inventories, at lower of average cost or market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Gas, oil and NGL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Materials and supplies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90.0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795.6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Proved properties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8,822.3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Unproved properties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Midstream field services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1,550.1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Marketing and other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10,731.4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Exploration and production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3,763.7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Midstream field services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Marketing and other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Accumulated Depreciation, Depletion and Amortization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4,107.8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6,623.6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7,637.6</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Checks outstanding in excess of cash balances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373.8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Production and property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1,866.6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172.2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129.8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 par value $0.01 per share; 500.0 million shares authorized; 178.5 million and 177.2 million shares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Treasury stock - 0.7 million and 0.4 million shares, respectively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2,820.7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Total Common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3,367.0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32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3,416.2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EQUITY</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7,637.6</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114" w:right="239" w:bottom="1101"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10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OPERATING ACTIVITIES</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156.2</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77.1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Abandonment and impairment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discounts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Dry exploratory well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from asset sales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Income from unconsolidated affiliates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Distributions from unconsolidated affiliates and other</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Non-cash loss on early extinguishment of debt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 on derivative contracts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INVESTING ACTIVITIES</w:t>
            </w:r>
          </w:p>
        </w:tc>
        <w:tc>
          <w:tcPr>
            <w:tcW w:w="1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acquisitions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disposition of assets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Checks outstanding in excess of cash balances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issued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debt issuance costs paid</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repaid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Proceeds from credit facility</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194.5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credit facility</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capital contributions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Excess tax benefit on share-based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from Questar</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Distribution to noncontrolling interest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146.4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Ending cash and cash equivalents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146.4</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Supplemental Disclosures: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42.7</w:t>
            </w:r>
          </w:p>
        </w:tc>
        <w:tc>
          <w:tcPr>
            <w:tcW w:w="4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paid (received) for income taxes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Change in capital expenditure accrual balance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45.3</w:t>
            </w:r>
          </w:p>
        </w:tc>
        <w:tc>
          <w:tcPr>
            <w:tcW w:w="440" w:type="dxa"/>
            <w:vAlign w:val="bottom"/>
            <w:gridSpan w:val="2"/>
          </w:tcPr>
          <w:p>
            <w:pPr>
              <w:jc w:val="center"/>
              <w:ind w:righ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 natural gas and crude oil exploration and production; midstream field services; and energy marketing. These businesses are conducted through the Company’s three principal subsidiaries:</w:t>
      </w:r>
    </w:p>
    <w:p>
      <w:pPr>
        <w:spacing w:after="0" w:line="17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5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 and</w:t>
      </w:r>
    </w:p>
    <w:p>
      <w:pPr>
        <w:spacing w:after="0" w:line="197"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gas-storage reservoir.</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Operations are focused in two major regions, the Northern Region (primarily in the Rockies) and the Southern Region (primarily Oklahoma, Louisiana, and the Texas Panhandle) of the United States. QEP’s corporate headquarters are located in Denver, Colorado.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Shares of QEP Resources’ common stock trade on the New York Stock Exchange under the ticker symbol “QEP”.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2011.</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2012, are not necessarily indicative of the results that may be expected for the year ending December 31,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De-designation of commodity derivative contracts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2012, QEP elected to discontinue hedge accounting prospectively for all of its derivative instruments. Accordingly, all realized and unrealized gains and losses will be recognized in earnings immediately each quarter as derivative contracts are settled and marked-to-market. For the three and six months ended June 30, 2012, unrealized losses of $38.4 million and unrealized gains of $89.9 million were included in income that, prior to January 1, 2012, would have been deferred in Accumulated Other Comprehensive Income (AOCI) under hedge accounting. Refer to Note 6 – Derivative Contracts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and other handling costs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fourth quarter of 2011, QEP revised its reporting of transportation and handling costs to reflect revenues in accordance with industry practice and GAAP. Transportation and handling costs, previously netted against revenues, were recast on the Condensed Consolidated Statement of Income from “Revenues” to “Natural gas, oil and NGL transportation and other handling costs” for prior periods presented. The impact of this revision was immaterial to the accompanying financial statements and had no effect on income from continuing operations, net income, or earnings per share.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impact for the three and six months ended June 30, 2011, on the Condensed Consolidated Statement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gridSpan w:val="9"/>
          </w:tcPr>
          <w:p>
            <w:pPr>
              <w:jc w:val="center"/>
              <w:ind w:right="520"/>
              <w:spacing w:after="0"/>
              <w:rPr>
                <w:sz w:val="20"/>
                <w:szCs w:val="20"/>
                <w:color w:val="auto"/>
              </w:rPr>
            </w:pPr>
            <w:r>
              <w:rPr>
                <w:rFonts w:ascii="Arial" w:cs="Arial" w:eastAsia="Arial" w:hAnsi="Arial"/>
                <w:sz w:val="18"/>
                <w:szCs w:val="18"/>
                <w:color w:val="auto"/>
                <w:w w:val="89"/>
              </w:rPr>
              <w:t>Three Months Ended June 30, 2011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40" w:type="dxa"/>
            <w:vAlign w:val="bottom"/>
            <w:gridSpan w:val="9"/>
          </w:tcPr>
          <w:p>
            <w:pPr>
              <w:jc w:val="center"/>
              <w:ind w:right="520"/>
              <w:spacing w:after="0"/>
              <w:rPr>
                <w:sz w:val="20"/>
                <w:szCs w:val="20"/>
                <w:color w:val="auto"/>
              </w:rPr>
            </w:pPr>
            <w:r>
              <w:rPr>
                <w:rFonts w:ascii="Arial" w:cs="Arial" w:eastAsia="Arial" w:hAnsi="Arial"/>
                <w:sz w:val="18"/>
                <w:szCs w:val="18"/>
                <w:color w:val="auto"/>
                <w:w w:val="89"/>
              </w:rPr>
              <w:t>Six Months Ended June 30, 2011</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280" w:type="dxa"/>
            <w:vAlign w:val="bottom"/>
            <w:tcBorders>
              <w:top w:val="single" w:sz="8" w:color="auto"/>
            </w:tcBorders>
            <w:gridSpan w:val="3"/>
          </w:tcPr>
          <w:p>
            <w:pPr>
              <w:ind w:left="60"/>
              <w:spacing w:after="0" w:line="216" w:lineRule="exact"/>
              <w:rPr>
                <w:sz w:val="20"/>
                <w:szCs w:val="20"/>
                <w:color w:val="auto"/>
              </w:rPr>
            </w:pPr>
            <w:r>
              <w:rPr>
                <w:rFonts w:ascii="Arial" w:cs="Arial" w:eastAsia="Arial" w:hAnsi="Arial"/>
                <w:sz w:val="18"/>
                <w:szCs w:val="18"/>
                <w:color w:val="auto"/>
              </w:rPr>
              <w:t xml:space="preserve">As reported </w:t>
            </w:r>
            <w:r>
              <w:rPr>
                <w:rFonts w:ascii="Arial" w:cs="Arial" w:eastAsia="Arial" w:hAnsi="Arial"/>
                <w:sz w:val="25"/>
                <w:szCs w:val="25"/>
                <w:color w:val="auto"/>
                <w:vertAlign w:val="superscript"/>
              </w:rPr>
              <w:t>(1)</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0"/>
              </w:rPr>
              <w:t>As revised</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gridSpan w:val="3"/>
          </w:tcPr>
          <w:p>
            <w:pPr>
              <w:ind w:left="40"/>
              <w:spacing w:after="0" w:line="216" w:lineRule="exact"/>
              <w:rPr>
                <w:sz w:val="20"/>
                <w:szCs w:val="20"/>
                <w:color w:val="auto"/>
              </w:rPr>
            </w:pPr>
            <w:r>
              <w:rPr>
                <w:rFonts w:ascii="Arial" w:cs="Arial" w:eastAsia="Arial" w:hAnsi="Arial"/>
                <w:sz w:val="18"/>
                <w:szCs w:val="18"/>
                <w:color w:val="auto"/>
              </w:rPr>
              <w:t xml:space="preserve">As reported </w:t>
            </w:r>
            <w:r>
              <w:rPr>
                <w:rFonts w:ascii="Arial" w:cs="Arial" w:eastAsia="Arial" w:hAnsi="Arial"/>
                <w:sz w:val="25"/>
                <w:szCs w:val="25"/>
                <w:color w:val="auto"/>
                <w:vertAlign w:val="superscript"/>
              </w:rPr>
              <w:t>(1)</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As revised</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380" w:type="dxa"/>
            <w:vAlign w:val="bottom"/>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Natural gas, oil and NGL transportation</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and other handling costs</w:t>
            </w:r>
          </w:p>
        </w:tc>
        <w:tc>
          <w:tcPr>
            <w:tcW w:w="3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60" w:hanging="332"/>
        <w:spacing w:after="0" w:line="250" w:lineRule="auto"/>
        <w:tabs>
          <w:tab w:leader="none" w:pos="34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The “As reported” numbers reflect QEP Field Services NGL sales of $45.1 million and $73.7 million for the three and six months ended June 30, 2011, which were reclassified from “Gathering, processing and other” into “NGL sales” for consistency with current period presentation. In its second quarter 2011 Form 10-Q, QEP reported “NGL sales” of $16.5 million and $33.7 million, and “Gathering, processing and other” of $123.5 million and $221.4 million for the three and six months ended June 30, 2011, respectively. The QEP Field Services NGL reclassification is all within “Revenues” and has no effect on income from continuing operations, net income or earnings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Proved gas and oil properties are evaluated on a field-by-field basis for potential impairment. Other properties are evaluated on a specific-asset basis or in groups of similar assets, as applicable. Impairment is indicated when a triggering event occurs and/or the sum of the estimated undiscounted future net cash flows of an evaluated asset is less than the asset’s carrying value. Triggering events could include, but are not limited to, an impairment of gas and oil reserves caused by mechanical problems, faster-than-expected decline of reserves, lease-ownership issues, other-than-temporary decline in natural gas, NGL and crude oil prices and changes in the utilization of midstream gathering and processing assets. If impairment is indicated, fair value is calculated using a discounted-cash flow approach. Cash flow estimates require forecasts and assumptions for many years into the future for a variety of factors, including commodity prices, operating costs, and estimates of probable and possible reserves. Cash flow estimates relating to future cash flows from probable and possible reserves are reduced by additional risk-weighting factors. During the three and six months ended June 30, 2012, QEP Energy recorded non-cash, price-related impairment charges of $48.9 million and $49.3 million, respectively, on some of its proved properties. The impairment charges are related to the reduced value of certain fields resulting from lower natural gas, crude oil and NGL prices. The assets were written down to their estimated fair values. Of the $49.3 million impairment charge during the six months ended June 30, 2012, $48.9 million is related to proved properties in the Southern Region and $0.4 million is related to proved properties in the Northern Region.</w:t>
      </w:r>
    </w:p>
    <w:p>
      <w:pPr>
        <w:spacing w:after="0" w:line="20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also performs periodic assessments of unproved gas and oil properties for impairment and recognizes a loss at the time of impairment. In determining whether an unproved property is impaired the Company considers numerous factors including current development and exploration plans, results of development or exploration activity on adjacent leaseholds, technical personnel evaluations of the properties, and the remaining lease term. During the three and six months ended June 30, 2012, QEP recorded non-cash impairment charges of $6.1 million and $12.1 million, respectively, on some of its unproved properties relating to the various factors described. Of the $6.1 million and $12.1 million impairment charges during the three and six months ended June 30, 2012, $3.1 million and $6.1 million, respectively, related to unproved properties in the Southern Region and $3.0 million and $6.0 million, respectively, related to unproved properties in the Northern Region.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NGL and crude oil prices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which have allowed producers to extract increased quantities of natural gas from shale, tight sand formations, and other unconventional reservoirs. Increased natural gas and NGL drilling and supplies have resulted in downward pressure on natural gas and NGL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costs of goods and services required to drill and complete wells, and may impact the carrying value of its oil and natural gas properties.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May of 2011, the FASB issued ASU 2011-04, which develops common measurement and disclosure requirements regarding an entity’s fair value measurements and aligns GAAP and International Financial Reporting Standards. The amendments are required for interim and annual reporting periods beginning after December 15, 2011. The adoption of these requirements did not have a material impact on the financial statements of QEP.</w:t>
      </w:r>
    </w:p>
    <w:p>
      <w:pPr>
        <w:spacing w:after="0" w:line="17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June of 2011, the FASB issued ASU 2011-05, which revises the manner in which entities are able to present the components of comprehensive income in their financial statements. The new guidance requires entities to report the components of comprehensive income in either (1) a continuous statement of comprehensive income or (2) two separate but consecutive statements. However, this ASU does not change the items that are reported in other comprehensive income. The amendments are effective for reporting periods (including interim periods) beginning after December 15, 2011. The adoption of this ASU required minor disclosure changes to QEP’s financial statements and footnotes.</w:t>
      </w:r>
    </w:p>
    <w:p>
      <w:pPr>
        <w:spacing w:after="0" w:line="20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of 2011, the FASB issued ASU 2011-11,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The amendments are required for annual reporting periods beginning after January 1, 2013, and interim periods within those annual periods. QEP is evaluating the impact of this ASU on its disclosure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5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months ended June 30, 2012, 0.9 million shares were not included in diluted common shares outstanding as they were anti-dilutive due to QEP’s net loss. There were no anti-dilutive shares during the six months ended June 30, 2012 and during the three and six months ended June 30,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10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2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2"/>
          </w:tcPr>
          <w:p>
            <w:pPr>
              <w:spacing w:after="0"/>
              <w:rPr>
                <w:sz w:val="20"/>
                <w:szCs w:val="20"/>
                <w:color w:val="auto"/>
              </w:rPr>
            </w:pPr>
            <w:r>
              <w:rPr>
                <w:rFonts w:ascii="Arial" w:cs="Arial" w:eastAsia="Arial" w:hAnsi="Arial"/>
                <w:sz w:val="18"/>
                <w:szCs w:val="18"/>
                <w:color w:val="auto"/>
                <w:w w:val="81"/>
              </w:rPr>
              <w:t>millions)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basic common shares outstanding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177.7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176.6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Potential number of shares issuable upon excerise of in-the-money stock</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options under the Long-term Stock Incentive Plan</w:t>
            </w:r>
          </w:p>
        </w:tc>
        <w:tc>
          <w:tcPr>
            <w:tcW w:w="11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common shares outstanding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177.7</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178.5</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 Retirement Obligations</w:t>
      </w: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changes in the asset retirement obligation from January 1, 2012 and 2011 to June 30, 2012 and 2011, respectively:</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Asset Retirement Obligations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1"/>
              </w:rPr>
              <w:t>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ARO liability at January 1,</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Accretion</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incurred</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Liabilities settled</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ARO liability at June 30,</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172.2</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2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QEP has determined its commodity derivative instruments are Level 2. The Level 2 fair value of commodity derivative contracts (see Note 6 - Derivative Contracts) is based on market prices posted on the NYMEX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However, certain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QEP has Level 2 interest rate swaps.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2012 and December 31, 2011, the Company did not have assets or liabilities classified as Level 1 or Level 3 within the fair value hierarchy.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June 30, 2012 is shown in the table below:</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1"/>
              </w:rPr>
              <w:t>Fair Value Measurements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2012</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87"/>
              </w:rPr>
              <w:t>Netting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Level 3</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060" w:type="dxa"/>
            <w:vAlign w:val="bottom"/>
            <w:gridSpan w:val="2"/>
          </w:tcPr>
          <w:p>
            <w:pPr>
              <w:jc w:val="center"/>
              <w:ind w:right="430"/>
              <w:spacing w:after="0"/>
              <w:rPr>
                <w:sz w:val="20"/>
                <w:szCs w:val="20"/>
                <w:color w:val="auto"/>
              </w:rPr>
            </w:pPr>
            <w:r>
              <w:rPr>
                <w:rFonts w:ascii="Arial" w:cs="Arial" w:eastAsia="Arial" w:hAnsi="Arial"/>
                <w:sz w:val="18"/>
                <w:szCs w:val="18"/>
                <w:color w:val="auto"/>
                <w:w w:val="81"/>
              </w:rPr>
              <w:t>millions)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Commodity derivative instruments - short-term</w:t>
            </w:r>
          </w:p>
        </w:tc>
        <w:tc>
          <w:tcPr>
            <w:tcW w:w="9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272.2</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center"/>
              <w:ind w:right="4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(4.0)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Commodity derivative instruments - long-term</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financial assets</w:t>
            </w:r>
          </w:p>
        </w:tc>
        <w:tc>
          <w:tcPr>
            <w:tcW w:w="9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349.7</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center"/>
              <w:ind w:right="4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(5.3)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5"/>
              </w:rPr>
              <w:t>Commodity derivative instruments - short-term</w:t>
            </w:r>
          </w:p>
        </w:tc>
        <w:tc>
          <w:tcPr>
            <w:tcW w:w="9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(4.0)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 short-term</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Commodity derivative instruments - long-term</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 - long-term</w:t>
            </w:r>
          </w:p>
        </w:tc>
        <w:tc>
          <w:tcPr>
            <w:tcW w:w="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Total financial liabilities</w:t>
            </w:r>
          </w:p>
        </w:tc>
        <w:tc>
          <w:tcPr>
            <w:tcW w:w="9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(5.3)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Fair values related to the Company’s crude oil costless collars were transferred from Level 3 to Level 2 in the second quarter of 2012, due to the enhancements to the Company’s internal valuation process, including the use of observable inputs to assess the fair value. There were no other significant transfers in or out of Levels 1, 2 or 3 for the periods presented herein. The Company’s policy is to recognize transfers in and/or out of fair value hierarchy levels as of the end of the quarterly reporting period in which the event or change in circumstances causing the transfer occurred.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fair value of Level 3 commodity derivative instruments assets and liabilities for the six months ended June 30, 2012, is shown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8"/>
          </w:tcPr>
          <w:p>
            <w:pPr>
              <w:jc w:val="center"/>
              <w:ind w:right="720"/>
              <w:spacing w:after="0"/>
              <w:rPr>
                <w:sz w:val="20"/>
                <w:szCs w:val="20"/>
                <w:color w:val="auto"/>
              </w:rPr>
            </w:pPr>
            <w:r>
              <w:rPr>
                <w:rFonts w:ascii="Arial" w:cs="Arial" w:eastAsia="Arial" w:hAnsi="Arial"/>
                <w:sz w:val="18"/>
                <w:szCs w:val="18"/>
                <w:color w:val="auto"/>
                <w:w w:val="91"/>
              </w:rPr>
              <w:t>Change in Level 3 Fair</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8"/>
          </w:tcPr>
          <w:p>
            <w:pPr>
              <w:jc w:val="center"/>
              <w:ind w:right="700"/>
              <w:spacing w:after="0"/>
              <w:rPr>
                <w:sz w:val="20"/>
                <w:szCs w:val="20"/>
                <w:color w:val="auto"/>
              </w:rPr>
            </w:pPr>
            <w:r>
              <w:rPr>
                <w:rFonts w:ascii="Arial" w:cs="Arial" w:eastAsia="Arial" w:hAnsi="Arial"/>
                <w:sz w:val="18"/>
                <w:szCs w:val="18"/>
                <w:color w:val="auto"/>
                <w:w w:val="89"/>
              </w:rPr>
              <w:t>Value Measurements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center"/>
              <w:ind w:left="552"/>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center"/>
              <w:ind w:left="272"/>
              <w:spacing w:after="0"/>
              <w:rPr>
                <w:sz w:val="20"/>
                <w:szCs w:val="20"/>
                <w:color w:val="auto"/>
              </w:rPr>
            </w:pPr>
            <w:r>
              <w:rPr>
                <w:rFonts w:ascii="Arial" w:cs="Arial" w:eastAsia="Arial" w:hAnsi="Arial"/>
                <w:sz w:val="18"/>
                <w:szCs w:val="18"/>
                <w:color w:val="auto"/>
                <w:w w:val="96"/>
              </w:rPr>
              <w:t>(in millions)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ind w:right="812"/>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Realized gains and losses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and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Balance at June 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812"/>
              <w:spacing w:after="0"/>
              <w:rPr>
                <w:sz w:val="20"/>
                <w:szCs w:val="20"/>
                <w:color w:val="auto"/>
              </w:rPr>
            </w:pPr>
            <w:r>
              <w:rPr>
                <w:rFonts w:ascii="Arial" w:cs="Arial" w:eastAsia="Arial" w:hAnsi="Arial"/>
                <w:sz w:val="15"/>
                <w:szCs w:val="15"/>
                <w:b w:val="1"/>
                <w:bCs w:val="1"/>
                <w:color w:val="auto"/>
                <w:w w:val="71"/>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120" w:type="dxa"/>
            <w:vAlign w:val="bottom"/>
            <w:gridSpan w:val="11"/>
            <w:vMerge w:val="restart"/>
          </w:tcPr>
          <w:p>
            <w:pPr>
              <w:jc w:val="right"/>
              <w:ind w:right="60"/>
              <w:spacing w:after="0"/>
              <w:rPr>
                <w:sz w:val="20"/>
                <w:szCs w:val="20"/>
                <w:color w:val="auto"/>
              </w:rPr>
            </w:pPr>
            <w:r>
              <w:rPr>
                <w:rFonts w:ascii="Arial" w:cs="Arial" w:eastAsia="Arial" w:hAnsi="Arial"/>
                <w:sz w:val="18"/>
                <w:szCs w:val="18"/>
                <w:color w:val="auto"/>
                <w:w w:val="91"/>
              </w:rPr>
              <w:t>The fair value of financial assets and liabilities at December 31, 2011 is shown in the table below:</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120" w:type="dxa"/>
            <w:vAlign w:val="bottom"/>
            <w:gridSpan w:val="11"/>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9"/>
          </w:tcPr>
          <w:p>
            <w:pPr>
              <w:jc w:val="center"/>
              <w:ind w:right="260"/>
              <w:spacing w:after="0"/>
              <w:rPr>
                <w:sz w:val="20"/>
                <w:szCs w:val="20"/>
                <w:color w:val="auto"/>
              </w:rPr>
            </w:pPr>
            <w:r>
              <w:rPr>
                <w:rFonts w:ascii="Arial" w:cs="Arial" w:eastAsia="Arial" w:hAnsi="Arial"/>
                <w:sz w:val="18"/>
                <w:szCs w:val="18"/>
                <w:color w:val="auto"/>
                <w:w w:val="89"/>
              </w:rPr>
              <w:t>Fair Value Measurements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2011</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Netting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4"/>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gridSpan w:val="3"/>
            <w:vMerge w:val="restart"/>
          </w:tcPr>
          <w:p>
            <w:pPr>
              <w:ind w:left="580"/>
              <w:spacing w:after="0"/>
              <w:rPr>
                <w:sz w:val="20"/>
                <w:szCs w:val="20"/>
                <w:color w:val="auto"/>
              </w:rPr>
            </w:pPr>
            <w:r>
              <w:rPr>
                <w:rFonts w:ascii="Arial" w:cs="Arial" w:eastAsia="Arial" w:hAnsi="Arial"/>
                <w:sz w:val="18"/>
                <w:szCs w:val="18"/>
                <w:b w:val="1"/>
                <w:bCs w:val="1"/>
                <w:i w:val="1"/>
                <w:iCs w:val="1"/>
                <w:color w:val="auto"/>
              </w:rPr>
              <w:t>Financial Assets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center"/>
              <w:ind w:right="732"/>
              <w:spacing w:after="0"/>
              <w:rPr>
                <w:sz w:val="20"/>
                <w:szCs w:val="20"/>
                <w:color w:val="auto"/>
              </w:rPr>
            </w:pPr>
            <w:r>
              <w:rPr>
                <w:rFonts w:ascii="Arial" w:cs="Arial" w:eastAsia="Arial" w:hAnsi="Arial"/>
                <w:sz w:val="18"/>
                <w:szCs w:val="18"/>
                <w:color w:val="auto"/>
                <w:w w:val="81"/>
              </w:rPr>
              <w:t>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Commodity derivative instruments - short-term</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5"/>
              </w:rPr>
              <w:t>Commodity derivative instruments - long-term</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financial assets</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2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4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w w:val="93"/>
              </w:rPr>
              <w:t>Commodity derivative instruments - short-term</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Commodity derivative instruments - long-term</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right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Total financial liabilities</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792"/>
              <w:spacing w:after="0"/>
              <w:rPr>
                <w:sz w:val="20"/>
                <w:szCs w:val="20"/>
                <w:color w:val="auto"/>
              </w:rPr>
            </w:pPr>
            <w:r>
              <w:rPr>
                <w:rFonts w:ascii="Arial" w:cs="Arial" w:eastAsia="Arial" w:hAnsi="Arial"/>
                <w:sz w:val="14"/>
                <w:szCs w:val="14"/>
                <w:color w:val="auto"/>
                <w:w w:val="89"/>
              </w:rPr>
              <w:t>10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Carrying</w:t>
            </w:r>
          </w:p>
        </w:tc>
        <w:tc>
          <w:tcPr>
            <w:tcW w:w="2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Carrying</w:t>
            </w: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 2012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40" w:type="dxa"/>
            <w:vAlign w:val="bottom"/>
            <w:gridSpan w:val="3"/>
          </w:tcPr>
          <w:p>
            <w:pPr>
              <w:jc w:val="center"/>
              <w:ind w:right="830"/>
              <w:spacing w:after="0"/>
              <w:rPr>
                <w:sz w:val="20"/>
                <w:szCs w:val="20"/>
                <w:color w:val="auto"/>
              </w:rPr>
            </w:pPr>
            <w:r>
              <w:rPr>
                <w:rFonts w:ascii="Arial" w:cs="Arial" w:eastAsia="Arial" w:hAnsi="Arial"/>
                <w:sz w:val="18"/>
                <w:szCs w:val="18"/>
                <w:color w:val="auto"/>
                <w:w w:val="78"/>
              </w:rPr>
              <w:t>millions)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146.4</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Checks outstanding in excess of cash balances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Long-term debt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1,866.6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1,967.2</w:t>
            </w:r>
          </w:p>
        </w:tc>
        <w:tc>
          <w:tcPr>
            <w:tcW w:w="200" w:type="dxa"/>
            <w:vAlign w:val="bottom"/>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1,754.9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carrying amounts of cash,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w:t>
      </w:r>
    </w:p>
    <w:p>
      <w:pPr>
        <w:spacing w:after="0" w:line="20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initial measurement of asset retirement obligations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asset retirement obligations is presented in Note 4 – Asset Retirement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5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provisions of the fair value measurement standard are also applied to the Company’s nonrecurring, non-financial measurements. The Company utilizes fair value on a non-recurring basis to review its proved oil and gas properties for potential impairment when events and circumstances indicate a possible decline in the recoverability of the carrying value of such property. During the first half of 2012 and through the period ended December 31, 2011, the Company recorded impairments on certain oil &amp; gas property resulting in a write down of the associated carrying value to fair value. The fair value of the property was measured utilizing the income approach and utilizing inputs which are primarily based upon internally developed cash flow models. Given the unobservable nature of the inputs, proved oil and gas property impairments would be considered Level 3 within the fair value hierarchy.</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the non-financial assets and liabilities measured at fair value on a nonrecurring basis in periods subsequent to their initial recognition and their associated impairment: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Level 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2"/>
              </w:rPr>
              <w:t>Level 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0"/>
              </w:rPr>
              <w:t>Fair Value</w:t>
            </w:r>
          </w:p>
        </w:tc>
        <w:tc>
          <w:tcPr>
            <w:tcW w:w="24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Impairment</w:t>
            </w:r>
          </w:p>
        </w:tc>
      </w:tr>
      <w:tr>
        <w:trPr>
          <w:trHeight w:val="223"/>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 2012</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440" w:type="dxa"/>
            <w:vAlign w:val="bottom"/>
            <w:gridSpan w:val="3"/>
          </w:tcPr>
          <w:p>
            <w:pPr>
              <w:jc w:val="center"/>
              <w:ind w:right="830"/>
              <w:spacing w:after="0"/>
              <w:rPr>
                <w:sz w:val="20"/>
                <w:szCs w:val="20"/>
                <w:color w:val="auto"/>
              </w:rPr>
            </w:pPr>
            <w:r>
              <w:rPr>
                <w:rFonts w:ascii="Arial" w:cs="Arial" w:eastAsia="Arial" w:hAnsi="Arial"/>
                <w:sz w:val="18"/>
                <w:szCs w:val="18"/>
                <w:color w:val="auto"/>
                <w:w w:val="78"/>
              </w:rPr>
              <w:t>millions)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Proved Property</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5,058.6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Contracts</w:t>
      </w:r>
    </w:p>
    <w:p>
      <w:pPr>
        <w:spacing w:after="0" w:line="25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QEP has established policies and procedures for managing commodity price volatility through the use of derivative instruments. In the normal course of business, QEP uses commodity derivative instruments to reduce the impact of downward movements in commodity prices on cash flow, returns on capital,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may enter into commodity derivative contracts on natural gas sales and purchases for marketing transactions. QEP does not enter into commodity derivative instruments for speculative purposes.</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QEP uses commodity derivative instruments known as fixed-price swaps and costless collars to realize a known price or range of prices for a specific volume of production delivered into a regional sales point. Costless collars are combinations of put and call options that have a floor price and a ceiling price and payments are made or received only if the settlement price is outside the range between the floor and ceiling prices. QEP’s commodity derivative instruments do not require the physical delivery of natural gas, crude oil, or NGL between the parties at settlement. Swap and costless collar transactions are settled in cash with one party paying the other for the net difference in prices, multiplied by the contract volume, for the settlement period. Natural gas price derivative instruments are typically structured as fixed-price swaps at regional price indices. Oil price derivative instruments are typically structured as NYMEX fixed-price swaps based at Cushing, Oklahoma. NGL price derivative instruments are typically structured as Mont Belvieu, Texas fixed-price swaps.</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21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Through December 31, 2011, QEP designated the majority of its natural gas, oil and NGL derivative contracts as cash flow hedges, whose unrealized fair value gains and losses were recorded to AOCI. Effective January 1, 2012, QEP elected to de-designate all of its natural gas, crude oil and NGL derivative contracts that were previously designated as cash flow hedges and discontinue hedge accounting prospectively. As a result of discontinuing hedge accounting, the mark-to-market values at December 31, 2011, were frozen in AOCI as of the de-designation date and are being reclassified into the Consolidated Statement of Income as the transactions settle and affect earnings. At June 30, 2012, AOCI consisted of $249.8 million ($156.9 million after tax) of unrealized gains. QEP expects to reclassify into earnings from AOCI the frozen value related to de-designated natural gas, oil and NGL hedges over the remainder of 2012 and 2013. Currently, QEP recognizes all gains and losses from changes in the fair value of natural gas, oil and NGL derivative contracts immediately in earnings rather than deferring any such amounts in AOCI. All commodity derivative instruments are recorded on the Consolidated Balance Sheets as either assets or liabilities measured at their fair values and all realized and unrealized gains and losses from derivative instruments incurred after January 1, 2012, are presented in the Consolidated Statement of Income in “Realized and unrealized gains on derivative contracts” below operating income.</w:t>
      </w:r>
    </w:p>
    <w:p>
      <w:pPr>
        <w:spacing w:after="0" w:line="19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senior, unsecured term loan agreement. QEP locked in a fixed interest rate in exchange for a variable interest rate indexed to the one-month LIBOR rate. The interest rate swaps settle monthly and will mature in March of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contracts as a percentage of reported production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percentage of reported production subject to commodity price derivative contracts for QEP Energy and QEP Field Services: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8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w w:val="88"/>
              </w:rPr>
              <w:t>June 30,</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QEP Energy</w:t>
            </w: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Natural gas derivative volumes as a percent of QEP Energy natural gas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production</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Costless collars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8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Oil derivative volumes as a percent of QEP Energy oil production</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8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Costless collars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NGL derivative volumes as a percent of QEP Energy NGL production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QEP Field Services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Ethane derivative volumes as a percent of ethane volumes - QEP Field</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Services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Propane derivative volumes as a percent of propane volumes - QEP Field</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Services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w:t>
            </w: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55"/>
        </w:trPr>
        <w:tc>
          <w:tcPr>
            <w:tcW w:w="586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volumes and average prices for its commodity derivative contracts as of June 30,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7"/>
              </w:rPr>
              <w:t>Swaps</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Collars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c>
          <w:tcPr>
            <w:tcW w:w="13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89"/>
              </w:rPr>
              <w:t>Average price per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3"/>
              </w:rPr>
              <w:t>Ceiling</w:t>
            </w:r>
          </w:p>
        </w:tc>
        <w:tc>
          <w:tcPr>
            <w:tcW w:w="100" w:type="dxa"/>
            <w:vAlign w:val="bottom"/>
          </w:tcPr>
          <w:p>
            <w:pPr>
              <w:spacing w:after="0"/>
              <w:rPr>
                <w:sz w:val="17"/>
                <w:szCs w:val="17"/>
                <w:color w:val="auto"/>
              </w:rPr>
            </w:pPr>
          </w:p>
        </w:tc>
      </w:tr>
      <w:tr>
        <w:trPr>
          <w:trHeight w:val="241"/>
        </w:trPr>
        <w:tc>
          <w:tcPr>
            <w:tcW w:w="1880" w:type="dxa"/>
            <w:vAlign w:val="bottom"/>
          </w:tcPr>
          <w:p>
            <w:pPr>
              <w:ind w:left="76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Type of Contract</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Index</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Volumes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unit</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Floor price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price</w:t>
            </w:r>
          </w:p>
        </w:tc>
      </w:tr>
      <w:tr>
        <w:trPr>
          <w:trHeight w:val="198"/>
        </w:trPr>
        <w:tc>
          <w:tcPr>
            <w:tcW w:w="1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80" w:type="dxa"/>
            <w:vAlign w:val="bottom"/>
          </w:tcPr>
          <w:p>
            <w:pPr>
              <w:spacing w:after="0"/>
              <w:rPr>
                <w:sz w:val="20"/>
                <w:szCs w:val="20"/>
                <w:color w:val="auto"/>
              </w:rPr>
            </w:pPr>
            <w:r>
              <w:rPr>
                <w:rFonts w:ascii="Arial" w:cs="Arial" w:eastAsia="Arial" w:hAnsi="Arial"/>
                <w:sz w:val="18"/>
                <w:szCs w:val="18"/>
                <w:b w:val="1"/>
                <w:bCs w:val="1"/>
                <w:color w:val="auto"/>
              </w:rPr>
              <w:t>Natural gas sales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(MMBtu)</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880" w:type="dxa"/>
            <w:vAlign w:val="bottom"/>
            <w:shd w:val="clear" w:color="auto" w:fill="CCEEFF"/>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18"/>
                <w:szCs w:val="18"/>
                <w:color w:val="auto"/>
              </w:rPr>
            </w:pPr>
          </w:p>
        </w:tc>
        <w:tc>
          <w:tcPr>
            <w:tcW w:w="1800" w:type="dxa"/>
            <w:vAlign w:val="bottom"/>
          </w:tcPr>
          <w:p>
            <w:pPr>
              <w:jc w:val="center"/>
              <w:spacing w:after="0" w:line="216" w:lineRule="exact"/>
              <w:rPr>
                <w:sz w:val="20"/>
                <w:szCs w:val="20"/>
                <w:color w:val="auto"/>
              </w:rPr>
            </w:pPr>
            <w:r>
              <w:rPr>
                <w:rFonts w:ascii="Arial" w:cs="Arial" w:eastAsia="Arial" w:hAnsi="Arial"/>
                <w:sz w:val="18"/>
                <w:szCs w:val="18"/>
                <w:color w:val="auto"/>
                <w:w w:val="86"/>
              </w:rPr>
              <w:t xml:space="preserve">IFPEPL </w:t>
            </w:r>
            <w:r>
              <w:rPr>
                <w:rFonts w:ascii="Arial" w:cs="Arial" w:eastAsia="Arial" w:hAnsi="Arial"/>
                <w:sz w:val="25"/>
                <w:szCs w:val="25"/>
                <w:color w:val="auto"/>
                <w:w w:val="86"/>
                <w:vertAlign w:val="superscript"/>
              </w:rPr>
              <w:t>(1)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18"/>
                <w:szCs w:val="18"/>
                <w:color w:val="auto"/>
              </w:rPr>
            </w:pPr>
          </w:p>
        </w:tc>
        <w:tc>
          <w:tcPr>
            <w:tcW w:w="1800" w:type="dxa"/>
            <w:vAlign w:val="bottom"/>
          </w:tcPr>
          <w:p>
            <w:pPr>
              <w:jc w:val="center"/>
              <w:spacing w:after="0" w:line="216" w:lineRule="exact"/>
              <w:rPr>
                <w:sz w:val="20"/>
                <w:szCs w:val="20"/>
                <w:color w:val="auto"/>
              </w:rPr>
            </w:pPr>
            <w:r>
              <w:rPr>
                <w:rFonts w:ascii="Arial" w:cs="Arial" w:eastAsia="Arial" w:hAnsi="Arial"/>
                <w:sz w:val="18"/>
                <w:szCs w:val="18"/>
                <w:color w:val="auto"/>
                <w:w w:val="89"/>
              </w:rPr>
              <w:t xml:space="preserve">IFCNPTE </w:t>
            </w:r>
            <w:r>
              <w:rPr>
                <w:rFonts w:ascii="Arial" w:cs="Arial" w:eastAsia="Arial" w:hAnsi="Arial"/>
                <w:sz w:val="25"/>
                <w:szCs w:val="25"/>
                <w:color w:val="auto"/>
                <w:w w:val="89"/>
                <w:vertAlign w:val="superscript"/>
              </w:rPr>
              <w:t>(3)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jc w:val="center"/>
              <w:ind w:right="1070"/>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tcPr>
          <w:p>
            <w:pPr>
              <w:jc w:val="center"/>
              <w:ind w:right="107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18"/>
                <w:szCs w:val="18"/>
                <w:color w:val="auto"/>
              </w:rPr>
            </w:pPr>
          </w:p>
        </w:tc>
        <w:tc>
          <w:tcPr>
            <w:tcW w:w="1800" w:type="dxa"/>
            <w:vAlign w:val="bottom"/>
          </w:tcPr>
          <w:p>
            <w:pPr>
              <w:jc w:val="center"/>
              <w:spacing w:after="0" w:line="216" w:lineRule="exact"/>
              <w:rPr>
                <w:sz w:val="20"/>
                <w:szCs w:val="20"/>
                <w:color w:val="auto"/>
              </w:rPr>
            </w:pPr>
            <w:r>
              <w:rPr>
                <w:rFonts w:ascii="Arial" w:cs="Arial" w:eastAsia="Arial" w:hAnsi="Arial"/>
                <w:sz w:val="18"/>
                <w:szCs w:val="18"/>
                <w:color w:val="auto"/>
                <w:w w:val="88"/>
              </w:rPr>
              <w:t xml:space="preserve">IFNPCR </w:t>
            </w:r>
            <w:r>
              <w:rPr>
                <w:rFonts w:ascii="Arial" w:cs="Arial" w:eastAsia="Arial" w:hAnsi="Arial"/>
                <w:sz w:val="25"/>
                <w:szCs w:val="25"/>
                <w:color w:val="auto"/>
                <w:w w:val="88"/>
                <w:vertAlign w:val="superscript"/>
              </w:rPr>
              <w:t>(2)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jc w:val="center"/>
              <w:ind w:right="1130"/>
              <w:spacing w:after="0"/>
              <w:rPr>
                <w:sz w:val="20"/>
                <w:szCs w:val="20"/>
                <w:color w:val="auto"/>
              </w:rPr>
            </w:pPr>
            <w:r>
              <w:rPr>
                <w:rFonts w:ascii="Arial" w:cs="Arial" w:eastAsia="Arial" w:hAnsi="Arial"/>
                <w:sz w:val="18"/>
                <w:szCs w:val="18"/>
                <w:b w:val="1"/>
                <w:bCs w:val="1"/>
                <w:color w:val="auto"/>
                <w:w w:val="89"/>
              </w:rPr>
              <w:t>Oil sales</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(Bbls)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NYMEX WTI</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97.03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Collar</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 WTI</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115.36</w:t>
            </w:r>
          </w:p>
        </w:tc>
      </w:tr>
      <w:tr>
        <w:trPr>
          <w:trHeight w:val="216"/>
        </w:trPr>
        <w:tc>
          <w:tcPr>
            <w:tcW w:w="1880" w:type="dxa"/>
            <w:vAlign w:val="bottom"/>
          </w:tcPr>
          <w:p>
            <w:pPr>
              <w:jc w:val="center"/>
              <w:ind w:right="107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rPr>
              <w:t>NYMEX WTI</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NGL sales</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(Gals)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80" w:type="dxa"/>
            <w:vAlign w:val="bottom"/>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Mt. Belvieu Ethane</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880" w:type="dxa"/>
            <w:vAlign w:val="bottom"/>
            <w:tcBorders>
              <w:bottom w:val="single" w:sz="8" w:color="auto"/>
            </w:tcBorders>
            <w:shd w:val="clear" w:color="auto" w:fill="CCEEFF"/>
          </w:tcPr>
          <w:p>
            <w:pPr>
              <w:jc w:val="center"/>
              <w:ind w:right="1070"/>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Mt. Belvieu Propane</w:t>
            </w:r>
          </w:p>
        </w:tc>
        <w:tc>
          <w:tcPr>
            <w:tcW w:w="1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Panhandle Eastern Pipeline Company.</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Inside FERC monthly settlement index for the Northwest Pipeline Corp. Rocky Mountains.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Inside FERC monthly settlement index for Centerpoint East.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Field Services Derivative Contracts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QEP Field Services enters into commodity derivative transactions to manage price risk on extracted NGL volumes. The following table sets forth QEP Field Services’ volumes and swap prices for its commodity derivative contracts as of June 30, 2012:</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Average Swap price</w:t>
            </w:r>
          </w:p>
        </w:tc>
      </w:tr>
      <w:tr>
        <w:trPr>
          <w:trHeight w:val="241"/>
        </w:trPr>
        <w:tc>
          <w:tcPr>
            <w:tcW w:w="20" w:type="dxa"/>
            <w:vAlign w:val="bottom"/>
          </w:tcPr>
          <w:p>
            <w:pPr>
              <w:spacing w:after="0"/>
              <w:rPr>
                <w:sz w:val="20"/>
                <w:szCs w:val="20"/>
                <w:color w:val="auto"/>
              </w:rPr>
            </w:pPr>
          </w:p>
        </w:tc>
        <w:tc>
          <w:tcPr>
            <w:tcW w:w="1920" w:type="dxa"/>
            <w:vAlign w:val="bottom"/>
          </w:tcPr>
          <w:p>
            <w:pPr>
              <w:ind w:left="7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Type of Contract</w:t>
            </w:r>
          </w:p>
        </w:tc>
        <w:tc>
          <w:tcPr>
            <w:tcW w:w="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Volumes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 gallon</w:t>
            </w:r>
          </w:p>
        </w:tc>
      </w:tr>
      <w:tr>
        <w:trPr>
          <w:trHeight w:val="198"/>
        </w:trPr>
        <w:tc>
          <w:tcPr>
            <w:tcW w:w="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NGL sales</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(Gals)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Mt. Belvieu Ethane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Mt. Belvieu Propane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 Marketing enters into commodity derivative transactions to lock in a margin on natural gas volumes placed into storage and for marketing transactions in which QEP Marketing is required to deliver gas volumes at a fixed price. The following table sets forth QEP Marketing’s volumes and swap prices for its commodity derivative contracts as of June 30, 2012:</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Average Swaps price</w:t>
            </w:r>
          </w:p>
        </w:tc>
      </w:tr>
      <w:tr>
        <w:trPr>
          <w:trHeight w:val="241"/>
        </w:trPr>
        <w:tc>
          <w:tcPr>
            <w:tcW w:w="20" w:type="dxa"/>
            <w:vAlign w:val="bottom"/>
          </w:tcPr>
          <w:p>
            <w:pPr>
              <w:spacing w:after="0"/>
              <w:rPr>
                <w:sz w:val="20"/>
                <w:szCs w:val="20"/>
                <w:color w:val="auto"/>
              </w:rPr>
            </w:pPr>
          </w:p>
        </w:tc>
        <w:tc>
          <w:tcPr>
            <w:tcW w:w="1900" w:type="dxa"/>
            <w:vAlign w:val="bottom"/>
          </w:tcPr>
          <w:p>
            <w:pPr>
              <w:ind w:left="76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Type of Contract</w:t>
            </w:r>
          </w:p>
        </w:tc>
        <w:tc>
          <w:tcPr>
            <w:tcW w:w="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5"/>
              </w:rPr>
              <w:t>Volumes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per MMBtu</w:t>
            </w:r>
          </w:p>
        </w:tc>
      </w:tr>
      <w:tr>
        <w:trPr>
          <w:trHeight w:val="216"/>
        </w:trPr>
        <w:tc>
          <w:tcPr>
            <w:tcW w:w="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Natural gas sales</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(MMBtu)</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80" w:type="dxa"/>
            <w:vAlign w:val="bottom"/>
          </w:tcPr>
          <w:p>
            <w:pPr>
              <w:spacing w:after="0"/>
              <w:rPr>
                <w:sz w:val="18"/>
                <w:szCs w:val="18"/>
                <w:color w:val="auto"/>
              </w:rPr>
            </w:pPr>
          </w:p>
        </w:tc>
        <w:tc>
          <w:tcPr>
            <w:tcW w:w="1920" w:type="dxa"/>
            <w:vAlign w:val="bottom"/>
          </w:tcPr>
          <w:p>
            <w:pPr>
              <w:jc w:val="center"/>
              <w:spacing w:after="0" w:line="216" w:lineRule="exact"/>
              <w:rPr>
                <w:sz w:val="20"/>
                <w:szCs w:val="20"/>
                <w:color w:val="auto"/>
              </w:rPr>
            </w:pPr>
            <w:r>
              <w:rPr>
                <w:rFonts w:ascii="Arial" w:cs="Arial" w:eastAsia="Arial" w:hAnsi="Arial"/>
                <w:sz w:val="18"/>
                <w:szCs w:val="18"/>
                <w:color w:val="auto"/>
                <w:w w:val="90"/>
              </w:rPr>
              <w:t xml:space="preserve">IFNPCR </w:t>
            </w:r>
            <w:r>
              <w:rPr>
                <w:rFonts w:ascii="Arial" w:cs="Arial" w:eastAsia="Arial" w:hAnsi="Arial"/>
                <w:sz w:val="25"/>
                <w:szCs w:val="25"/>
                <w:color w:val="auto"/>
                <w:w w:val="90"/>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90"/>
              </w:rPr>
              <w:t xml:space="preserve">IFNPCR </w:t>
            </w:r>
            <w:r>
              <w:rPr>
                <w:rFonts w:ascii="Arial" w:cs="Arial" w:eastAsia="Arial" w:hAnsi="Arial"/>
                <w:sz w:val="25"/>
                <w:szCs w:val="25"/>
                <w:color w:val="auto"/>
                <w:w w:val="90"/>
                <w:vertAlign w:val="superscript"/>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b w:val="1"/>
                <w:bCs w:val="1"/>
                <w:color w:val="auto"/>
                <w:w w:val="97"/>
              </w:rPr>
              <w:t>Natural gas purchases</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(MMBtu)</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90"/>
              </w:rPr>
              <w:t xml:space="preserve">IFNPCR </w:t>
            </w:r>
            <w:r>
              <w:rPr>
                <w:rFonts w:ascii="Arial" w:cs="Arial" w:eastAsia="Arial" w:hAnsi="Arial"/>
                <w:sz w:val="25"/>
                <w:szCs w:val="25"/>
                <w:color w:val="auto"/>
                <w:w w:val="90"/>
                <w:vertAlign w:val="superscript"/>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80" w:type="dxa"/>
            <w:vAlign w:val="bottom"/>
          </w:tcPr>
          <w:p>
            <w:pPr>
              <w:spacing w:after="0"/>
              <w:rPr>
                <w:sz w:val="19"/>
                <w:szCs w:val="19"/>
                <w:color w:val="auto"/>
              </w:rPr>
            </w:pPr>
          </w:p>
        </w:tc>
        <w:tc>
          <w:tcPr>
            <w:tcW w:w="1920" w:type="dxa"/>
            <w:vAlign w:val="bottom"/>
          </w:tcPr>
          <w:p>
            <w:pPr>
              <w:jc w:val="center"/>
              <w:spacing w:after="0" w:line="216" w:lineRule="exact"/>
              <w:rPr>
                <w:sz w:val="20"/>
                <w:szCs w:val="20"/>
                <w:color w:val="auto"/>
              </w:rPr>
            </w:pPr>
            <w:r>
              <w:rPr>
                <w:rFonts w:ascii="Arial" w:cs="Arial" w:eastAsia="Arial" w:hAnsi="Arial"/>
                <w:sz w:val="18"/>
                <w:szCs w:val="18"/>
                <w:color w:val="auto"/>
                <w:w w:val="90"/>
              </w:rPr>
              <w:t xml:space="preserve">IFNPCR </w:t>
            </w:r>
            <w:r>
              <w:rPr>
                <w:rFonts w:ascii="Arial" w:cs="Arial" w:eastAsia="Arial" w:hAnsi="Arial"/>
                <w:sz w:val="25"/>
                <w:szCs w:val="25"/>
                <w:color w:val="auto"/>
                <w:w w:val="90"/>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bl>
    <w:p>
      <w:pPr>
        <w:spacing w:after="0" w:line="172" w:lineRule="exact"/>
        <w:rPr>
          <w:sz w:val="20"/>
          <w:szCs w:val="20"/>
          <w:color w:val="auto"/>
        </w:rPr>
      </w:pPr>
    </w:p>
    <w:p>
      <w:pPr>
        <w:ind w:left="1680" w:hanging="213"/>
        <w:spacing w:after="0"/>
        <w:tabs>
          <w:tab w:leader="none" w:pos="168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Northwest Pipeline Corp. Rocky Mountains.</w:t>
      </w:r>
    </w:p>
    <w:p>
      <w:pPr>
        <w:sectPr>
          <w:pgSz w:w="11900" w:h="16838" w:orient="portrait"/>
          <w:cols w:equalWidth="0" w:num="1">
            <w:col w:w="11420"/>
          </w:cols>
          <w:pgMar w:left="240" w:top="122"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Derivative Contracts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second quarter of 2012, QEP Resources entered into interest rate swap agreements to effectively lock in a fixed interest rate on debt outstanding under its Term Loan.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Resources’ notional amounts and interest rates for its interest rate swaps outstanding as of June 30, 2012:</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Notional amount</w:t>
            </w:r>
          </w:p>
        </w:tc>
        <w:tc>
          <w:tcPr>
            <w:tcW w:w="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Type of Contract</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Fixed Rate Paid</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Variable Rate Received</w:t>
            </w: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2017</w:t>
            </w:r>
          </w:p>
        </w:tc>
        <w:tc>
          <w:tcPr>
            <w:tcW w:w="14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 month LIBOR</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balance sheet location of QEP’s outstanding derivative contracts on a gross contract basis as opposed to the net contract basis presentation in the Condensed Consolidated Balance Sheets and the related fair values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ind w:left="260"/>
              <w:spacing w:after="0"/>
              <w:rPr>
                <w:sz w:val="20"/>
                <w:szCs w:val="20"/>
                <w:color w:val="auto"/>
              </w:rPr>
            </w:pPr>
            <w:r>
              <w:rPr>
                <w:rFonts w:ascii="Arial" w:cs="Arial" w:eastAsia="Arial" w:hAnsi="Arial"/>
                <w:sz w:val="18"/>
                <w:szCs w:val="18"/>
                <w:b w:val="1"/>
                <w:bCs w:val="1"/>
                <w:color w:val="auto"/>
                <w:w w:val="87"/>
              </w:rPr>
              <w:t>Gross asset derivative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ind w:left="120"/>
              <w:spacing w:after="0"/>
              <w:rPr>
                <w:sz w:val="20"/>
                <w:szCs w:val="20"/>
                <w:color w:val="auto"/>
              </w:rPr>
            </w:pPr>
            <w:r>
              <w:rPr>
                <w:rFonts w:ascii="Arial" w:cs="Arial" w:eastAsia="Arial" w:hAnsi="Arial"/>
                <w:sz w:val="18"/>
                <w:szCs w:val="18"/>
                <w:b w:val="1"/>
                <w:bCs w:val="1"/>
                <w:color w:val="auto"/>
              </w:rPr>
              <w:t>Gross liability derivative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0"/>
              </w:rPr>
              <w:t>instruments fair value</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w w:val="91"/>
              </w:rPr>
              <w:t>instruments fair value</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40" w:type="dxa"/>
            <w:vAlign w:val="bottom"/>
          </w:tcPr>
          <w:p>
            <w:pPr>
              <w:ind w:left="440"/>
              <w:spacing w:after="0" w:line="198" w:lineRule="exact"/>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color w:val="auto"/>
                <w:w w:val="91"/>
              </w:rPr>
              <w:t>December 31,</w:t>
            </w:r>
          </w:p>
        </w:tc>
        <w:tc>
          <w:tcPr>
            <w:tcW w:w="120" w:type="dxa"/>
            <w:vAlign w:val="bottom"/>
          </w:tcPr>
          <w:p>
            <w:pPr>
              <w:spacing w:after="0"/>
              <w:rPr>
                <w:sz w:val="17"/>
                <w:szCs w:val="17"/>
                <w:color w:val="auto"/>
              </w:rPr>
            </w:pPr>
          </w:p>
        </w:tc>
        <w:tc>
          <w:tcPr>
            <w:tcW w:w="1920" w:type="dxa"/>
            <w:vAlign w:val="bottom"/>
            <w:gridSpan w:val="2"/>
          </w:tcPr>
          <w:p>
            <w:pPr>
              <w:ind w:left="360"/>
              <w:spacing w:after="0" w:line="198" w:lineRule="exact"/>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17"/>
                <w:szCs w:val="17"/>
                <w:color w:val="auto"/>
              </w:rPr>
            </w:pPr>
          </w:p>
        </w:tc>
        <w:tc>
          <w:tcPr>
            <w:tcW w:w="1060" w:type="dxa"/>
            <w:vAlign w:val="bottom"/>
            <w:gridSpan w:val="2"/>
          </w:tcPr>
          <w:p>
            <w:pPr>
              <w:jc w:val="right"/>
              <w:ind w:right="250"/>
              <w:spacing w:after="0" w:line="198"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line item</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8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line item</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8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960" w:type="dxa"/>
            <w:vAlign w:val="bottom"/>
            <w:gridSpan w:val="3"/>
          </w:tcPr>
          <w:p>
            <w:pPr>
              <w:jc w:val="center"/>
              <w:ind w:right="330"/>
              <w:spacing w:after="0"/>
              <w:rPr>
                <w:sz w:val="20"/>
                <w:szCs w:val="20"/>
                <w:color w:val="auto"/>
              </w:rPr>
            </w:pPr>
            <w:r>
              <w:rPr>
                <w:rFonts w:ascii="Arial" w:cs="Arial" w:eastAsia="Arial" w:hAnsi="Arial"/>
                <w:sz w:val="18"/>
                <w:szCs w:val="18"/>
                <w:color w:val="auto"/>
                <w:w w:val="81"/>
              </w:rPr>
              <w:t>millions)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620"/>
              <w:spacing w:after="0"/>
              <w:rPr>
                <w:sz w:val="20"/>
                <w:szCs w:val="20"/>
                <w:color w:val="auto"/>
              </w:rPr>
            </w:pPr>
            <w:r>
              <w:rPr>
                <w:rFonts w:ascii="Arial" w:cs="Arial" w:eastAsia="Arial" w:hAnsi="Arial"/>
                <w:sz w:val="18"/>
                <w:szCs w:val="18"/>
                <w:color w:val="auto"/>
              </w:rPr>
              <w:t>(in</w:t>
            </w:r>
          </w:p>
        </w:tc>
        <w:tc>
          <w:tcPr>
            <w:tcW w:w="1000" w:type="dxa"/>
            <w:vAlign w:val="bottom"/>
            <w:gridSpan w:val="3"/>
          </w:tcPr>
          <w:p>
            <w:pPr>
              <w:jc w:val="center"/>
              <w:ind w:right="350"/>
              <w:spacing w:after="0"/>
              <w:rPr>
                <w:sz w:val="20"/>
                <w:szCs w:val="20"/>
                <w:color w:val="auto"/>
              </w:rPr>
            </w:pPr>
            <w:r>
              <w:rPr>
                <w:rFonts w:ascii="Arial" w:cs="Arial" w:eastAsia="Arial" w:hAnsi="Arial"/>
                <w:sz w:val="18"/>
                <w:szCs w:val="18"/>
                <w:color w:val="auto"/>
                <w:w w:val="84"/>
              </w:rPr>
              <w:t>millions)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30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860" w:type="dxa"/>
            <w:vAlign w:val="bottom"/>
            <w:gridSpan w:val="2"/>
            <w:shd w:val="clear" w:color="auto" w:fill="CCEEFF"/>
          </w:tcPr>
          <w:p>
            <w:pPr>
              <w:jc w:val="center"/>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284.1</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1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900" w:type="dxa"/>
            <w:vAlign w:val="bottom"/>
            <w:gridSpan w:val="2"/>
            <w:shd w:val="clear" w:color="auto" w:fill="CCEEFF"/>
          </w:tcPr>
          <w:p>
            <w:pPr>
              <w:jc w:val="center"/>
              <w:ind w:right="4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Fair value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Fair value of</w:t>
            </w:r>
          </w:p>
        </w:tc>
        <w:tc>
          <w:tcPr>
            <w:tcW w:w="180" w:type="dxa"/>
            <w:vAlign w:val="bottom"/>
          </w:tcPr>
          <w:p>
            <w:pPr>
              <w:spacing w:after="0"/>
              <w:rPr>
                <w:sz w:val="17"/>
                <w:szCs w:val="17"/>
                <w:color w:val="auto"/>
              </w:rPr>
            </w:pP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940" w:type="dxa"/>
            <w:vAlign w:val="bottom"/>
          </w:tcPr>
          <w:p>
            <w:pPr>
              <w:spacing w:after="0"/>
              <w:rPr>
                <w:sz w:val="20"/>
                <w:szCs w:val="20"/>
                <w:color w:val="auto"/>
              </w:rPr>
            </w:pPr>
            <w:r>
              <w:rPr>
                <w:rFonts w:ascii="Arial" w:cs="Arial" w:eastAsia="Arial" w:hAnsi="Arial"/>
                <w:sz w:val="18"/>
                <w:szCs w:val="18"/>
                <w:color w:val="auto"/>
              </w:rPr>
              <w:t>derivative 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derivative contracts</w:t>
            </w: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Fair value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77.5</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spacing w:after="0" w:line="201" w:lineRule="exact"/>
              <w:rPr>
                <w:sz w:val="20"/>
                <w:szCs w:val="20"/>
                <w:color w:val="auto"/>
              </w:rPr>
            </w:pPr>
            <w:r>
              <w:rPr>
                <w:rFonts w:ascii="Arial" w:cs="Arial" w:eastAsia="Arial" w:hAnsi="Arial"/>
                <w:sz w:val="18"/>
                <w:szCs w:val="18"/>
                <w:color w:val="auto"/>
              </w:rPr>
              <w:t>Fair value of</w:t>
            </w:r>
          </w:p>
        </w:tc>
        <w:tc>
          <w:tcPr>
            <w:tcW w:w="180" w:type="dxa"/>
            <w:vAlign w:val="bottom"/>
          </w:tcPr>
          <w:p>
            <w:pPr>
              <w:spacing w:after="0"/>
              <w:rPr>
                <w:sz w:val="17"/>
                <w:szCs w:val="17"/>
                <w:color w:val="auto"/>
              </w:rPr>
            </w:pP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Commodity</w:t>
            </w:r>
          </w:p>
        </w:tc>
        <w:tc>
          <w:tcPr>
            <w:tcW w:w="1940" w:type="dxa"/>
            <w:vAlign w:val="bottom"/>
          </w:tcPr>
          <w:p>
            <w:pPr>
              <w:spacing w:after="0"/>
              <w:rPr>
                <w:sz w:val="20"/>
                <w:szCs w:val="20"/>
                <w:color w:val="auto"/>
              </w:rPr>
            </w:pPr>
            <w:r>
              <w:rPr>
                <w:rFonts w:ascii="Arial" w:cs="Arial" w:eastAsia="Arial" w:hAnsi="Arial"/>
                <w:sz w:val="18"/>
                <w:szCs w:val="18"/>
                <w:color w:val="auto"/>
              </w:rPr>
              <w:t>derivative 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123.5</w:t>
            </w:r>
          </w:p>
        </w:tc>
        <w:tc>
          <w:tcPr>
            <w:tcW w:w="1920" w:type="dxa"/>
            <w:vAlign w:val="bottom"/>
            <w:gridSpan w:val="2"/>
          </w:tcPr>
          <w:p>
            <w:pPr>
              <w:spacing w:after="0"/>
              <w:rPr>
                <w:sz w:val="20"/>
                <w:szCs w:val="20"/>
                <w:color w:val="auto"/>
              </w:rPr>
            </w:pPr>
            <w:r>
              <w:rPr>
                <w:rFonts w:ascii="Arial" w:cs="Arial" w:eastAsia="Arial" w:hAnsi="Arial"/>
                <w:sz w:val="18"/>
                <w:szCs w:val="18"/>
                <w:color w:val="auto"/>
              </w:rPr>
              <w:t>derivative contracts</w:t>
            </w: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Total derivative</w:t>
            </w:r>
          </w:p>
        </w:tc>
        <w:tc>
          <w:tcPr>
            <w:tcW w:w="194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349.7</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20"/>
              <w:spacing w:after="0"/>
              <w:rPr>
                <w:sz w:val="20"/>
                <w:szCs w:val="20"/>
                <w:color w:val="auto"/>
              </w:rPr>
            </w:pPr>
            <w:r>
              <w:rPr>
                <w:rFonts w:ascii="Arial" w:cs="Arial" w:eastAsia="Arial" w:hAnsi="Arial"/>
                <w:sz w:val="18"/>
                <w:szCs w:val="18"/>
                <w:color w:val="auto"/>
              </w:rPr>
              <w:t>instruments</w:t>
            </w:r>
          </w:p>
        </w:tc>
        <w:tc>
          <w:tcPr>
            <w:tcW w:w="19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60" w:type="dxa"/>
            <w:vAlign w:val="bottom"/>
            <w:gridSpan w:val="2"/>
          </w:tcPr>
          <w:p>
            <w:pPr>
              <w:jc w:val="center"/>
              <w:ind w:right="41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407.6</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900" w:type="dxa"/>
            <w:vAlign w:val="bottom"/>
            <w:gridSpan w:val="2"/>
          </w:tcPr>
          <w:p>
            <w:pPr>
              <w:jc w:val="center"/>
              <w:ind w:right="49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390"/>
              <w:spacing w:after="0"/>
              <w:rPr>
                <w:sz w:val="20"/>
                <w:szCs w:val="20"/>
                <w:color w:val="auto"/>
              </w:rPr>
            </w:pPr>
            <w:r>
              <w:rPr>
                <w:rFonts w:ascii="Arial" w:cs="Arial" w:eastAsia="Arial" w:hAnsi="Arial"/>
                <w:sz w:val="14"/>
                <w:szCs w:val="14"/>
                <w:color w:val="auto"/>
                <w:w w:val="89"/>
              </w:rPr>
              <w:t>14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effects and location of derivative transactions on the Condensed Consolidated Statements of Income are summarized in the following tables: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center"/>
              <w:ind w:right="3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5"/>
              </w:rPr>
              <w:t>Derivative instruments not designated</w:t>
            </w:r>
          </w:p>
        </w:tc>
        <w:tc>
          <w:tcPr>
            <w:tcW w:w="120" w:type="dxa"/>
            <w:vAlign w:val="bottom"/>
          </w:tcPr>
          <w:p>
            <w:pPr>
              <w:spacing w:after="0"/>
              <w:rPr>
                <w:sz w:val="20"/>
                <w:szCs w:val="20"/>
                <w:color w:val="auto"/>
              </w:rPr>
            </w:pPr>
          </w:p>
        </w:tc>
        <w:tc>
          <w:tcPr>
            <w:tcW w:w="2980" w:type="dxa"/>
            <w:vAlign w:val="bottom"/>
            <w:gridSpan w:val="2"/>
          </w:tcPr>
          <w:p>
            <w:pPr>
              <w:ind w:left="580"/>
              <w:spacing w:after="0"/>
              <w:rPr>
                <w:sz w:val="20"/>
                <w:szCs w:val="20"/>
                <w:color w:val="auto"/>
              </w:rPr>
            </w:pPr>
            <w:r>
              <w:rPr>
                <w:rFonts w:ascii="Arial" w:cs="Arial" w:eastAsia="Arial" w:hAnsi="Arial"/>
                <w:sz w:val="18"/>
                <w:szCs w:val="18"/>
                <w:b w:val="1"/>
                <w:bCs w:val="1"/>
                <w:color w:val="auto"/>
              </w:rPr>
              <w:t>Location of gain (loss)</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3"/>
              </w:rPr>
              <w:t>as cash flow hedges</w:t>
            </w:r>
          </w:p>
        </w:tc>
        <w:tc>
          <w:tcPr>
            <w:tcW w:w="120" w:type="dxa"/>
            <w:vAlign w:val="bottom"/>
          </w:tcPr>
          <w:p>
            <w:pPr>
              <w:spacing w:after="0"/>
              <w:rPr>
                <w:sz w:val="19"/>
                <w:szCs w:val="19"/>
                <w:color w:val="auto"/>
              </w:rPr>
            </w:pPr>
          </w:p>
        </w:tc>
        <w:tc>
          <w:tcPr>
            <w:tcW w:w="2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recognized in earnings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9"/>
              </w:rPr>
              <w:t>Realized gain (loss) on commodity</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40"/>
              <w:spacing w:after="0"/>
              <w:rPr>
                <w:sz w:val="20"/>
                <w:szCs w:val="20"/>
                <w:color w:val="auto"/>
              </w:rPr>
            </w:pPr>
            <w:r>
              <w:rPr>
                <w:rFonts w:ascii="Arial" w:cs="Arial" w:eastAsia="Arial" w:hAnsi="Arial"/>
                <w:sz w:val="18"/>
                <w:szCs w:val="18"/>
                <w:color w:val="auto"/>
                <w:w w:val="78"/>
              </w:rPr>
              <w:t>millions)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derivative contracts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QEP Energy</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Oil derivative contracts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QEP Marketing</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160"/>
              <w:spacing w:after="0" w:line="201" w:lineRule="exact"/>
              <w:rPr>
                <w:sz w:val="20"/>
                <w:szCs w:val="20"/>
                <w:color w:val="auto"/>
              </w:rPr>
            </w:pPr>
            <w:r>
              <w:rPr>
                <w:rFonts w:ascii="Arial" w:cs="Arial" w:eastAsia="Arial" w:hAnsi="Arial"/>
                <w:sz w:val="18"/>
                <w:szCs w:val="18"/>
                <w:color w:val="auto"/>
              </w:rPr>
              <w:t>Total realized gain (loss) on</w:t>
            </w: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120.7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208.7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commodity derivative contracts</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3"/>
              </w:rPr>
              <w:t>Unrealized gain (loss) on commodity</w:t>
            </w: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derivative contracts</w:t>
            </w: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QEP Energy</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Oil derivative contracts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NGL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color w:val="auto"/>
              </w:rPr>
              <w:t>QEP Marketing</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Natural gas derivative contracts</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160"/>
              <w:spacing w:after="0" w:line="201" w:lineRule="exact"/>
              <w:rPr>
                <w:sz w:val="20"/>
                <w:szCs w:val="20"/>
                <w:color w:val="auto"/>
              </w:rPr>
            </w:pPr>
            <w:r>
              <w:rPr>
                <w:rFonts w:ascii="Arial" w:cs="Arial" w:eastAsia="Arial" w:hAnsi="Arial"/>
                <w:sz w:val="18"/>
                <w:szCs w:val="18"/>
                <w:color w:val="auto"/>
              </w:rPr>
              <w:t>Total unrealized (loss) gain on</w:t>
            </w: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94.2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commodity derivative contracts</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Total realized and unrealized gain</w:t>
            </w: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on commodity</w:t>
            </w:r>
          </w:p>
        </w:tc>
        <w:tc>
          <w:tcPr>
            <w:tcW w:w="1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on</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derivative contracts</w:t>
            </w:r>
          </w:p>
        </w:tc>
        <w:tc>
          <w:tcPr>
            <w:tcW w:w="120" w:type="dxa"/>
            <w:vAlign w:val="bottom"/>
            <w:shd w:val="clear" w:color="auto" w:fill="CCEEFF"/>
          </w:tcPr>
          <w:p>
            <w:pPr>
              <w:spacing w:after="0"/>
              <w:rPr>
                <w:sz w:val="23"/>
                <w:szCs w:val="23"/>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contracts</w:t>
            </w:r>
          </w:p>
        </w:tc>
        <w:tc>
          <w:tcPr>
            <w:tcW w:w="260" w:type="dxa"/>
            <w:vAlign w:val="bottom"/>
            <w:vMerge w:val="continue"/>
            <w:shd w:val="clear" w:color="auto" w:fill="CCEEFF"/>
          </w:tcPr>
          <w:p>
            <w:pPr>
              <w:spacing w:after="0"/>
              <w:rPr>
                <w:sz w:val="23"/>
                <w:szCs w:val="23"/>
                <w:color w:val="auto"/>
              </w:rPr>
            </w:pPr>
          </w:p>
        </w:tc>
        <w:tc>
          <w:tcPr>
            <w:tcW w:w="1060" w:type="dxa"/>
            <w:vAlign w:val="bottom"/>
            <w:gridSpan w:val="2"/>
            <w:vMerge w:val="continue"/>
            <w:shd w:val="clear" w:color="auto" w:fill="CCEEFF"/>
          </w:tcPr>
          <w:p>
            <w:pPr>
              <w:spacing w:after="0"/>
              <w:rPr>
                <w:sz w:val="23"/>
                <w:szCs w:val="23"/>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0" w:type="dxa"/>
            <w:vAlign w:val="bottom"/>
            <w:vMerge w:val="continue"/>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gridSpan w:val="2"/>
            <w:vMerge w:val="continue"/>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b w:val="1"/>
                <w:bCs w:val="1"/>
                <w:i w:val="1"/>
                <w:iCs w:val="1"/>
                <w:color w:val="auto"/>
                <w:w w:val="91"/>
              </w:rPr>
              <w:t>Unrealized gain (loss) on interest rate</w:t>
            </w:r>
          </w:p>
        </w:tc>
        <w:tc>
          <w:tcPr>
            <w:tcW w:w="120" w:type="dxa"/>
            <w:vAlign w:val="bottom"/>
            <w:tcBorders>
              <w:top w:val="single" w:sz="8" w:color="CCEEFF"/>
            </w:tcBorders>
          </w:tcPr>
          <w:p>
            <w:pPr>
              <w:spacing w:after="0"/>
              <w:rPr>
                <w:sz w:val="16"/>
                <w:szCs w:val="16"/>
                <w:color w:val="auto"/>
              </w:rPr>
            </w:pPr>
          </w:p>
        </w:tc>
        <w:tc>
          <w:tcPr>
            <w:tcW w:w="2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swaps</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2"/>
          </w:tcPr>
          <w:p>
            <w:pPr>
              <w:spacing w:after="0" w:line="201" w:lineRule="exact"/>
              <w:rPr>
                <w:sz w:val="20"/>
                <w:szCs w:val="20"/>
                <w:color w:val="auto"/>
              </w:rPr>
            </w:pPr>
            <w:r>
              <w:rPr>
                <w:rFonts w:ascii="Arial" w:cs="Arial" w:eastAsia="Arial" w:hAnsi="Arial"/>
                <w:sz w:val="18"/>
                <w:szCs w:val="18"/>
                <w:color w:val="auto"/>
              </w:rPr>
              <w:t>Realized and unrealized gains on</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7"/>
                <w:szCs w:val="17"/>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w w:val="97"/>
              </w:rPr>
              <w:t>Unrealized loss on interest rate swaps</w:t>
            </w:r>
          </w:p>
        </w:tc>
        <w:tc>
          <w:tcPr>
            <w:tcW w:w="120" w:type="dxa"/>
            <w:vAlign w:val="bottom"/>
          </w:tcPr>
          <w:p>
            <w:pPr>
              <w:spacing w:after="0"/>
              <w:rPr>
                <w:sz w:val="20"/>
                <w:szCs w:val="20"/>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derivative contracts</w:t>
            </w:r>
          </w:p>
        </w:tc>
        <w:tc>
          <w:tcPr>
            <w:tcW w:w="26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jc w:val="center"/>
              <w:ind w:right="3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Derivative instruments classified</w:t>
            </w:r>
          </w:p>
        </w:tc>
        <w:tc>
          <w:tcPr>
            <w:tcW w:w="120" w:type="dxa"/>
            <w:vAlign w:val="bottom"/>
          </w:tcPr>
          <w:p>
            <w:pPr>
              <w:spacing w:after="0"/>
              <w:rPr>
                <w:sz w:val="17"/>
                <w:szCs w:val="17"/>
                <w:color w:val="auto"/>
              </w:rPr>
            </w:pPr>
          </w:p>
        </w:tc>
        <w:tc>
          <w:tcPr>
            <w:tcW w:w="2980" w:type="dxa"/>
            <w:vAlign w:val="bottom"/>
            <w:gridSpan w:val="2"/>
          </w:tcPr>
          <w:p>
            <w:pPr>
              <w:ind w:left="580"/>
              <w:spacing w:after="0" w:line="198" w:lineRule="exact"/>
              <w:rPr>
                <w:sz w:val="20"/>
                <w:szCs w:val="20"/>
                <w:color w:val="auto"/>
              </w:rPr>
            </w:pPr>
            <w:r>
              <w:rPr>
                <w:rFonts w:ascii="Arial" w:cs="Arial" w:eastAsia="Arial" w:hAnsi="Arial"/>
                <w:sz w:val="18"/>
                <w:szCs w:val="18"/>
                <w:b w:val="1"/>
                <w:bCs w:val="1"/>
                <w:color w:val="auto"/>
              </w:rPr>
              <w:t>Location of gain (loss)</w:t>
            </w: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center"/>
              <w:ind w:left="490"/>
              <w:spacing w:after="0" w:line="198" w:lineRule="exact"/>
              <w:rPr>
                <w:sz w:val="20"/>
                <w:szCs w:val="20"/>
                <w:color w:val="auto"/>
              </w:rPr>
            </w:pPr>
            <w:r>
              <w:rPr>
                <w:rFonts w:ascii="Arial" w:cs="Arial" w:eastAsia="Arial" w:hAnsi="Arial"/>
                <w:sz w:val="18"/>
                <w:szCs w:val="18"/>
                <w:b w:val="1"/>
                <w:bCs w:val="1"/>
                <w:color w:val="auto"/>
                <w:w w:val="88"/>
              </w:rPr>
              <w:t>June 30,</w:t>
            </w: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4"/>
          </w:tcPr>
          <w:p>
            <w:pPr>
              <w:jc w:val="right"/>
              <w:ind w:right="60"/>
              <w:spacing w:after="0" w:line="198" w:lineRule="exact"/>
              <w:rPr>
                <w:sz w:val="20"/>
                <w:szCs w:val="20"/>
                <w:color w:val="auto"/>
              </w:rPr>
            </w:pPr>
            <w:r>
              <w:rPr>
                <w:rFonts w:ascii="Arial" w:cs="Arial" w:eastAsia="Arial" w:hAnsi="Arial"/>
                <w:sz w:val="18"/>
                <w:szCs w:val="18"/>
                <w:b w:val="1"/>
                <w:bCs w:val="1"/>
                <w:color w:val="auto"/>
              </w:rPr>
              <w:t>June 30,</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as cash flow hedges</w:t>
            </w:r>
          </w:p>
        </w:tc>
        <w:tc>
          <w:tcPr>
            <w:tcW w:w="120" w:type="dxa"/>
            <w:vAlign w:val="bottom"/>
          </w:tcPr>
          <w:p>
            <w:pPr>
              <w:spacing w:after="0"/>
              <w:rPr>
                <w:sz w:val="20"/>
                <w:szCs w:val="20"/>
                <w:color w:val="auto"/>
              </w:rPr>
            </w:pPr>
          </w:p>
        </w:tc>
        <w:tc>
          <w:tcPr>
            <w:tcW w:w="2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recognized in earnings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Commodity derivatives</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w w:val="78"/>
              </w:rPr>
              <w:t>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Gain on derivative instruments for the</w:t>
            </w: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effective portion of hedge recognized</w:t>
            </w:r>
          </w:p>
        </w:tc>
        <w:tc>
          <w:tcPr>
            <w:tcW w:w="1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AOCI</w:t>
            </w:r>
          </w:p>
        </w:tc>
        <w:tc>
          <w:tcPr>
            <w:tcW w:w="12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61.3</w:t>
            </w:r>
          </w:p>
        </w:tc>
        <w:tc>
          <w:tcPr>
            <w:tcW w:w="1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Gain reclassified from AOCI into</w:t>
            </w: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w w:val="95"/>
              </w:rPr>
              <w:t>income for effective portion of hedge</w:t>
            </w:r>
          </w:p>
        </w:tc>
        <w:tc>
          <w:tcPr>
            <w:tcW w:w="1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Natural gas sales</w:t>
            </w: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reclassified from AOCI into</w:t>
            </w: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income for effective portion of hedge</w:t>
            </w:r>
          </w:p>
        </w:tc>
        <w:tc>
          <w:tcPr>
            <w:tcW w:w="12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sales</w:t>
            </w: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Gain reclassified from AOCI into</w:t>
            </w: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w w:val="95"/>
              </w:rPr>
              <w:t>income for effective portion of hedge</w:t>
            </w:r>
          </w:p>
        </w:tc>
        <w:tc>
          <w:tcPr>
            <w:tcW w:w="12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Marketing purchases</w:t>
            </w: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recognized in income for the</w:t>
            </w:r>
          </w:p>
        </w:tc>
        <w:tc>
          <w:tcPr>
            <w:tcW w:w="1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ineffective portion of hedges</w:t>
            </w:r>
          </w:p>
        </w:tc>
        <w:tc>
          <w:tcPr>
            <w:tcW w:w="12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that derivative contracts that were outstanding and frozen in AOCI at June 30, 2012, having a frozen fair value of $120.0 million will be settled and reclassified from AOCI to the Condensed Consolidated Statements of Income during the next twelve months.</w:t>
      </w:r>
    </w:p>
    <w:p>
      <w:pPr>
        <w:sectPr>
          <w:pgSz w:w="11900" w:h="16838" w:orient="portrait"/>
          <w:cols w:equalWidth="0" w:num="1">
            <w:col w:w="11420"/>
          </w:cols>
          <w:pgMar w:left="240" w:top="122"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Costs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first quarter 2012, QEP announced the closure of its Oklahoma City office and the subsequent consolidation of its Southern Region operations into a single regional office located in Tulsa. The creation of one office for QEP’s Southern Region is intended to increase regional efficiency, team-based collaboration and organizational productivity, over the long-term. As part of this restructuring plan and office closure, QEP will incur costs associated with the severance and relocation of employees and other exit costs associated with the termination of the operating lease of its Oklahoma City office space. In addition, QEP has incurred costs from other restructuring and reorganization activities in an effort to centralize and gain efficiencies. All costs will be incurred by QEP Energy and are reported within QEP Energy’s financial statements. QEP anticipates total restructuring costs to be approximately $6.0 million, consisting of $2.1 million in one-time termination benefits, $3.4 million in retention and relocation expenses for certain employees relocating to the Tulsa office, and $0.5 million for the termination of the QEP’s Oklahoma City office space lease. During the three and six months ended June 30, 2012, a total of $2.3 million and $5.0 million, respectively, of restructuring costs were incurred and recorded in “General and administrative” expense on the Condensed Consolidated Statement of Income, of which $0.8 million and $1.9 million, respectively, related to one-time termination benefits. The remaining one-time termination benefits will be recognized ratably over the remaining transition period. QEP expects to recognize the remaining costs not yet incurred in the remainder of 2012. The relocation costs and contract termination costs will be recorded in future periods as the costs are incurred.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QEP Energy’s restructuring liability, which is included within “Accounts payable and accrued expenses”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Restructuring Liability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Costs incurred and charged to expense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paid or otherwise settled</w:t>
            </w: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28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the indicated dates, the principal amount of QEP’s debt, including amounts outstanding under its revolving credit facility,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640"/>
              <w:spacing w:after="0" w:line="198" w:lineRule="exact"/>
              <w:rPr>
                <w:sz w:val="20"/>
                <w:szCs w:val="20"/>
                <w:color w:val="auto"/>
              </w:rPr>
            </w:pPr>
            <w:r>
              <w:rPr>
                <w:rFonts w:ascii="Arial" w:cs="Arial" w:eastAsia="Arial" w:hAnsi="Arial"/>
                <w:sz w:val="18"/>
                <w:szCs w:val="18"/>
                <w:color w:val="auto"/>
              </w:rPr>
              <w:t>(in</w:t>
            </w:r>
          </w:p>
        </w:tc>
        <w:tc>
          <w:tcPr>
            <w:tcW w:w="580" w:type="dxa"/>
            <w:vAlign w:val="bottom"/>
            <w:gridSpan w:val="3"/>
          </w:tcPr>
          <w:p>
            <w:pPr>
              <w:jc w:val="center"/>
              <w:spacing w:after="0" w:line="198" w:lineRule="exact"/>
              <w:rPr>
                <w:sz w:val="20"/>
                <w:szCs w:val="20"/>
                <w:color w:val="auto"/>
              </w:rPr>
            </w:pPr>
            <w:r>
              <w:rPr>
                <w:rFonts w:ascii="Arial" w:cs="Arial" w:eastAsia="Arial" w:hAnsi="Arial"/>
                <w:sz w:val="18"/>
                <w:szCs w:val="18"/>
                <w:color w:val="auto"/>
                <w:w w:val="84"/>
              </w:rPr>
              <w:t>millions)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Arial" w:cs="Arial" w:eastAsia="Arial" w:hAnsi="Arial"/>
                <w:sz w:val="18"/>
                <w:szCs w:val="18"/>
                <w:color w:val="auto"/>
              </w:rPr>
              <w:t>Revolving Credit Facility due 2016</w:t>
            </w:r>
          </w:p>
        </w:tc>
        <w:tc>
          <w:tcPr>
            <w:tcW w:w="3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Term Loan due 2017</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6.05% Senior Notes due 2016</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176.8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6.80% Senior Notes due 2018</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6.80% Senior Notes due 2020</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136.0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6.875% Senior Notes due 2021</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5.375% Senior Notes due 2022</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principal amount of debt</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Less unamortized discount</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outstanding</w:t>
            </w:r>
          </w:p>
        </w:tc>
        <w:tc>
          <w:tcPr>
            <w:tcW w:w="3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1,866.6</w:t>
            </w:r>
          </w:p>
        </w:tc>
        <w:tc>
          <w:tcPr>
            <w:tcW w:w="44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the total debt outstanding on June 30, 2012, only the revolving credit facility, due August 25, 2016, the Term Loan due April 18, 2017, and the 6.05% Senior Notes, due September 1, 2016, will mature within the next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Arrangements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QEP’s revolving credit facility agreement (Credit Facility), which matures in August 2016, provides for loan commitments of $1.5 billion from a group of financial institutions. The Credit Facility provides for borrowing at short-term interest rates and contains customary covenants and restrictions. The revolving credit agreement also contains an accordion provision that would allow for the amount of the facility to be increased to $2.0 billion and for the maturity to be extended for up to two additional one-year periods.</w:t>
      </w:r>
    </w:p>
    <w:p>
      <w:pPr>
        <w:spacing w:after="0" w:line="21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first half of 2012, QEP’s weighted-average interest rate on borrowings from its Credit Facility was 2.05%. At June 30, 2012 and December 31, 2011, QEP was in compliance with the covenants under the credit agreement. At June 30, 2012, there were no borrowings outstanding and QEP had $4.1 million in letters of credit outstanding under the Credit Facility.</w:t>
      </w:r>
    </w:p>
    <w:p>
      <w:pPr>
        <w:sectPr>
          <w:pgSz w:w="11900" w:h="16838" w:orient="portrait"/>
          <w:cols w:equalWidth="0" w:num="1">
            <w:col w:w="11420"/>
          </w:cols>
          <w:pgMar w:left="240" w:top="122"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2012, QEP entered into a $300.0 million senior, unsecured term loan agreement (Term Loan) with a group of financial institutions. The Term Loan provides for borrowings at short-term interest rates and contains covenants, restrictions and interest rates that are substantially the same as the Company’s existing Credit Facility. The Term Loan matures in April 2017, and the maturity date may be extended one year with the agreement of the lenders. The proceeds from the Term Loan were used to pay down the Credit Facility and for general corporate purposes. During the second quarter of 2012, QEP’s weighted-average interest rate on borrowings from the Term Loan was 2.02%. At June 30, 2012, QEP was in compliance with the covenants under the credit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2012, QEP completed a public offering for $500.0 million in aggregate principal amount of 5.375% senior notes due in October 2022 (2022 Senior Notes). The 2022 Senior Notes were issued at face value. Interest on the 2022 Senior Notes will be paid semi-annually, in April and October of each respective year. The net proceeds of $493.1 million were used to repay indebtedness under QEP’s Credit Facility. The finance costs incurred of $6.9 million were deferred and are being amortized over the life of the notes. The amortization of all of the Company’s deferred finance costs is included in “Interest expense” on the Condensed Consolidated Statement of Income.</w:t>
      </w:r>
    </w:p>
    <w:p>
      <w:pPr>
        <w:spacing w:after="0" w:line="21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second quarter of 2012, QEP repurchased $6.7 million of its senior notes outstanding. QEP recognized a loss on extinguishment of debt from those repurchases and associated write-offs of debt issuance costs, discounts and premiums paid of $0.6 million. At June 30, 2012, the Company had $1,571.8 million principal amount of senior notes outstanding with maturities ranging from September 2016 to October 2022 and coupons ranging from 5.375% to</w:t>
      </w:r>
    </w:p>
    <w:p>
      <w:pPr>
        <w:ind w:right="20"/>
        <w:spacing w:after="0" w:line="254" w:lineRule="auto"/>
        <w:rPr>
          <w:sz w:val="20"/>
          <w:szCs w:val="20"/>
          <w:color w:val="auto"/>
        </w:rPr>
      </w:pPr>
      <w:r>
        <w:rPr>
          <w:rFonts w:ascii="Arial" w:cs="Arial" w:eastAsia="Arial" w:hAnsi="Arial"/>
          <w:sz w:val="18"/>
          <w:szCs w:val="18"/>
          <w:color w:val="auto"/>
        </w:rPr>
        <w:t>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Contingencies</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In accordance with ASC 450, a liability is recorded for a loss contingency when its occurrence is probable and damages can be reasonably estimated based on the anticipated most likely outcome or the minimum amount within a range of possible outcomes. QEP’s estimates are based on information known about the claims, experience in contesting, litigating and settling similar claims. Although actual amounts could differ from management’s estimates, QEP believes that the exposure to potential losses, in excess of the amount which has been accrued, from its probable contingencies is immaterial. For claims deemed reasonably possible the Company does not have a range of potential exposure as an estimate cannot be made because the cases are in their early stages or have a large number of plaintiffs. Disclosures are provided for contingencies reasonably possible to occur which would have a material adverse effect on the Company’s financial position, results of operations or cash flows but have not yet been accrued. Some of the claims involve numerous plaintiffs, highly complex issues relating to liability, damages and other matters subject to substantial uncertainties and, therefore, the probability of liability or an estimate of loss cannot be reasonably determined. The following discussion describes the nature of QEP’s major loss contingencies.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United States of America v. QEP Field Services</w:t>
      </w:r>
      <w:r>
        <w:rPr>
          <w:rFonts w:ascii="Arial" w:cs="Arial" w:eastAsia="Arial" w:hAnsi="Arial"/>
          <w:sz w:val="17"/>
          <w:szCs w:val="17"/>
          <w:color w:val="auto"/>
        </w:rPr>
        <w:t>, Civil No. 208CV167, U.S. District Court for Utah. As previously disclosed in the Company's Annual Report</w:t>
      </w:r>
      <w:r>
        <w:rPr>
          <w:rFonts w:ascii="Arial" w:cs="Arial" w:eastAsia="Arial" w:hAnsi="Arial"/>
          <w:sz w:val="17"/>
          <w:szCs w:val="17"/>
          <w:i w:val="1"/>
          <w:iCs w:val="1"/>
          <w:color w:val="auto"/>
        </w:rPr>
        <w:t xml:space="preserve"> </w:t>
      </w:r>
      <w:r>
        <w:rPr>
          <w:rFonts w:ascii="Arial" w:cs="Arial" w:eastAsia="Arial" w:hAnsi="Arial"/>
          <w:sz w:val="17"/>
          <w:szCs w:val="17"/>
          <w:color w:val="auto"/>
        </w:rPr>
        <w:t>on Form 10-K for the year ended December 31, 2011, and its Quarterly Report on Form 10-Q for the three months ended March 31, 2012, the U.S. Environmental Protection Agency (EPA) alleges that QEP Field Services (f/k/a Questar Gas Management) violated the Clean Air Act (CAA) and seeks substantial penalties and a permanent injunction involving the manner of operation of five compressor stations located in the Uinta Basin of eastern Utah. On May 16, 2012, QEP Field Services settled this matter through the parties’ execution of a consent decree which was subsequently approved by court order. The civil penalty payable to the government is $3.7 million. A contribution of $0.4 million will be payable to a non-profit corporation or trust to be created by the Ute Indian Tribe of the Uintah and Ouray Reservation for the implementation of environmental programs for the benefit of tribal members. The settlement also requires the company to reduce its emissions by removing certain equipment, installing additional pollution controls and replacing the natural gas powered instrument control systems with compressed air control systems, all of which will require capital expenditures of approximately $2.4 million, of which $0.5 million had be spent at June 30, 2012. QEP Field Services will have continuing operational compliance obligations under the consent decree at the affected facilities.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Chieftain Royalty Company v. QEP Energy Company</w:t>
      </w:r>
      <w:r>
        <w:rPr>
          <w:rFonts w:ascii="Arial" w:cs="Arial" w:eastAsia="Arial" w:hAnsi="Arial"/>
          <w:sz w:val="16"/>
          <w:szCs w:val="16"/>
          <w:color w:val="auto"/>
        </w:rPr>
        <w:t>, Case No CJ2011-1, U. S. District Court for Oklahoma. This is a class action filed by a royalty owner on</w:t>
      </w:r>
      <w:r>
        <w:rPr>
          <w:rFonts w:ascii="Arial" w:cs="Arial" w:eastAsia="Arial" w:hAnsi="Arial"/>
          <w:sz w:val="16"/>
          <w:szCs w:val="16"/>
          <w:i w:val="1"/>
          <w:iCs w:val="1"/>
          <w:color w:val="auto"/>
        </w:rPr>
        <w:t xml:space="preserve"> </w:t>
      </w:r>
      <w:r>
        <w:rPr>
          <w:rFonts w:ascii="Arial" w:cs="Arial" w:eastAsia="Arial" w:hAnsi="Arial"/>
          <w:sz w:val="16"/>
          <w:szCs w:val="16"/>
          <w:color w:val="auto"/>
        </w:rPr>
        <w:t>behalf of every QEP Energy royalty owner in the state of Oklahoma since 1988 asserting various claims for damages related to royalty valuation, including breach of contract, breach of fiduciary duty, fraud and conversion, based generally on asserted improper deduction of post-production costs. Because this case is in an early stage prior to full discovery, it is difficult to reasonably estimate potential liability. QEP Energy believes it has properly valued and paid royalty under Oklahoma law and will vigorously defend this claim. Because of the complexities and uncertainties of this legal dispute, including the early stage of discovery and the number of plaintiffs, it is difficult to predict all reasonably possible outcomes.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Questar Gas Company v. QEP Field Services Company</w:t>
      </w:r>
      <w:r>
        <w:rPr>
          <w:rFonts w:ascii="Arial" w:cs="Arial" w:eastAsia="Arial" w:hAnsi="Arial"/>
          <w:sz w:val="16"/>
          <w:szCs w:val="16"/>
          <w:color w:val="auto"/>
        </w:rPr>
        <w:t>, Civil No. 120902969, Third Judicial District Court, State of Utah. QEP Field Services’ former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affiliate Questar Gas Company (QGC) filed this complaint in state court in Utah on May 1, 2012, asserting claims for breach of contract, breach of implied covenant of good faith and fair dealing, for an accounting and declaratory judgment related to a 1993 gathering agreement (1993 Agreement) entered when the parties were affiliates. Under the 1993 Agreement, QEP Field Services provides gathering services for producing properties developed by former affiliate Wexpro Company on behalf of QGC’s utility ratepayers. The core dispute pertains to the annual recalculation of the gathering rate which is based on a cost of service concept expressed in the 1993 Agreement and in a 1998 amendment. The annual gathering rate has been calculated in the same manner under the contract since it was amended in 1998, without any prior objection or challenge by QGC. Specific monetary damages are not asserted. Because of the complexities and uncertainties of this legal dispute in its early stages, it is difficult to predict all reasonably possible outcomes. Also, on May 1, 2012, QEP Field Services Company filed a legal action against Questar Gas entitled </w:t>
      </w:r>
      <w:r>
        <w:rPr>
          <w:rFonts w:ascii="Arial" w:cs="Arial" w:eastAsia="Arial" w:hAnsi="Arial"/>
          <w:sz w:val="16"/>
          <w:szCs w:val="16"/>
          <w:i w:val="1"/>
          <w:iCs w:val="1"/>
          <w:color w:val="auto"/>
        </w:rPr>
        <w:t>QEP Field Services Company v. Questar Gas Company</w:t>
      </w:r>
      <w:r>
        <w:rPr>
          <w:rFonts w:ascii="Arial" w:cs="Arial" w:eastAsia="Arial" w:hAnsi="Arial"/>
          <w:sz w:val="16"/>
          <w:szCs w:val="16"/>
          <w:color w:val="auto"/>
        </w:rPr>
        <w:t>, in the Second District Court in Denver County, Colorado, seeking declaratory judgment relating to its gathering service and charges under the same agreement. While QEP Field Services intends to defend itself against QGC’s claims and vigorously pursue its legal rights, the claims involve complex legal issues and uncertainties that make it difficult to predict the outcome of the cases and therefore management cannot determine at this time whether this litigation may have an adverse material effect on its financial position,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5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share-based compensation is included in additional paid-in capital in the Condensed Consolidated Balance Sheets. There were 13.1 million shares available for future grants under the LTSIP at June 30, 2012. Share-based compensation expense is recognized in “General and administrative” on the Condensed Consolidated Statements of Income. During the three and six months ended June 30, 2012, QEP recognized $6.6 million and $12.3 million, respectively, in total compensation expense related to share-based compensation compared to $3.4 million and $10.8 million during the three and six months ended June 30,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QEP uses the Black-Scholes-Merton mathematical model to estimate the fair value of stock options for accounting purposes. Fair-value calculations rely upon subjective assumptions used in the mathematical model and may not be representative of future results. The Black-Scholes-Merton model is intended for measuring the value of options traded on an exchange.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Stock Option Variables</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114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June 30, 2012</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at grant date</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2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0.81%</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555"/>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jc w:val="right"/>
              <w:ind w:right="2319"/>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1160" w:type="dxa"/>
            <w:vAlign w:val="bottom"/>
            <w:tcBorders>
              <w:bottom w:val="single" w:sz="8" w:color="808080"/>
            </w:tcBorders>
          </w:tcPr>
          <w:p>
            <w:pPr>
              <w:spacing w:after="0"/>
              <w:rPr>
                <w:sz w:val="8"/>
                <w:szCs w:val="8"/>
                <w:color w:val="auto"/>
              </w:rPr>
            </w:pPr>
          </w:p>
        </w:tc>
        <w:tc>
          <w:tcPr>
            <w:tcW w:w="346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8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860" w:type="dxa"/>
            <w:vAlign w:val="bottom"/>
            <w:gridSpan w:val="3"/>
          </w:tcPr>
          <w:p>
            <w:pPr>
              <w:spacing w:after="0"/>
              <w:rPr>
                <w:sz w:val="20"/>
                <w:szCs w:val="20"/>
                <w:color w:val="auto"/>
              </w:rPr>
            </w:pPr>
            <w:r>
              <w:rPr>
                <w:rFonts w:ascii="Arial" w:cs="Arial" w:eastAsia="Arial" w:hAnsi="Arial"/>
                <w:sz w:val="18"/>
                <w:szCs w:val="18"/>
                <w:color w:val="auto"/>
                <w:w w:val="92"/>
              </w:rPr>
              <w:t>Stock option transactions under the terms of the LTSIP are summarized below:</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Outstanding</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 Term</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8"/>
              </w:rPr>
              <w:t>(per share)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291,143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(313,342)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Outstanding at June 30, 2012</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1,981,495</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24.71</w:t>
            </w:r>
          </w:p>
        </w:tc>
        <w:tc>
          <w:tcPr>
            <w:tcW w:w="1640" w:type="dxa"/>
            <w:vAlign w:val="bottom"/>
            <w:tcBorders>
              <w:bottom w:val="single" w:sz="8" w:color="CCEEFF"/>
            </w:tcBorders>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3.6</w:t>
            </w:r>
          </w:p>
        </w:tc>
        <w:tc>
          <w:tcPr>
            <w:tcW w:w="20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12.5</w:t>
            </w:r>
          </w:p>
        </w:tc>
      </w:tr>
      <w:tr>
        <w:trPr>
          <w:trHeight w:val="210"/>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Options Exercisable at June 30, 2012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1,500,192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22.19</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Options at June 30, 2012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481,303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32.56</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r>
    </w:tbl>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total intrinsic value (the difference between the market price at the exercise date and the exercise price) of options exercised was $6.9 million and $2.6 million during the six months ended June 30, 2012 and 2011, respectively. As of June 30, 2012, $4.6 million of unrecognized compensation cost related to stock options granted under the LTSIP is expected to be recognized over a weighted-average period of 2.4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Restricted share grants typically vest in equal installments over a three or four-year period from the grant date. The total fair value of restricted stock that vested during the six months ended June 30, 2012 and 2011, was $12.6 million and $9.9 million, respectively. The weighted average grant-date fair value of restricted stock was $30.74 per share and $39.14 per share for the six months ended June 30, 2012 and 2011, respectively. As of June 30, 2012, $25.3 million of unrecognized compensation cost related to restricted shares granted under the LTSIP is expected to be recognized over a weighted-average vesting period of 2.4 years.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w w:val="97"/>
              </w:rPr>
              <w:t>Transactions involving restricted shares under the terms of the LTSIP are summarized below:</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Restricted Shares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r>
      <w:tr>
        <w:trPr>
          <w:trHeight w:val="241"/>
        </w:trPr>
        <w:tc>
          <w:tcPr>
            <w:tcW w:w="11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Average Price</w:t>
            </w:r>
          </w:p>
        </w:tc>
      </w:tr>
      <w:tr>
        <w:trPr>
          <w:trHeight w:val="216"/>
        </w:trPr>
        <w:tc>
          <w:tcPr>
            <w:tcW w:w="11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88"/>
              </w:rPr>
              <w:t>(per share)</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1,099,752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706,221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(49,209)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Unvested balance at June 30, 2012</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1,359,560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$30.90 per share and $39.07 per share for the six months ended June 30, 2012 and 2011, respectively. As of June 30, 2012, $5.3 million of unrecognized compensation cost, or the fair market value, related to performance shares granted under the CIP is expected to be recognized over a weighted-average vesting period of 2.4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Performance Share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Units Outstanding</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171,954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(4,148)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Unvested balance at June 30, 2012</w:t>
            </w: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283,080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256"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Company has a funded qualified defined benefit pension plan and an unfunded supplemental defined benefit pension plan. The Company also has unfunded postretirement benefits that provide certain health care and life insurance benefits for certain retired employees. During the six months ended June 30, 2012, the Company made contributions of $2.7 million to its funded pension plan, and $1.0 million to its unfunded pension plan. Contributions to funded plans increase plan assets while contributions to unfunded plans are used to fund current benefit payments. During the remainder of 2012, the Company expects to contribute approximately $3.6 million to its funded pension plans, and approximately $0.3 million to its unfunded pension plans. In July 2012, Congress passed the Moving Ahead for Progress in the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Century Act, which included pension funding stabilization provisions. The measure, which is designed to stabilize the discount rate used to determine funding requirements from the effects of interest rate volatility, may reduce the Company’s United States Pension Plan contributions during 2012 from the planned amounts.</w:t>
      </w:r>
    </w:p>
    <w:p>
      <w:pPr>
        <w:sectPr>
          <w:pgSz w:w="11900" w:h="16838" w:orient="portrait"/>
          <w:cols w:equalWidth="0" w:num="1">
            <w:col w:w="11420"/>
          </w:cols>
          <w:pgMar w:left="240" w:top="114" w:right="239" w:bottom="538"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538"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720" w:type="dxa"/>
            <w:vAlign w:val="bottom"/>
            <w:gridSpan w:val="7"/>
          </w:tcPr>
          <w:p>
            <w:pPr>
              <w:spacing w:after="0"/>
              <w:rPr>
                <w:sz w:val="20"/>
                <w:szCs w:val="20"/>
                <w:color w:val="auto"/>
              </w:rPr>
            </w:pPr>
            <w:r>
              <w:rPr>
                <w:rFonts w:ascii="Arial" w:cs="Arial" w:eastAsia="Arial" w:hAnsi="Arial"/>
                <w:sz w:val="18"/>
                <w:szCs w:val="18"/>
                <w:color w:val="auto"/>
                <w:w w:val="91"/>
              </w:rPr>
              <w:t>The following table sets forth the Company’s pension and postretirement benefits net period benefit costs: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82"/>
              </w:rPr>
              <w:t>Pension</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19"/>
                <w:szCs w:val="19"/>
                <w:color w:val="auto"/>
              </w:rPr>
            </w:pPr>
          </w:p>
        </w:tc>
        <w:tc>
          <w:tcPr>
            <w:tcW w:w="23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30"/>
              <w:spacing w:after="0"/>
              <w:rPr>
                <w:sz w:val="20"/>
                <w:szCs w:val="20"/>
                <w:color w:val="auto"/>
              </w:rPr>
            </w:pPr>
            <w:r>
              <w:rPr>
                <w:rFonts w:ascii="Arial" w:cs="Arial" w:eastAsia="Arial" w:hAnsi="Arial"/>
                <w:sz w:val="18"/>
                <w:szCs w:val="18"/>
                <w:color w:val="auto"/>
                <w:w w:val="78"/>
              </w:rPr>
              <w:t>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Amortization of prior service costs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98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Periodic expense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2.5</w:t>
            </w:r>
          </w:p>
        </w:tc>
        <w:tc>
          <w:tcPr>
            <w:tcW w:w="1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
        </w:trPr>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9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1"/>
              </w:rPr>
              <w:t>Postretirement benefits</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19"/>
                <w:szCs w:val="19"/>
                <w:color w:val="auto"/>
              </w:rPr>
            </w:pPr>
          </w:p>
        </w:tc>
        <w:tc>
          <w:tcPr>
            <w:tcW w:w="23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30"/>
              <w:spacing w:after="0"/>
              <w:rPr>
                <w:sz w:val="20"/>
                <w:szCs w:val="20"/>
                <w:color w:val="auto"/>
              </w:rPr>
            </w:pPr>
            <w:r>
              <w:rPr>
                <w:rFonts w:ascii="Arial" w:cs="Arial" w:eastAsia="Arial" w:hAnsi="Arial"/>
                <w:sz w:val="18"/>
                <w:szCs w:val="18"/>
                <w:color w:val="auto"/>
                <w:w w:val="78"/>
              </w:rPr>
              <w:t>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Amortization of prior service costs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98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Periodic expense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1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
        </w:trPr>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Operations by Line of Business</w:t>
      </w:r>
    </w:p>
    <w:p>
      <w:pPr>
        <w:spacing w:after="0" w:line="25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QEP’s lines of business include natural gas and oil exploration and production (QEP Energy), midstream field services (QEP Field Services) and marketing (QEP Marketing and other). The lines of business are managed separately and therefore the financial information is presented separately due to the distinct differences in the nature of operations of each line of business, among other factors.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20" w:type="dxa"/>
            <w:vAlign w:val="bottom"/>
            <w:gridSpan w:val="6"/>
          </w:tcPr>
          <w:p>
            <w:pPr>
              <w:spacing w:after="0"/>
              <w:rPr>
                <w:sz w:val="20"/>
                <w:szCs w:val="20"/>
                <w:color w:val="auto"/>
              </w:rPr>
            </w:pPr>
            <w:r>
              <w:rPr>
                <w:rFonts w:ascii="Arial" w:cs="Arial" w:eastAsia="Arial" w:hAnsi="Arial"/>
                <w:sz w:val="18"/>
                <w:szCs w:val="18"/>
                <w:color w:val="auto"/>
              </w:rPr>
              <w:t>The following table is a summary of operating results by line of business: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QEP Field</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QEP Marketing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Services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&amp; Other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For the three months ended June 30, 2012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62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750"/>
              <w:spacing w:after="0" w:line="201" w:lineRule="exact"/>
              <w:rPr>
                <w:sz w:val="20"/>
                <w:szCs w:val="20"/>
                <w:color w:val="auto"/>
              </w:rPr>
            </w:pPr>
            <w:r>
              <w:rPr>
                <w:rFonts w:ascii="Arial" w:cs="Arial" w:eastAsia="Arial" w:hAnsi="Arial"/>
                <w:sz w:val="18"/>
                <w:szCs w:val="18"/>
                <w:color w:val="auto"/>
                <w:w w:val="75"/>
              </w:rPr>
              <w:t>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unaffiliated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335.5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83.4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From affiliated customers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118.2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198.6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expense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Lease operating expense</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Natural gas, oil and NGL transportation and other handling</w:t>
            </w: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Production and property taxes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198.8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Operating (loss) income </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Realized and unrealized gains (losses) on derivative contracts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Net (loss) income attributable to QEP </w:t>
            </w:r>
            <w:r>
              <w:rPr>
                <w:rFonts w:ascii="Arial" w:cs="Arial" w:eastAsia="Arial" w:hAnsi="Arial"/>
                <w:sz w:val="25"/>
                <w:szCs w:val="25"/>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33.3</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11061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395" w:lineRule="exact"/>
        <w:rPr>
          <w:sz w:val="20"/>
          <w:szCs w:val="20"/>
          <w:color w:val="auto"/>
        </w:rPr>
      </w:pPr>
    </w:p>
    <w:p>
      <w:pPr>
        <w:ind w:left="500" w:hanging="322"/>
        <w:spacing w:after="0"/>
        <w:tabs>
          <w:tab w:leader="none" w:pos="50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impact of QEP’s settled derivative contracts, for the three months ended June 30, 2012, are reflected below operating (loss) income.</w:t>
      </w:r>
    </w:p>
    <w:p>
      <w:pPr>
        <w:spacing w:after="0" w:line="1" w:lineRule="exact"/>
        <w:rPr>
          <w:rFonts w:ascii="Arial" w:cs="Arial" w:eastAsia="Arial" w:hAnsi="Arial"/>
          <w:sz w:val="25"/>
          <w:szCs w:val="25"/>
          <w:color w:val="auto"/>
          <w:vertAlign w:val="superscript"/>
        </w:rPr>
      </w:pPr>
    </w:p>
    <w:p>
      <w:pPr>
        <w:jc w:val="both"/>
        <w:ind w:left="500" w:right="120" w:hanging="322"/>
        <w:spacing w:after="0" w:line="221" w:lineRule="auto"/>
        <w:tabs>
          <w:tab w:leader="none" w:pos="50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Operating (loss) income for the three months ended June 30, 2012, excludes the impact of realized commodity derivative contract settlements. During the three months ended June 30, 2012, gains and losses from realized commodity derivative contract settlements were included below operating (loss) income.</w:t>
      </w:r>
    </w:p>
    <w:p>
      <w:pPr>
        <w:ind w:left="500" w:right="40" w:hanging="322"/>
        <w:spacing w:after="0" w:line="209" w:lineRule="auto"/>
        <w:tabs>
          <w:tab w:leader="none" w:pos="50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Net income (loss) attributable to QEP for the three months ended June 30, 2012, includes the impact of unrealized gains and losses from changes in the fair value of the commodity derivative contracts.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QEP Field</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QEP Marketing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Services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&amp; Other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For the three months ended June 30, 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62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750"/>
              <w:spacing w:after="0" w:line="201" w:lineRule="exact"/>
              <w:rPr>
                <w:sz w:val="20"/>
                <w:szCs w:val="20"/>
                <w:color w:val="auto"/>
              </w:rPr>
            </w:pPr>
            <w:r>
              <w:rPr>
                <w:rFonts w:ascii="Arial" w:cs="Arial" w:eastAsia="Arial" w:hAnsi="Arial"/>
                <w:sz w:val="18"/>
                <w:szCs w:val="18"/>
                <w:color w:val="auto"/>
                <w:w w:val="75"/>
              </w:rPr>
              <w:t>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unaffiliated customers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102.0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From affiliated customers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Lease operating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Natural gas, oil and NGL transportation and other handling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Production and property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gain (loss) from asset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and other (loss)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Net income attributable to QEP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11061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0" w:right="160" w:hanging="322"/>
        <w:spacing w:after="0" w:line="232" w:lineRule="auto"/>
        <w:tabs>
          <w:tab w:leader="none" w:pos="50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Revenues for the three months ended June 30, 2011, have been recast to reflect QEP’s revised reporting of its transportation and handling costs. See Note 2 - Basis of Presentation of Interim Consolidated Financial Statements for additional information. In addition, revenues for the three months ended June 30, 2011, reflect the impact of QEP’s settled derivative contracts. See Note 6 - Derivative Contracts for detailed information on derivative contract settlements in the three months ended June 30, 2011.</w:t>
      </w:r>
    </w:p>
    <w:p>
      <w:pPr>
        <w:ind w:left="500" w:right="260" w:hanging="322"/>
        <w:spacing w:after="0" w:line="209" w:lineRule="auto"/>
        <w:tabs>
          <w:tab w:leader="none" w:pos="50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Under hedge accounting, gains and losses from realized commodity derivative contract settlements were included in revenues and operating income during the three months ended June 30, 2011.</w:t>
      </w:r>
    </w:p>
    <w:p>
      <w:pPr>
        <w:spacing w:after="0" w:line="1" w:lineRule="exact"/>
        <w:rPr>
          <w:rFonts w:ascii="Arial" w:cs="Arial" w:eastAsia="Arial" w:hAnsi="Arial"/>
          <w:sz w:val="25"/>
          <w:szCs w:val="25"/>
          <w:color w:val="auto"/>
          <w:vertAlign w:val="superscript"/>
        </w:rPr>
      </w:pPr>
    </w:p>
    <w:p>
      <w:pPr>
        <w:ind w:left="500" w:right="100" w:hanging="322"/>
        <w:spacing w:after="0" w:line="209" w:lineRule="auto"/>
        <w:tabs>
          <w:tab w:leader="none" w:pos="50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Under hedge accounting, unrealized gains and losses from changes in the fair value were deferred in accumulated other comprehensive income during the three months ended June 30, 2011.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QEP Field</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QEP Marketing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Services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&amp; Other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For the six months ended June 30, 2012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62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750"/>
              <w:spacing w:after="0" w:line="201" w:lineRule="exact"/>
              <w:rPr>
                <w:sz w:val="20"/>
                <w:szCs w:val="20"/>
                <w:color w:val="auto"/>
              </w:rPr>
            </w:pPr>
            <w:r>
              <w:rPr>
                <w:rFonts w:ascii="Arial" w:cs="Arial" w:eastAsia="Arial" w:hAnsi="Arial"/>
                <w:sz w:val="18"/>
                <w:szCs w:val="18"/>
                <w:color w:val="auto"/>
                <w:w w:val="75"/>
              </w:rPr>
              <w:t>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unaffiliated customers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177.0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From affiliated customers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56.3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250.5</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443.7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Lease operating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Natural gas, oil and NGL transportation and other handling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Production and property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447.5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gain from asset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Operating (loss) income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Realized and unrealized gains on derivative contracts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Net income (loss) attributable to QEP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111061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368" w:lineRule="exact"/>
        <w:rPr>
          <w:sz w:val="20"/>
          <w:szCs w:val="20"/>
          <w:color w:val="auto"/>
        </w:rPr>
      </w:pPr>
    </w:p>
    <w:p>
      <w:pPr>
        <w:ind w:left="500" w:hanging="322"/>
        <w:spacing w:after="0"/>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impact of QEP’s settled derivative contracts, for the six months ended June 30, 2012, are reflected below operating (loss) income.</w:t>
      </w:r>
    </w:p>
    <w:p>
      <w:pPr>
        <w:spacing w:after="0" w:line="1" w:lineRule="exact"/>
        <w:rPr>
          <w:rFonts w:ascii="Arial" w:cs="Arial" w:eastAsia="Arial" w:hAnsi="Arial"/>
          <w:sz w:val="25"/>
          <w:szCs w:val="25"/>
          <w:color w:val="auto"/>
          <w:vertAlign w:val="superscript"/>
        </w:rPr>
      </w:pPr>
    </w:p>
    <w:p>
      <w:pPr>
        <w:ind w:left="500" w:hanging="322"/>
        <w:spacing w:after="0" w:line="221" w:lineRule="auto"/>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Operating (loss) income for the six months ended June 30, 2012, excludes the impact of realized commodity derivative contract settlements. During the six months ended June 30, 2012, gains and losses from realized commodity derivative contract settlements were included below operating (loss) income.</w:t>
      </w:r>
    </w:p>
    <w:p>
      <w:pPr>
        <w:ind w:left="500" w:right="180" w:hanging="322"/>
        <w:spacing w:after="0" w:line="209" w:lineRule="auto"/>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Net (loss) income attributable to QEP for the six months ended June 30, 2012, includes the impact of unrealized gains and losses from changes in the fair value of the commodity derivative contracts.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QEP Field</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QEP Marketing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QEP Energy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Services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&amp; Other</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80" w:type="dxa"/>
            <w:vAlign w:val="bottom"/>
            <w:gridSpan w:val="3"/>
          </w:tcPr>
          <w:p>
            <w:pPr>
              <w:spacing w:after="0" w:line="201" w:lineRule="exact"/>
              <w:rPr>
                <w:sz w:val="20"/>
                <w:szCs w:val="20"/>
                <w:color w:val="auto"/>
              </w:rPr>
            </w:pPr>
            <w:r>
              <w:rPr>
                <w:rFonts w:ascii="Arial" w:cs="Arial" w:eastAsia="Arial" w:hAnsi="Arial"/>
                <w:sz w:val="18"/>
                <w:szCs w:val="18"/>
                <w:b w:val="1"/>
                <w:bCs w:val="1"/>
                <w:i w:val="1"/>
                <w:iCs w:val="1"/>
                <w:color w:val="auto"/>
              </w:rPr>
              <w:t>For the six months ended June 30, 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620"/>
              <w:spacing w:after="0" w:line="201" w:lineRule="exact"/>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750"/>
              <w:spacing w:after="0" w:line="201" w:lineRule="exact"/>
              <w:rPr>
                <w:sz w:val="20"/>
                <w:szCs w:val="20"/>
                <w:color w:val="auto"/>
              </w:rPr>
            </w:pPr>
            <w:r>
              <w:rPr>
                <w:rFonts w:ascii="Arial" w:cs="Arial" w:eastAsia="Arial" w:hAnsi="Arial"/>
                <w:sz w:val="18"/>
                <w:szCs w:val="18"/>
                <w:color w:val="auto"/>
                <w:w w:val="75"/>
              </w:rPr>
              <w:t>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unaffiliated customers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175.3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From affiliated customers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Lease operating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Natural gas, oil and NGL transportation and other handling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Production and property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depletion and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gain (loss) from asset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Net income attributable to QEP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11061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0" w:right="40" w:hanging="322"/>
        <w:spacing w:after="0" w:line="232" w:lineRule="auto"/>
        <w:tabs>
          <w:tab w:leader="none" w:pos="50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Revenues for the six months ended June 30, 2011, have been recast to reflect QEP’s revised reporting of its transportation and handling costs. See Note 2 - Basis of Presentation of Interim Consolidated Financial Statements for additional information. In addition, revenues for the six months ended June 30, 2011, reflect the impact of QEP’s settled derivative contracts. See Note 6 - Derivative Contracts for detailed information on derivative contract settlements in the six months ended June 30, 2011.</w:t>
      </w:r>
    </w:p>
    <w:p>
      <w:pPr>
        <w:ind w:left="500" w:right="220" w:hanging="322"/>
        <w:spacing w:after="0" w:line="209" w:lineRule="auto"/>
        <w:tabs>
          <w:tab w:leader="none" w:pos="50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Under hedge accounting, realized gains and losses from realized commodity derivative contract settlements were included in revenues and operating income during the three and six months ended June 30, 2011.</w:t>
      </w:r>
    </w:p>
    <w:p>
      <w:pPr>
        <w:spacing w:after="0" w:line="1" w:lineRule="exact"/>
        <w:rPr>
          <w:rFonts w:ascii="Arial" w:cs="Arial" w:eastAsia="Arial" w:hAnsi="Arial"/>
          <w:sz w:val="25"/>
          <w:szCs w:val="25"/>
          <w:color w:val="auto"/>
          <w:vertAlign w:val="superscript"/>
        </w:rPr>
      </w:pPr>
    </w:p>
    <w:p>
      <w:pPr>
        <w:ind w:left="500" w:right="100" w:hanging="322"/>
        <w:spacing w:after="0" w:line="209" w:lineRule="auto"/>
        <w:tabs>
          <w:tab w:leader="none" w:pos="50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Under hedge accounting, unrealized gains and losses from changes in the fair value were deferred in accumulated other comprehensive income during the three and six months ended June 30, 2011.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21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2011 Annual Report on Form 10-K filing and analyzes the changes in the results of operations between the three and six-month periods ended June 30, 2012 and 2011. For definitions of commonly used gas and oil terms found in this Quarterly Report on Form 10-Q, please refer to the “Glossary of Commonly Used Terms” provided in QEP’s 2011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 natural gas and crude oil exploration and production; midstream field services; and energy marketing. These businesses are conducted through the Company’s three principal subsidiaries:</w:t>
      </w:r>
    </w:p>
    <w:p>
      <w:pPr>
        <w:spacing w:after="0" w:line="174" w:lineRule="exact"/>
        <w:rPr>
          <w:sz w:val="20"/>
          <w:szCs w:val="20"/>
          <w:color w:val="auto"/>
        </w:rPr>
      </w:pPr>
    </w:p>
    <w:p>
      <w:pPr>
        <w:ind w:left="340" w:right="6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crude oil, and natural gas liquids (NGL) in two principal operating regions in the United States: the Northern Region, which includes the Pinedale Division with properties on the Pinedale Anticline in western Wyoming, the Uinta Basin Division with properties in eastern Utah, and the Legacy Division, with properties in the Bakken/Three Forks area in western North Dakota, the Greater Green River and Powder River Basins of Wyoming and other properties primarily in Colorado and New Mexico, and the Southern Region, which includes the Haynesville/Cotton Valley Division with properties in northwest Louisiana and the Midcontinent Division with properties primarily located in Oklahoma and the Texas Panhandle;</w:t>
      </w:r>
    </w:p>
    <w:p>
      <w:pPr>
        <w:spacing w:after="0" w:line="22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 the Northern Region and northwest Louisiana, including natural gas gathering and processing, compression and treating services, for affiliates and third parties; and</w:t>
      </w:r>
    </w:p>
    <w:p>
      <w:pPr>
        <w:spacing w:after="0" w:line="197"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provides risk-management services, and owns and operates an underground gas storage reservoir.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create value for our shareholders through a returns-focused investment, superior operational execution, and a low-cost business model. To achieve these objectives we strive to:</w:t>
      </w:r>
    </w:p>
    <w:p>
      <w:pPr>
        <w:spacing w:after="0" w:line="1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Allocate capital to those projects that generate optimal returns;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contiguous acreage positions to drive operating efficiencies;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Own and operate midstream infrastructure in our core producing areas to capture value downstream of the wellhead;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natural gas streams;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Gather, compress and treat our production to drive down costs;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252"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natural gas, crude oil or NGL price volatility, while locking acceptable cash flows required to support future capital expenditures;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252" w:lineRule="exact"/>
        <w:rPr>
          <w:rFonts w:ascii="Arial" w:cs="Arial" w:eastAsia="Arial" w:hAnsi="Arial"/>
          <w:sz w:val="18"/>
          <w:szCs w:val="18"/>
          <w:color w:val="auto"/>
        </w:rPr>
      </w:pPr>
    </w:p>
    <w:p>
      <w:pPr>
        <w:ind w:left="340" w:right="100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substantial acreage positions and operations in some of the most prolific hydrocarbon resource plays in the continental United States, including the Bakken/Three Forks, Pinedale,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unsuccessful wells. Resource plays allow the Company the</w:t>
      </w:r>
    </w:p>
    <w:p>
      <w:pPr>
        <w:sectPr>
          <w:pgSz w:w="11900" w:h="16838" w:orient="portrait"/>
          <w:cols w:equalWidth="0" w:num="1">
            <w:col w:w="11420"/>
          </w:cols>
          <w:pgMar w:left="240" w:top="121" w:right="239" w:bottom="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like its peers, has experienced rising drilling and completion costs which could impact future drilling plans.</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While predominantly a natural gas producer, the Company has increased its focus on growing the relative proportion of crude oil and NGL production in its exploration and production business. QEP Energy oil and NGL production increased by 106% in the second quarter of 2012 compared with the second quarter of 2011. During the six months ended June 30, 2012, QEP Energy oil and NGL production increased 109% compared with the six months ended June 30, 2011. In the second quarter of 2012 oil and NGL revenue accounted for approximately 52% of QEP Energy’s field-level production revenues compared to 30% in the second quarter of 2011. During the first half of 2012, oil and NGL revenue accounted for approximately 51% of QEP Energy’s field-level production revenues compared to 27% during the first half of 2011. The increased NGL volumes in the second quarter and first half of 2012, were primarily the result of the agreement entered into by QEP Energy with QEP Field Services for Pinedale production, in August of 2011, for fee-based processing at the Blacks Fork II plant, liquids recovered for QEP Energy by QEP Field Services in the Uinta Basin and the liquids recovered for QEP Energy by third party processors associated with the development of liquids-rich plays in the Midcontinent and Bakken/Three Forks areas. QEP Energy has allocated approximately 90% of its 2012 total forecasted capital expenditure budget to oil and liquids-rich natural gas plays due to depressed natural gas prices.</w:t>
      </w:r>
    </w:p>
    <w:p>
      <w:pPr>
        <w:spacing w:after="0" w:line="19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While QEP believes that it can grow production and reserves from an extensive inventory of drilling locations, the Company also evaluates acquisition opportunities that might have the potential to create significant long-term value. QEP believes that its experience, expertise, and substantial presence in its core operating areas, combined with its low-cost operating model and financial strength, enhance its ability to pursue acquisition opportunities.</w:t>
      </w:r>
    </w:p>
    <w:p>
      <w:pPr>
        <w:spacing w:after="0" w:line="17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QEP also owns and operates gathering and transmission pipelines and natural gas processing and treatment facilities in many of its core producing areas. These assets allow the Company to promptly connect its wells, better control its costs, and generate a significant, consistent revenue stream by providing gathering and processing services to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5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the three and six months ended June 30, 2012, the Company had substantial production growth at QEP Energy, as well as increased processing and gathering volumes at QEP Field Services. In the second quarter of 2012, QEP Energy reported production of 79.6 Bcfe compared to 64.7 Bcfe in the second quarter of 2011, an increase of 23%. During the first half of 2012, QEP Energy reported total equivalent production of 153.8 Bcfe, 18% higher than the first half of 2011. During both the three and six months ended June 30, 2012, the Southern Region contributed 55% of total equivalent production, and the Northern Region contributed 45% of total equivalent production. QEP Field Services gathering throughput volumes during the three and six months ended June 30, 2012, were 11% and 7% higher than the 2011 comparable periods. QEP Field Services reported gathering system throughput of 1.5 million MMBtu per day for the second quarter of 2012, up from 1.3 million MMBtu per day in the second quarter of 2011. During the first half of 2012, QEP Field Services gathering system throughput was 1.4 million MMBtu per day compared to 1.3 million MMBtu per day in the first half of 2011. During the three and six months ended June 30, 2012, QEP Field Services reported 14% and 35% increases in NGL sales volumes, respectively. QEP Field Services fee-based processing volumes were 7% and 6% higher in the three and six months of 2012, respectively, when compared to the prior year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increases in production at QEP Energy and system throughput at QEP Field Services were offset by decreased commodity prices at both QEP Energy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QEP Field Services. For the three and six months ended June 30, 2012, QEP Energy’s average total net realized equivalent price was $5.13 per Mcfe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$5.29 per Mcfe compared to $5.71 per Mcfe and $5.60 per Mcfe during the three and six months ended June 30, 2011, respectively. In addition, at QEP Field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the increase in NGL sales volumes was more than offset by a 21% decrease in the per unit NGL margin (NGL revenue, including realized derivative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gains, less fuel and shrink), resulting in a 43% decrease to the keep-whole processing margin during the second quarter of 2012. QEP Field Services’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NGL sales volumes during the first half of 2012 were more than offset by a 5% decrease in the per unit NGL margin, resulting in a 6% decrease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keep-whole processing margin when compared the same period last year.</w:t>
      </w:r>
    </w:p>
    <w:p>
      <w:pPr>
        <w:spacing w:after="0" w:line="23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first quarter of 2012, QEP completed a public offering for $500.0 million in aggregate principal amount of 5.375% senior notes due in October 2022 (2022 Senior Notes). The 2022 Senior Notes were issued at face value. The net proceeds of $493.1 million were used to repay indebtedness under QEP’s revolving credit facility. Interest on the 2022 Senior Notes is payable April 1 and October 1 of each year, with the first interest payment due on October 1, 2012.</w:t>
      </w: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second quarter of 2012, QEP entered into a $300.0 million senior unsecured term loan agreement (Term Loan) with a group of financial institutions. The Term Loan provides for borrowings at short-term interest rates and contains covenants, restrictions and interest rates that are substantially the same as the Company’s existing revolving credit agreement. The Term Loan matures in April 2017, and the maturity date may be extended one year with the agreement of the lenders. In conjunction with the Term Loan, QEP entered into interest rate swap contracts with an aggregate notional amount of $300.0 million that effectively locks in a fixed rate that QEP will pay over the duration of the Term Loan.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Natural Gas, and NGL Prices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costs of goods and services required to drill and complete wells, and may impact the carrying value of its oil and natural gas properties.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As of June 30, 2012, QEP Energy had approximately 70% of its remaining forecasted 2012 natural gas, oil and NGL production covered with fixed-price swaps or costless collars assuming 2012 annual production of 307.5 Bcfe, including 79% of its remaining forecasted 2012 natural gas production covered with fixed-price swaps assuming 2012 annual natural gas production of 242.5 Bcfe. During the first half of 2012, QEP entered into commodity derivative contracts for a greater portion of its 2012 natural gas production in light of concerns of oversupply in the natural gas market. See Item 3 “Quantitative and Qualitative Disclosures about Market Risk—Commodity Derivative Transactions” for further details concerning QEP’s commodity derivatives transactions. In addition, as a result of the continued spread between oil and natural gas prices, QEP Energy has allocated approximately 90% of its forecasted 2012 drilling and completion capital expenditure budget to oil and liquids-rich natural gas projects in its portfolio.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Derivative Gains and Losses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elected to discontinue hedge accounting beginning January 1, 2012, and unrealized gains and losses from mark-to-market valuations of all derivative positions are reflected as unrealized derivative gains or losses in the Company’s income statement. See Note 6 - Derivative Contracts to the Condensed Consolidated Financial Statements, in Item 1, Part I of this Quarterly Report on Form 10-Q for additional information regarding the discontinuance of hedge accounting. Payments due to or from counterparties in the future on these derivatives will typically be offset by corresponding changes in prices ultimately received from the sale of QEP’s production. QEP has incurred significant unrealized gains and losses in the first half of 2012 and in prior periods and may continue to incur these types of gains and losses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QEP continues to monitor the outlook of the global economy, including the European debt crisis and its potential impact on global economic growth and the banking and financial sectors, political unrest in the Middle East, the United States federal budget deficit,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natural gas, NGL and crude oil supply, demand and prices.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the U.S. natural gas directed drilling rig count peaked in late 2011, the inventory of drilled gas wells waiting on completion caused the decreased natural gas production response to lag the downturn in the natural gas rig count. As a result of the lag, U.S. natural gas production eventually began to decline during the second quarter of 2012. The U.S. natural gas market entered the storage injection season with record high inventory levels. However, the combination of strong natural gas demand from electric power generation, combined with recent declines in U.S. natural gas production, has led to a decrease in natural gas inventories, resulting in a general firming of natural gas prices at the end of the second quarter of 2012. Despite increased stability in natural gas prices at the end of the second quarter of 2012, QEP expects U.S. natural gas prices to remain volatile and well below the five year average price over the next 12 to 18 months. Continued low natural gas prices have caused U.S. E&amp;P companies, including QEP, to shift capital investments away from predominantly dry gas areas towards fields that are known to have liquids-rich natural gas and crude oil deposits. This shift in focus has caused domestic NGL production to increase dramatically. The increased NGL supplies, the warmer than average winter of 2011-2012, and price dislocations from infrastructure bottlenecks in certain regions, have all contributed to a weakening in domestic NGL prices. QEP expects NGL prices to remain volatile for the foreseeable future. QEP anticipates global crude oil prices to remain near current levels, assuming the global economy and socio-political backdrops remain relatively stable. Disruption to the global oil supply system, political and/or economic instability, and/or other factors could trigger additional volatility in crude oil prices. In addition, transportation, refining, or other infrastructure constraints could introduce significant price differentials between regional markets where QEP sells its crude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ectPr>
          <w:pgSz w:w="11900" w:h="16838" w:orient="portrait"/>
          <w:cols w:equalWidth="0" w:num="1">
            <w:col w:w="11420"/>
          </w:cols>
          <w:pgMar w:left="240" w:top="121"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and first half of 2012, QEP recorded non-cash, price-related impairment charges of $48.9 million and $49.3 million,</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respectively, on some of its proved properties. The impairment charges related to the reduced value of certain fields resulting from lower natural gas, crude oil and NGL prices. The assets were written down to their estimated fair values. Of the $49.3 million impairment charge during the six months ended June 30, 2012, $48.9 million related to proved properties in the Southern Region and $0.4 million related to proved properties in the Northern Region.</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first half of 2012, U.S. natural gas prices were lower than in the first half of 2011, due to market concerns about growing natural gas production and record high levels of natural gas storage after an unusually warm winter season. The carrying values of some of the Company’s properties are sensitive to declines in natural gas, crude oil and NGL prices. These assets are at risk of impairment if future prices for natural gas, crude oil or NGL prices decline. The cash flow model that the Company uses to assess proved properties for impairment includes numerous assumptions, such as management’s estimates of future oil and gas production, market outlook on forward commodity prices, operating and development costs, and discount rates. All inputs to the cash flow model must be evaluated at each date of estimate. However, a decrease in forward natural gas, crude oil and NGL prices alone could result in an impairment of properties. For additional information see Item 1A - Risk Factors of Part I and see Item 8, Note 1 - Significant Accounting Policies of Part II of QEP’s 2011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Dodd-Frank Act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Dodd-Frank Wall Street Reform and Consumer Protection Act (Dodd-Frank Act), was passed by Congress and signed into law in July 2010, establishing the Commodity Futures Trading Commission (CFTC). The Dodd-Frank Act is designed to provide a comprehensive framework for the regulation of the over-the-counter derivatives market with the intent to provide greater transparency and reduction of risk between counterparties. The Dodd-Frank Act subjects swap dealers and major swap participants to capital and margin requirements and requires many derivative transactions to be cleared on exchanges. The Dodd-Frank Act provides for a potential exemption from these clearing and cash collateral requirements for commercial end-users. QEP is currently evaluating the CFTC's final rules and assessing the impact on the Company’s risk management program. In its initial evaluation, QEP believes it will meet the requirements for the commercial end-user clearing exception and be able to continue to execute derivative transactions and not be required to meet the mandated clearing requirements. The CFTC's final rules are expected to have an impact on many of QEP's derivatives counterparties which may result in additional costs that may be passed on to the Company, thereby potentially decreasing the relative effectiveness of our derivatives and potential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QEP’s significant accounting policies are described in Item 7 of Part II of its 2011 Annual Report on Form 10-K. The Company’s Condensed Consolidated Financial Statements are prepared in accordance with United States Generally Accepted Accounting Principles (GAAP). The preparation of the Company’s Condensed Consolidated Financial Statements requires management to make assumptions and estimates that affect the reported results of operations and financial position. QEP’s accounting policies on gas and oil reserves, successful efforts accounting for gas and oil operations, impairment of gas and oil properties, asset retirement obligations, accounting for derivative contracts, revenue recognition, environmental obligations and other contingencies, benefit plan obligations, share-based compensation, and income taxes, among others, may involve a high degree of complexity and judgment on the part of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5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QEP Resources’ net loss was $0.7 million, or $0.00 per diluted share, in the second quarter of 2012, compared to net income of $92.8 million, or $0.52 per diluted share, in the second quarter of 2011. The decline in net income during the second quarter of 2012 was attributable to a 165% decrease in QEP Energy’s net income and a 25% decrease in QEP Field Services net income. QEP Energy’s net income decreased in the second quarter of 2012 due to a $34.9 million loss on unrealized derivative contracts and a $48.9 million commodity price-related impairment charge on some of its proved properties, partially offset by increased production volumes. The decrease in QEP Field Services’ second quarter 2012 net income was driven by a 9% decline in gathering margins and a 23% decline in processing margins. Net income attributable to QEP for the first half of 2012 was $154.5 million, or $0.87 per diluted share, compared to $166.0 million, or $0.93 per diluted share in the first half of 2011. The decrease in the six month period of 2012 was due to a 13% decrease in QEP Energy’s net income, partially offset by a 9% increase in QEP Field Services net income. QEP Energy’s net income decreased during the first half of 2012 due to a commodity price-related impairment charges on proved properties of $49.3 million and 6% lower total equivalent commodity prices, offset partially by an $88.8 million gain on unrealized commodity derivative contracts, deferred in AOCI in the first half of 2011 and increased production volumes. QEP Field Services’ increase in net income during the six months ended June 30, 2012 was driven by 14% higher processing margins.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0" w:type="dxa"/>
            <w:vAlign w:val="bottom"/>
            <w:gridSpan w:val="13"/>
          </w:tcPr>
          <w:p>
            <w:pPr>
              <w:spacing w:after="0"/>
              <w:rPr>
                <w:sz w:val="20"/>
                <w:szCs w:val="20"/>
                <w:color w:val="auto"/>
              </w:rPr>
            </w:pPr>
            <w:r>
              <w:rPr>
                <w:rFonts w:ascii="Arial" w:cs="Arial" w:eastAsia="Arial" w:hAnsi="Arial"/>
                <w:sz w:val="18"/>
                <w:szCs w:val="18"/>
                <w:color w:val="auto"/>
                <w:w w:val="92"/>
              </w:rPr>
              <w:t>The following table provides a summary of net income (loss) attributable to QEP by line of business: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Energy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QEP Field Services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Net (loss) income attributable to QEP</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154.5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Earnings per diluted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diluted shares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 In addition, Adjusted EBITDA is a measure used in the Company’s debt covenants under its revolving credit agreement and Term Loan.</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Consistent with such debt covenants, management defines Adjusted EBITDA as net income before the following items: depreciation, depletion and amortization (DD&amp;A), abandonment and impairment, interest and other income, interest expense, income taxes, unrealized gains and losses on derivative contracts, losses on early extinguishment of debt, gains and losses from assets sales, and exploration expense. During the year ended December 31, 2011, QEP revised its reporting of transportation and handling costs to better align with industry practice and GAAP. This revised disclosure does not change current or prior period disclosure of net income or Adjusted EBITDA. For additional information, see Note 2 - Basis of Presentation of Interim Consolidated Financial Statements to the Condensed Consolidated Financial Statements, in Item 1, Part I of the Quarterly Report on Form 10-Q, for additional details.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QEP Field Services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7"/>
        </w:trPr>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338.5</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684.2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Adjusted EBITDA increased to $338.5 million during the second quarter of 2012, compared to $336.6 million in the second quarter of 2011, despite a 17% decline in net realized natural gas prices, 10% lower net realized crude oil prices and 16% lower net realized NGL prices. The impact of lower net realized prices during the second quarter of 2012 was more than offset by a 23% increase in total production in QEP Energy. During the six months ended June 30, 2012, Adjusted EBITDA increased to $684.2 million from $642.4 million in the six months ended June 30, 2011, despite 15% lower net realized natural gas, 2% lower net realized crude oil prices and 15% lower net realized NGL prices. The impact of lower net realized prices during the first half of 2012 was more than offset by an 18% increase in total production at QEP Energy, and increased processing margins at QEP Field Services.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is a reconciliation of Adjusted EBITDA to net income, the most comparable GAAP financial measure of this non-GAAP financial measure: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attributable to QEP</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Resources</w:t>
            </w:r>
          </w:p>
        </w:tc>
        <w:tc>
          <w:tcPr>
            <w:tcW w:w="24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2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156.2</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Unrealized loss (gain) on derivative</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and other (income) loss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377.4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Abandonment and impairment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Exploration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684.2</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QEP Energy Adjusted EBITDA to net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QEP</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Energy</w:t>
            </w:r>
          </w:p>
        </w:tc>
        <w:tc>
          <w:tcPr>
            <w:tcW w:w="24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20" w:type="dxa"/>
            <w:vAlign w:val="bottom"/>
            <w:gridSpan w:val="2"/>
            <w:vMerge w:val="continue"/>
            <w:shd w:val="clear" w:color="auto" w:fill="CCEEFF"/>
          </w:tcPr>
          <w:p>
            <w:pPr>
              <w:spacing w:after="0"/>
              <w:rPr>
                <w:sz w:val="20"/>
                <w:szCs w:val="20"/>
                <w:color w:val="auto"/>
              </w:rPr>
            </w:pPr>
          </w:p>
        </w:tc>
        <w:tc>
          <w:tcPr>
            <w:tcW w:w="860" w:type="dxa"/>
            <w:vAlign w:val="bottom"/>
            <w:tcBorders>
              <w:right w:val="single" w:sz="8" w:color="CCEEFF"/>
            </w:tcBorders>
            <w:vMerge w:val="continue"/>
            <w:shd w:val="clear" w:color="auto" w:fill="CCEEFF"/>
          </w:tcPr>
          <w:p>
            <w:pPr>
              <w:spacing w:after="0"/>
              <w:rPr>
                <w:sz w:val="20"/>
                <w:szCs w:val="20"/>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Unrealized loss (gain) on derivative</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and other (income) loss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Abandonment and impairment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265.7</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18.0</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QEP Field Services Adjusted EBITDA to net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QEP Field</w:t>
            </w:r>
          </w:p>
        </w:tc>
        <w:tc>
          <w:tcPr>
            <w:tcW w:w="800" w:type="dxa"/>
            <w:vAlign w:val="bottom"/>
            <w:vMerge w:val="restart"/>
            <w:shd w:val="clear" w:color="auto" w:fill="CCEEFF"/>
          </w:tcPr>
          <w:p>
            <w:pPr>
              <w:jc w:val="right"/>
              <w:ind w:right="640"/>
              <w:spacing w:after="0"/>
              <w:rPr>
                <w:sz w:val="20"/>
                <w:szCs w:val="20"/>
                <w:color w:val="auto"/>
              </w:rPr>
            </w:pPr>
            <w:r>
              <w:rPr>
                <w:rFonts w:ascii="Arial" w:cs="Arial" w:eastAsia="Arial" w:hAnsi="Arial"/>
                <w:sz w:val="15"/>
                <w:szCs w:val="15"/>
                <w:b w:val="1"/>
                <w:bCs w:val="1"/>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80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80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8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Unrealized (gain) on derivative contracts</w:t>
            </w: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800" w:type="dxa"/>
            <w:vAlign w:val="bottom"/>
          </w:tcPr>
          <w:p>
            <w:pPr>
              <w:jc w:val="right"/>
              <w:ind w:right="640"/>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71.5</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155.8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0" w:type="dxa"/>
            <w:vAlign w:val="bottom"/>
            <w:gridSpan w:val="12"/>
          </w:tcPr>
          <w:p>
            <w:pPr>
              <w:spacing w:after="0"/>
              <w:rPr>
                <w:sz w:val="20"/>
                <w:szCs w:val="20"/>
                <w:color w:val="auto"/>
              </w:rPr>
            </w:pPr>
            <w:r>
              <w:rPr>
                <w:rFonts w:ascii="Arial" w:cs="Arial" w:eastAsia="Arial" w:hAnsi="Arial"/>
                <w:sz w:val="18"/>
                <w:szCs w:val="18"/>
                <w:color w:val="auto"/>
                <w:w w:val="94"/>
              </w:rPr>
              <w:t>The following table is a reconciliation of QEP Marketing and other Adjusted EBITDA to net income:</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1020" w:type="dxa"/>
            <w:vAlign w:val="bottom"/>
            <w:gridSpan w:val="3"/>
          </w:tcPr>
          <w:p>
            <w:pPr>
              <w:jc w:val="center"/>
              <w:ind w:right="430"/>
              <w:spacing w:after="0"/>
              <w:rPr>
                <w:sz w:val="20"/>
                <w:szCs w:val="20"/>
                <w:color w:val="auto"/>
              </w:rPr>
            </w:pPr>
            <w:r>
              <w:rPr>
                <w:rFonts w:ascii="Arial" w:cs="Arial" w:eastAsia="Arial" w:hAnsi="Arial"/>
                <w:sz w:val="18"/>
                <w:szCs w:val="18"/>
                <w:color w:val="auto"/>
                <w:w w:val="75"/>
              </w:rPr>
              <w:t>millions)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QEP</w:t>
            </w:r>
          </w:p>
        </w:tc>
        <w:tc>
          <w:tcPr>
            <w:tcW w:w="800" w:type="dxa"/>
            <w:vAlign w:val="bottom"/>
            <w:vMerge w:val="restart"/>
            <w:shd w:val="clear" w:color="auto" w:fill="CCEEFF"/>
          </w:tcPr>
          <w:p>
            <w:pPr>
              <w:jc w:val="right"/>
              <w:ind w:right="64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center"/>
              <w:ind w:right="550"/>
              <w:spacing w:after="0"/>
              <w:rPr>
                <w:sz w:val="20"/>
                <w:szCs w:val="20"/>
                <w:color w:val="auto"/>
              </w:rPr>
            </w:pPr>
            <w:r>
              <w:rPr>
                <w:rFonts w:ascii="Arial" w:cs="Arial" w:eastAsia="Arial" w:hAnsi="Arial"/>
                <w:sz w:val="18"/>
                <w:szCs w:val="18"/>
                <w:b w:val="1"/>
                <w:bCs w:val="1"/>
                <w:color w:val="auto"/>
                <w:w w:val="7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80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Unrealized loss on derivative contracts</w:t>
            </w: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Depreciation, depletion and amortization</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80" w:type="dxa"/>
            <w:vAlign w:val="bottom"/>
            <w:gridSpan w:val="2"/>
            <w:shd w:val="clear" w:color="auto" w:fill="CCEEFF"/>
          </w:tcPr>
          <w:p>
            <w:pPr>
              <w:jc w:val="center"/>
              <w:ind w:right="550"/>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QEP Energy reported production of 79.6 Bcfe in the second quarter of 2012, a 23% increase when compared to the 64.7 Bcfe reported in the second quarter of 2011. On an energy-equivalent basis, crude oil and NGL comprised approximately 20% of QEP Energy’s production during the three month period ended June 30, 2012, up from 12% for the three months ended June 30, 2011. QEP Energy reported production of 153.8 Bcfe in the first half of 2012, an 18% increase over the 130.6 Bcfe reported during the first half of 2011. On an energy-equivalent basis, crude oil and NGL comprised approximately 20% of QEP Energy’s production for the six months ended June 30, 2012, up from 11% for the six months ended June 30,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 summary of QEP Energy production is shown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1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 June 30,</w:t>
            </w:r>
          </w:p>
        </w:tc>
        <w:tc>
          <w:tcPr>
            <w:tcW w:w="298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rPr>
              <w:t>QEP Energy Production Volumes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(Bcf)</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64.0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Oil (Mbbl)</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1,308.0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873.6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434.4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2,530.5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1,636.6</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893.9</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(Mbbl)</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1,297.8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2,519.5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1,738.9</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 production (Bcfe)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79.6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production (MMcfe)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875.1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845.1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natural gas production by major geographical area is shown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6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w w:val="90"/>
              </w:rPr>
              <w:t>Three Months Ended June 30,</w:t>
            </w:r>
          </w:p>
        </w:tc>
        <w:tc>
          <w:tcPr>
            <w:tcW w:w="298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QEP Energy - Natural gas Production (Bcf)</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9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Pinedale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18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Uinta Basin</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18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Legacy</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03"/>
        </w:trPr>
        <w:tc>
          <w:tcPr>
            <w:tcW w:w="180" w:type="dxa"/>
            <w:vAlign w:val="bottom"/>
          </w:tcPr>
          <w:p>
            <w:pPr>
              <w:spacing w:after="0"/>
              <w:rPr>
                <w:sz w:val="17"/>
                <w:szCs w:val="17"/>
                <w:color w:val="auto"/>
              </w:rPr>
            </w:pPr>
          </w:p>
        </w:tc>
        <w:tc>
          <w:tcPr>
            <w:tcW w:w="39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180" w:type="dxa"/>
            <w:vAlign w:val="bottom"/>
            <w:shd w:val="clear" w:color="auto" w:fill="CCEEFF"/>
          </w:tcPr>
          <w:p>
            <w:pPr>
              <w:spacing w:after="0"/>
              <w:rPr>
                <w:sz w:val="22"/>
                <w:szCs w:val="22"/>
                <w:color w:val="auto"/>
              </w:rPr>
            </w:pPr>
          </w:p>
        </w:tc>
        <w:tc>
          <w:tcPr>
            <w:tcW w:w="3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78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549"/>
        </w:trPr>
        <w:tc>
          <w:tcPr>
            <w:tcW w:w="18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6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31</w:t>
            </w: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3"/>
        </w:trPr>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34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80" w:type="dxa"/>
            <w:vAlign w:val="bottom"/>
            <w:gridSpan w:val="11"/>
          </w:tcPr>
          <w:p>
            <w:pPr>
              <w:spacing w:after="0"/>
              <w:rPr>
                <w:sz w:val="20"/>
                <w:szCs w:val="20"/>
                <w:color w:val="auto"/>
              </w:rPr>
            </w:pPr>
            <w:r>
              <w:rPr>
                <w:rFonts w:ascii="Arial" w:cs="Arial" w:eastAsia="Arial" w:hAnsi="Arial"/>
                <w:sz w:val="18"/>
                <w:szCs w:val="18"/>
                <w:color w:val="auto"/>
              </w:rPr>
              <w:t>A summary of oil production by major geographical area is shown in the following table: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 June 30,</w:t>
            </w:r>
          </w:p>
        </w:tc>
        <w:tc>
          <w:tcPr>
            <w:tcW w:w="298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QEP Energy - Oil Production (Mbbl)</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Pinedale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153.8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18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Uinta Basin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216.2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233.4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Legacy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575.2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1,146.0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w:t>
            </w:r>
          </w:p>
        </w:tc>
      </w:tr>
      <w:tr>
        <w:trPr>
          <w:trHeight w:val="203"/>
        </w:trPr>
        <w:tc>
          <w:tcPr>
            <w:tcW w:w="180" w:type="dxa"/>
            <w:vAlign w:val="bottom"/>
          </w:tcPr>
          <w:p>
            <w:pPr>
              <w:spacing w:after="0"/>
              <w:rPr>
                <w:sz w:val="17"/>
                <w:szCs w:val="17"/>
                <w:color w:val="auto"/>
              </w:rPr>
            </w:pPr>
          </w:p>
        </w:tc>
        <w:tc>
          <w:tcPr>
            <w:tcW w:w="3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18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349.8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354.2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281.5</w:t>
            </w:r>
          </w:p>
        </w:tc>
      </w:tr>
      <w:tr>
        <w:trPr>
          <w:trHeight w:val="27"/>
        </w:trPr>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1,308.0</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2,530.5</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1,636.6</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893.9</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NGL production by major geographical area is shown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298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NGL Production (Mbbl)</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748.8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1,465.9</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Uinta Basin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Legacy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03"/>
        </w:trPr>
        <w:tc>
          <w:tcPr>
            <w:tcW w:w="180" w:type="dxa"/>
            <w:vAlign w:val="bottom"/>
          </w:tcPr>
          <w:p>
            <w:pPr>
              <w:spacing w:after="0"/>
              <w:rPr>
                <w:sz w:val="17"/>
                <w:szCs w:val="17"/>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412.2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660.8</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1,297.8</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2,519.5</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780.6</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1,738.9</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8820" w:type="dxa"/>
            <w:vAlign w:val="bottom"/>
            <w:gridSpan w:val="12"/>
          </w:tcPr>
          <w:p>
            <w:pPr>
              <w:spacing w:after="0"/>
              <w:rPr>
                <w:sz w:val="20"/>
                <w:szCs w:val="20"/>
                <w:color w:val="auto"/>
              </w:rPr>
            </w:pPr>
            <w:r>
              <w:rPr>
                <w:rFonts w:ascii="Arial" w:cs="Arial" w:eastAsia="Arial" w:hAnsi="Arial"/>
                <w:sz w:val="18"/>
                <w:szCs w:val="18"/>
                <w:color w:val="auto"/>
                <w:w w:val="98"/>
              </w:rPr>
              <w:t>A summary of natural gas equivalent total production by major geographical area is shown in the following table: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1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298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QEP Energy - Total Production (Bcfe)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line="216" w:lineRule="exact"/>
              <w:rPr>
                <w:sz w:val="20"/>
                <w:szCs w:val="20"/>
                <w:color w:val="auto"/>
              </w:rPr>
            </w:pPr>
            <w:r>
              <w:rPr>
                <w:rFonts w:ascii="Arial" w:cs="Arial" w:eastAsia="Arial" w:hAnsi="Arial"/>
                <w:sz w:val="18"/>
                <w:szCs w:val="18"/>
                <w:color w:val="auto"/>
              </w:rPr>
              <w:t xml:space="preserve">Uinta Basin </w:t>
            </w:r>
            <w:r>
              <w:rPr>
                <w:rFonts w:ascii="Arial" w:cs="Arial" w:eastAsia="Arial" w:hAnsi="Arial"/>
                <w:sz w:val="25"/>
                <w:szCs w:val="25"/>
                <w:color w:val="auto"/>
                <w:vertAlign w:val="superscript"/>
              </w:rPr>
              <w:t>(1)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Legacy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03"/>
        </w:trPr>
        <w:tc>
          <w:tcPr>
            <w:tcW w:w="180" w:type="dxa"/>
            <w:vAlign w:val="bottom"/>
          </w:tcPr>
          <w:p>
            <w:pPr>
              <w:spacing w:after="0"/>
              <w:rPr>
                <w:sz w:val="17"/>
                <w:szCs w:val="17"/>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18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8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production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500" w:right="40" w:hanging="322"/>
        <w:spacing w:after="0" w:line="216" w:lineRule="auto"/>
        <w:tabs>
          <w:tab w:leader="none" w:pos="50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During the six months ended June 30, 2011, the Uinta Basin production included a 1.6 Bcfe positive adjustment due to an increase of QEP’s ownership interest within a federal unit.</w:t>
      </w:r>
    </w:p>
    <w:p>
      <w:pPr>
        <w:spacing w:after="0" w:line="2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Northern Region – Pinedale Division. </w:t>
      </w:r>
      <w:r>
        <w:rPr>
          <w:rFonts w:ascii="Arial" w:cs="Arial" w:eastAsia="Arial" w:hAnsi="Arial"/>
          <w:sz w:val="18"/>
          <w:szCs w:val="18"/>
          <w:color w:val="auto"/>
        </w:rPr>
        <w:t>Net production from Pinedale in western Wyoming grew 33% to 23.7 Bcfe in the second quarter of 2012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2011. Net production from Pinedale grew 35% to 45.9 Bcfe in the first half of 2012 compared to the first half of 2011. Pinedale production growth was driven by increased drilling activity and the fee-based processing agreement at Blacks Fork II entered into in the third quarter of 2011 between QEP Energy and QEP Field Services. As a result of the processing agreement, QEP Energy NGL production at Pinedale for the three and six months ended June 30, 2012, was 748.8 Mbbl and 1,465.9 Mbbl, contrasted with no reportable NGL production in the comparable 2011 periods. During the three and six months ended June 30, 2012, the Pinedale Division represented 30% of QEP Energy’s total production compared to 28% and 26% during the three and six months ended June 30, 2011, respectively.</w:t>
      </w:r>
    </w:p>
    <w:p>
      <w:pPr>
        <w:spacing w:after="0" w:line="21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Northern Region – Uinta Basin Division. </w:t>
      </w:r>
      <w:r>
        <w:rPr>
          <w:rFonts w:ascii="Arial" w:cs="Arial" w:eastAsia="Arial" w:hAnsi="Arial"/>
          <w:sz w:val="17"/>
          <w:szCs w:val="17"/>
          <w:color w:val="auto"/>
        </w:rPr>
        <w:t>In the Uinta Basin, production increased 18% to 5.9 Bcfe in the second quarter of 2012 from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2011 due to increased drilling activity as a result of its new drilling program targeting the Lower Mesaverde Formation in the Red Wash Unit. NGL production increased 244% to 86.6 Mbbl in the second quarter of 2012 compared to the second quarter of 2011 as a result of QEP Energy executing a fee-based processing agreement with QEP Field Services that resulted in the NGLs recovered from QEP Energy production being credited to QEP Energy. During the first half of 2012, Uinta Basin production decreased 8% due primarily to a first quarter 2011 prior-period adjustment of QEP’s ownership interest within a federal unit, which resulted in a positive adjustment to reported production volumes in the first half of 2011 of 1.6 Bcfe. Excluding this prior-period adjustment, QEP Uinta Basin production increased by 7% in the first half of 2012 as a result of its new drilling program targeting the Lower Mesaverde Formation. During the three and six months ended June 30, 2012, the Uinta Basin Division production represented 7% of QEP Energy’s total production compared to 8% and 9% during the three and six months ended June 30, 2011, respectively.</w:t>
      </w:r>
    </w:p>
    <w:p>
      <w:pPr>
        <w:sectPr>
          <w:pgSz w:w="11900" w:h="16838" w:orient="portrait"/>
          <w:cols w:equalWidth="0" w:num="1">
            <w:col w:w="11420"/>
          </w:cols>
          <w:pgMar w:left="240" w:top="114" w:right="239" w:bottom="1051"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051"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Northern Region –Legacy Division. </w:t>
      </w:r>
      <w:r>
        <w:rPr>
          <w:rFonts w:ascii="Arial" w:cs="Arial" w:eastAsia="Arial" w:hAnsi="Arial"/>
          <w:sz w:val="18"/>
          <w:szCs w:val="18"/>
          <w:color w:val="auto"/>
        </w:rPr>
        <w:t>Legacy Division net production during the second quarter of 2012 increased 30% to 6.5 Bcfe, driven by a 93%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production and a 62% increase in NGL production. During the first half of 2012, net production in the Legacy Division increased 40% to 13.3 Bcfe due to a 117% increase in crude oil production and a 59% increase in NGL production. The increased production in the three and six months ended June 30, 2012, was due to increased oil-directed drilling activity in the North Dakota Bakken/Three Forks play. QEP Energy Legacy Division properties include all Northern Region Rockies properties except the Pinedale Anticline and the Uinta Basin. During the three and six months ended June 30, 2012, the Legacy Division production represented 8% and 9% of QEP Energy’s total production, respectively, compared to 8% and 7% during the three and six months ended June 30, 2011, respectively.</w:t>
      </w:r>
    </w:p>
    <w:p>
      <w:pPr>
        <w:spacing w:after="0" w:line="2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Southern Region – Haynesville/Cotton Valley Division. </w:t>
      </w:r>
      <w:r>
        <w:rPr>
          <w:rFonts w:ascii="Arial" w:cs="Arial" w:eastAsia="Arial" w:hAnsi="Arial"/>
          <w:sz w:val="17"/>
          <w:szCs w:val="17"/>
          <w:color w:val="auto"/>
        </w:rPr>
        <w:t>Net production from the Haynesville Shale and Cotton Valley tight gas plays in northwest Louisiana</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20% to 30.9 Bcfe in the second quarter of 2012, when compared to the second quarter of 2011. During the first half of 2012, net production from the Haynesville Shale and Cotton Valley plays increased 9% to 58.9 Bcfe. The increases during the three and six months ended June 30, 2012, were due to the completion of several high-rate wells in 2012 that were drilled during the latter half of 2011. QEP Energy has significantly reduced the pace of development drilling in the Haynesville shale play in response to depressed natural gas prices and expects production to decline as the final operated rig was released in July of 2012 and the completion of five wells that have been drilled and cased in 2012 are currently planned to be deferred until early 2013. During the three and six months ended June 30, 2012, Haynesville/Cotton Valley production comprised 39% and 38% of QEP Energy’s total production, respectively, compared to 40% and 41% in the three and six months ended June 30, 2011, respectively.</w:t>
      </w:r>
    </w:p>
    <w:p>
      <w:pPr>
        <w:spacing w:after="0" w:line="20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Southern Region – Midcontinent Division. </w:t>
      </w:r>
      <w:r>
        <w:rPr>
          <w:rFonts w:ascii="Arial" w:cs="Arial" w:eastAsia="Arial" w:hAnsi="Arial"/>
          <w:sz w:val="16"/>
          <w:szCs w:val="16"/>
          <w:color w:val="auto"/>
        </w:rPr>
        <w:t>Net production in the Midcontinent grew 14% to 12.6 Bcfe in the second quarter of 2012 when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2011 due to an 84% increase in crude oil production and a 22% increase in NGL production. During the first half of 2012, net production in the Midcontinent grew 17% to 25.2 Bcfe compared to the first half of 2011, driven by a 79% increase in crude oil production and a 29% increase in NGL production. Midcontinent production growth was driven by continued development of the Granite Wash/Marmaton/Tonkawa plays in Texas and western Oklahoma and the Woodford “Cana” Shale liquids-rich gas play in the Anadarko Basin of western Oklahoma. During the three and six months ended June 30, 2012, the Midcontinent Division represented 16% of QEP Energy’s total production, down from 17% during the second quarter and first half of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year ended December 31, 2011, QEP revised its reporting of natural gas, oil and NGL transportation and handling costs. Transportation and handling costs have been recast on the Condensed Consolidated Statement of Income from revenues to “Natural gas, oil and NGL transportation and other handling costs” for all periods presented. Prior to the recast, transportation and other handling costs were netted against revenue and were reflected in field-level prices. See Note 2 - Basis of Presentation of Interim Consolidated Financial Statements to the Condensed Consolidated Financial Statements, in Item 1, Part I of this Quarterly Report on Form 10-Q, for additional information.</w:t>
      </w:r>
    </w:p>
    <w:p>
      <w:pPr>
        <w:spacing w:after="0" w:line="20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QEP Energy’s field-level and realized prices (after the impact of all settled commodity derivatives) for natural gas, oil and NGLs were lower during the three and six months ended June 30, 2012, than in the 2011 comparable periods. A regional comparison of average field level prices is shown in the following tables: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7"/>
          </w:tcPr>
          <w:p>
            <w:pPr>
              <w:jc w:val="center"/>
              <w:ind w:left="5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w w:val="88"/>
              </w:rPr>
              <w:t>QEP Energy - Average field-level natural gas</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0"/>
              </w:rPr>
              <w:t>price (per Mcf)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Northern Region</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Southern Region</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natural gas price</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QEP Energy - Average field-level oil price (per bbl)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Northern Region</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78.12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Southern Region</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91.76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94.11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94.51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oil price</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81.90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2"/>
              </w:rPr>
              <w:t>QEP Energy - Average field-level NGL price (per bbl)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Northern Region</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36.76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(22.89)</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Southern Region</w:t>
            </w: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32.11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field-level NGL price</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35.27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37.98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r>
      <w:tr>
        <w:trPr>
          <w:trHeight w:val="555"/>
        </w:trPr>
        <w:tc>
          <w:tcPr>
            <w:tcW w:w="3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3"/>
        </w:trPr>
        <w:tc>
          <w:tcPr>
            <w:tcW w:w="3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comparison of net realized average natural gas, oil and NGL prices, including the realized gains and losses on commodity derivative contracts is shown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line="216" w:lineRule="exact"/>
              <w:rPr>
                <w:sz w:val="20"/>
                <w:szCs w:val="20"/>
                <w:color w:val="auto"/>
              </w:rPr>
            </w:pPr>
            <w:r>
              <w:rPr>
                <w:rFonts w:ascii="Arial" w:cs="Arial" w:eastAsia="Arial" w:hAnsi="Arial"/>
                <w:sz w:val="18"/>
                <w:szCs w:val="18"/>
                <w:b w:val="1"/>
                <w:bCs w:val="1"/>
                <w:color w:val="auto"/>
                <w:w w:val="97"/>
              </w:rPr>
              <w:t xml:space="preserve">2012 </w:t>
            </w:r>
            <w:r>
              <w:rPr>
                <w:rFonts w:ascii="Arial" w:cs="Arial" w:eastAsia="Arial" w:hAnsi="Arial"/>
                <w:sz w:val="25"/>
                <w:szCs w:val="25"/>
                <w:b w:val="1"/>
                <w:bCs w:val="1"/>
                <w:color w:val="auto"/>
                <w:w w:val="97"/>
                <w:vertAlign w:val="superscript"/>
              </w:rPr>
              <w:t>(1)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0"/>
              <w:spacing w:after="0" w:line="216" w:lineRule="exact"/>
              <w:rPr>
                <w:sz w:val="20"/>
                <w:szCs w:val="20"/>
                <w:color w:val="auto"/>
              </w:rPr>
            </w:pPr>
            <w:r>
              <w:rPr>
                <w:rFonts w:ascii="Arial" w:cs="Arial" w:eastAsia="Arial" w:hAnsi="Arial"/>
                <w:sz w:val="18"/>
                <w:szCs w:val="18"/>
                <w:color w:val="auto"/>
                <w:w w:val="94"/>
              </w:rPr>
              <w:t xml:space="preserve">2011 </w:t>
            </w:r>
            <w:r>
              <w:rPr>
                <w:rFonts w:ascii="Arial" w:cs="Arial" w:eastAsia="Arial" w:hAnsi="Arial"/>
                <w:sz w:val="25"/>
                <w:szCs w:val="25"/>
                <w:color w:val="auto"/>
                <w:w w:val="94"/>
                <w:vertAlign w:val="superscript"/>
              </w:rPr>
              <w:t>(2)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line="216" w:lineRule="exact"/>
              <w:rPr>
                <w:sz w:val="20"/>
                <w:szCs w:val="20"/>
                <w:color w:val="auto"/>
              </w:rPr>
            </w:pPr>
            <w:r>
              <w:rPr>
                <w:rFonts w:ascii="Arial" w:cs="Arial" w:eastAsia="Arial" w:hAnsi="Arial"/>
                <w:sz w:val="18"/>
                <w:szCs w:val="18"/>
                <w:b w:val="1"/>
                <w:bCs w:val="1"/>
                <w:color w:val="auto"/>
                <w:w w:val="97"/>
              </w:rPr>
              <w:t xml:space="preserve">2012 </w:t>
            </w:r>
            <w:r>
              <w:rPr>
                <w:rFonts w:ascii="Arial" w:cs="Arial" w:eastAsia="Arial" w:hAnsi="Arial"/>
                <w:sz w:val="25"/>
                <w:szCs w:val="25"/>
                <w:b w:val="1"/>
                <w:bCs w:val="1"/>
                <w:color w:val="auto"/>
                <w:w w:val="97"/>
                <w:vertAlign w:val="superscript"/>
              </w:rPr>
              <w:t>(1)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90"/>
              <w:spacing w:after="0" w:line="216" w:lineRule="exact"/>
              <w:rPr>
                <w:sz w:val="20"/>
                <w:szCs w:val="20"/>
                <w:color w:val="auto"/>
              </w:rPr>
            </w:pPr>
            <w:r>
              <w:rPr>
                <w:rFonts w:ascii="Arial" w:cs="Arial" w:eastAsia="Arial" w:hAnsi="Arial"/>
                <w:sz w:val="18"/>
                <w:szCs w:val="18"/>
                <w:color w:val="auto"/>
                <w:w w:val="94"/>
              </w:rPr>
              <w:t xml:space="preserve">2011 </w:t>
            </w:r>
            <w:r>
              <w:rPr>
                <w:rFonts w:ascii="Arial" w:cs="Arial" w:eastAsia="Arial" w:hAnsi="Arial"/>
                <w:sz w:val="25"/>
                <w:szCs w:val="25"/>
                <w:color w:val="auto"/>
                <w:w w:val="94"/>
                <w:vertAlign w:val="superscript"/>
              </w:rPr>
              <w:t>(2)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Natural gas (per Mcf)</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field-level price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Commodity derivative impact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realized price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(0.73)</w:t>
            </w: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Oil (per bbl)</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field-level price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81.90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Commodity derivative impact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(0.19)</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realized price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83.60</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NGL (per bbl)</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field-level price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Commodity derivative impact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realized price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37.31</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112"/>
        </w:trPr>
        <w:tc>
          <w:tcPr>
            <w:tcW w:w="20" w:type="dxa"/>
            <w:vAlign w:val="bottom"/>
          </w:tcPr>
          <w:p>
            <w:pPr>
              <w:spacing w:after="0"/>
              <w:rPr>
                <w:sz w:val="9"/>
                <w:szCs w:val="9"/>
                <w:color w:val="auto"/>
              </w:rPr>
            </w:pPr>
          </w:p>
        </w:tc>
        <w:tc>
          <w:tcPr>
            <w:tcW w:w="1740" w:type="dxa"/>
            <w:vAlign w:val="bottom"/>
            <w:tcBorders>
              <w:top w:val="single" w:sz="8" w:color="CCEEFF"/>
              <w:bottom w:val="single" w:sz="8" w:color="808080"/>
            </w:tcBorders>
          </w:tcPr>
          <w:p>
            <w:pPr>
              <w:spacing w:after="0"/>
              <w:rPr>
                <w:sz w:val="9"/>
                <w:szCs w:val="9"/>
                <w:color w:val="auto"/>
              </w:rPr>
            </w:pPr>
          </w:p>
        </w:tc>
        <w:tc>
          <w:tcPr>
            <w:tcW w:w="158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500" w:right="240" w:hanging="322"/>
        <w:spacing w:after="0" w:line="216" w:lineRule="auto"/>
        <w:tabs>
          <w:tab w:leader="none" w:pos="50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impact was reported below operating (loss) income in “Realized and unrealized gains on derivative contracts” beginning January 1, 2012, in the Condensed Consolidated Statement of Income.</w:t>
      </w:r>
    </w:p>
    <w:p>
      <w:pPr>
        <w:spacing w:after="0" w:line="1" w:lineRule="exact"/>
        <w:rPr>
          <w:rFonts w:ascii="Arial" w:cs="Arial" w:eastAsia="Arial" w:hAnsi="Arial"/>
          <w:sz w:val="25"/>
          <w:szCs w:val="25"/>
          <w:color w:val="auto"/>
          <w:vertAlign w:val="superscript"/>
        </w:rPr>
      </w:pPr>
    </w:p>
    <w:p>
      <w:pPr>
        <w:ind w:left="500" w:right="20" w:hanging="322"/>
        <w:spacing w:after="0" w:line="209" w:lineRule="auto"/>
        <w:tabs>
          <w:tab w:leader="none" w:pos="50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impact of settled commodity derivatives that qualified for hedge accounting was reported in “Revenues” in the Condensed Consolidated Statement of Income.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w:t>
      </w:r>
    </w:p>
    <w:p>
      <w:pPr>
        <w:spacing w:after="0" w:line="25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the three and six months ended June 30, 2012 QEP Field Services gathering margins declined 9% and 6%, respectively, due mainly to a decrease in other gathering revenue and related margin from the elimination of a third-party interruptible processing agreement. Partially offsetting the decline in gathering margin was an 11% and a 7% increase in gathering system throughput volume and a 6% and 3% increase in the average gathering rate during the three and six months ended June 30, 2012, respectively. Gathering system throughput volume was 1.5 million MMBtu per day and 1.4 million MMBtu per day for the three and six months ended June 30, 2012, respectively, up from 1.3 million MMBtu per day during the three and six months ended June 30, 2011. The increased volumes were mainly related to the gathering system tied into the Blacks Fork hub, which were 11% and 8% higher in the three and six months ended June 30, 2012, respectively, and the northwest Louisiana gathering system, which were 37% and 20% higher in the three and six months June 30, 2012, respectively. The Blacks Fork hub accounted for 49% of the total gathering system throughput during the three and six months ended June 30, 2012, and in the three and six months ended June 30, 2011, while the Louisiana hub accounted for 25% of the total throughput during the three and six months ended June 30, 2012, compared to 20% and 22% during the three and six months ended June 30, 2011, respectively.</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and six months ended June 30, 2011, QEP Field Services reported other gathering revenues and related gathering expense related to a short-term interruptible gas processing contract with a third-party processor. The short-term processing arrangement was in effect prior to the startup of QEP Field Service’s Blacks Fork II processing plant. Of the $15.7 million and $22.1 million decrease in other gathering revenues, $15.0 million and $23.4 million of the decrease related to the elimination of this contract. In addition, gathering expenses related to the elimination of this contract were $4.5 million and $7.6 million lower during the three and six months ended June 30, 2011.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20" w:type="dxa"/>
            <w:vAlign w:val="bottom"/>
            <w:gridSpan w:val="17"/>
          </w:tcPr>
          <w:p>
            <w:pPr>
              <w:spacing w:after="0"/>
              <w:rPr>
                <w:sz w:val="20"/>
                <w:szCs w:val="20"/>
                <w:color w:val="auto"/>
              </w:rPr>
            </w:pPr>
            <w:r>
              <w:rPr>
                <w:rFonts w:ascii="Arial" w:cs="Arial" w:eastAsia="Arial" w:hAnsi="Arial"/>
                <w:sz w:val="18"/>
                <w:szCs w:val="18"/>
                <w:color w:val="auto"/>
                <w:w w:val="96"/>
              </w:rPr>
              <w:t>The following tables are a summary of QEP Field Services’ financial and operating results from gathering activities: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7"/>
          </w:tcPr>
          <w:p>
            <w:pPr>
              <w:jc w:val="center"/>
              <w:ind w:left="5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Gathering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gathering revenues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Gathering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Gathering margin</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46.8</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3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40" w:type="dxa"/>
            <w:vAlign w:val="bottom"/>
            <w:gridSpan w:val="6"/>
          </w:tcPr>
          <w:p>
            <w:pPr>
              <w:spacing w:after="0"/>
              <w:rPr>
                <w:sz w:val="20"/>
                <w:szCs w:val="20"/>
                <w:color w:val="auto"/>
              </w:rPr>
            </w:pPr>
            <w:r>
              <w:rPr>
                <w:rFonts w:ascii="Arial" w:cs="Arial" w:eastAsia="Arial" w:hAnsi="Arial"/>
                <w:sz w:val="18"/>
                <w:szCs w:val="18"/>
                <w:color w:val="auto"/>
              </w:rPr>
              <w:t>Natural gas gathering volumes (in millions of MMBtu)</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unaffiliated customers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124.2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For affiliated customers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Gas Gathering Volumes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257.6</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320" w:type="dxa"/>
            <w:vAlign w:val="bottom"/>
            <w:gridSpan w:val="2"/>
          </w:tcPr>
          <w:p>
            <w:pPr>
              <w:spacing w:after="0" w:line="195" w:lineRule="exact"/>
              <w:rPr>
                <w:sz w:val="20"/>
                <w:szCs w:val="20"/>
                <w:color w:val="auto"/>
              </w:rPr>
            </w:pPr>
            <w:r>
              <w:rPr>
                <w:rFonts w:ascii="Arial" w:cs="Arial" w:eastAsia="Arial" w:hAnsi="Arial"/>
                <w:sz w:val="18"/>
                <w:szCs w:val="18"/>
                <w:color w:val="auto"/>
              </w:rPr>
              <w:t>Average gas gathering revenue (per</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0.34</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MMBtu)</w:t>
            </w: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2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Although a significant portion of the QEP Field Services gas processing services are performed for a volumetric-based fee, QEP Field Services also provides “keep-whole” processing services for certain customers. Under a keep-whole processing contract, QEP Field Services retains and sells NGL’s extracted at its processing plants and keeps the customer “whole” by buying and delivering a Btu-equivalent amount of natural gas to the customer. Keep-whole processing exposes the Company to the “frac” spread. The frac spread is the difference between the market value of NGLs extracted at the processing plant and the market value of an energy-equivalent volume of natural gas.</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Field Services processing margin decreased 23% during the second quarter of 2012, but increased 14% during the first half of 2012. The decrease in the processing margin during the second quarter of 2012 was due to a 43% decline in keep-whole processing margins, partially offset by a 44% increase in fee-based processing revenues. The increase in the processing margin during the first half of 2012 was due to a 5% increase in the frac spread per NGL gallon and a 51% increase in fee-based processing revenues, offset slightly by a 6% decrease in the keep-whole processing margin. During the second quarter and first half of 2012, keep-whole processing margins decreased due to a decrease in the net realized NGL sales price per gallon, offset by increased NGL sales volumes. NGL sales volumes increased 14% and 35% in the three and six months ended June 30, 2012, respectively, compared to the 2011 periods. The increased NGL sales volumes in the second quarter and first half of 2012 were primarily the result of the Blacks Fork II plant which commenced operations in July 2011, partially offset by the execution, in the second quarter of 2012, of a fee-based processing agreement with QEP Energy in the Uinta Basin that effectively transferred NGL gallons from QEP Field Services to QEP Energy.</w:t>
      </w:r>
    </w:p>
    <w:p>
      <w:pPr>
        <w:spacing w:after="0" w:line="20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Including the impact of gains on derivative contract settlements, NGL prices decreased 24% and 14% in the three and six months ended June 30, 2012, respectively, compared to the three and six months ended June 30, 2011, which caused a corresponding decrease in the keep-whole processing margin per NGL gallon. During the three and six months ended June 30, 2012, the keep-whole processing margin per NGL gallon was $0.46 and $0.56, respectively, compared to $0.93 and $0.81 during the three and six months ended June 30, 2011, respectively.</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Fee-based processing revenues increased during the second quarter of 2012 due to a 29% increase in the average processing fee rate to $0.27 per MMBtu and a 7% increase in fee-based processing volumes to 64.5 million MMBtu. During the first half of 2012, the increase in fee-based processing revenues was the result of a 42% increase in the average processing fee rate and a 6% increase in fee-based processing volumes. Approximately 78% and 75% of QEP Field Services’ net operating revenue was derived from fee-based gathering and processing agreements in the three and six months ended June 30, 2012, respectively, compared to 69% and 73% during the three and six months ended June 30, 2011, respectively.</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Keep-whole processing margin, as reflected in the table below, is defined as the market value for NGL’s extracted from the natural gas stream less the market value of the Btu-equivalent volume of natural gas required to replace the extracted liquids and the related transportation and handling (including fractionation) costs. Transportation and handling costs were up $10.8 million and $18.7 million during the three and six months ended June 30, 2012, respectively, primarily the result of additional transportation costs relating to NGL sale agreements that provide for transportation and fractionation of NGL’s at Mont Belvieu, Texas, and the 2012 operation of the Blacks Fork II plant, which was put into service in July of 2011.</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80" w:type="dxa"/>
            <w:vAlign w:val="bottom"/>
            <w:gridSpan w:val="12"/>
          </w:tcPr>
          <w:p>
            <w:pPr>
              <w:spacing w:after="0"/>
              <w:rPr>
                <w:sz w:val="20"/>
                <w:szCs w:val="20"/>
                <w:color w:val="auto"/>
              </w:rPr>
            </w:pPr>
            <w:r>
              <w:rPr>
                <w:rFonts w:ascii="Arial" w:cs="Arial" w:eastAsia="Arial" w:hAnsi="Arial"/>
                <w:sz w:val="18"/>
                <w:szCs w:val="18"/>
                <w:color w:val="auto"/>
                <w:w w:val="91"/>
              </w:rPr>
              <w:t>The following tables are a summary of QEP Field Services’ processing financial and operating results: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w w:val="91"/>
              </w:rPr>
              <w:t>Three Months Ended June 30,</w:t>
            </w: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5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89"/>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NGL sales </w:t>
            </w:r>
            <w:r>
              <w:rPr>
                <w:rFonts w:ascii="Arial" w:cs="Arial" w:eastAsia="Arial" w:hAnsi="Arial"/>
                <w:sz w:val="25"/>
                <w:szCs w:val="25"/>
                <w:color w:val="auto"/>
                <w:vertAlign w:val="superscript"/>
              </w:rPr>
              <w:t>(1)</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36.3</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w w:val="99"/>
              </w:rPr>
              <w:t>Realized gains from commodity derivative</w:t>
            </w:r>
          </w:p>
        </w:tc>
        <w:tc>
          <w:tcPr>
            <w:tcW w:w="760" w:type="dxa"/>
            <w:vAlign w:val="bottom"/>
          </w:tcPr>
          <w:p>
            <w:pPr>
              <w:spacing w:after="0"/>
              <w:rPr>
                <w:sz w:val="17"/>
                <w:szCs w:val="17"/>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contract settlements</w:t>
            </w:r>
          </w:p>
        </w:tc>
        <w:tc>
          <w:tcPr>
            <w:tcW w:w="76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(fee-based) revenues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Other processing fees</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(expense)</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7"/>
              </w:rPr>
              <w:t>Processing plant fuel and shrink (expense)</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(11.4)</w:t>
            </w:r>
          </w:p>
        </w:tc>
        <w:tc>
          <w:tcPr>
            <w:tcW w:w="5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Natural gas, oil and NGL transportation and</w:t>
            </w:r>
          </w:p>
        </w:tc>
        <w:tc>
          <w:tcPr>
            <w:tcW w:w="76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(12.0)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handling costs</w:t>
            </w:r>
          </w:p>
        </w:tc>
        <w:tc>
          <w:tcPr>
            <w:tcW w:w="7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Processing margin</w:t>
            </w:r>
          </w:p>
        </w:tc>
        <w:tc>
          <w:tcPr>
            <w:tcW w:w="760" w:type="dxa"/>
            <w:vAlign w:val="bottom"/>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33.1</w:t>
            </w:r>
          </w:p>
        </w:tc>
        <w:tc>
          <w:tcPr>
            <w:tcW w:w="14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Keep-whole processing margin</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19.2</w:t>
            </w: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Operating Statistics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Natural gas processing volumes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sales (MMgal)</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5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w w:val="99"/>
              </w:rPr>
              <w:t>Average net realized NGL sales price (per</w:t>
            </w:r>
          </w:p>
        </w:tc>
        <w:tc>
          <w:tcPr>
            <w:tcW w:w="760" w:type="dxa"/>
            <w:vAlign w:val="bottom"/>
            <w:vMerge w:val="restart"/>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0.96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gal)</w:t>
            </w:r>
          </w:p>
        </w:tc>
        <w:tc>
          <w:tcPr>
            <w:tcW w:w="760" w:type="dxa"/>
            <w:vAlign w:val="bottom"/>
            <w:vMerge w:val="continue"/>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Fee-based processing volumes (in millions</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MMBtu)</w:t>
            </w: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For unaffiliated customers</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 affiliated customers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66.5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fee-based processing volumes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124.2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3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Average fee-based processing revenue (per</w:t>
            </w:r>
          </w:p>
        </w:tc>
        <w:tc>
          <w:tcPr>
            <w:tcW w:w="760" w:type="dxa"/>
            <w:vAlign w:val="bottom"/>
            <w:vMerge w:val="restart"/>
            <w:shd w:val="clear" w:color="auto" w:fill="CCEEFF"/>
          </w:tcPr>
          <w:p>
            <w:pPr>
              <w:jc w:val="right"/>
              <w:ind w:right="602"/>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0.27</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MMBtu)</w:t>
            </w:r>
          </w:p>
        </w:tc>
        <w:tc>
          <w:tcPr>
            <w:tcW w:w="76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140" w:hanging="322"/>
        <w:spacing w:after="0" w:line="235" w:lineRule="auto"/>
        <w:tabs>
          <w:tab w:leader="none" w:pos="50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NGL sales for the three and six months ended June 30, 2011, have been recast to reflect QEP’s revised reporting of its transportation and handling costs. See Note 2 - Basis of Presentation of Interim Consolidated Financial Statements for additional information. In addition, revenues for the three and six months ended June 30, 2011, reflect the impact of QEP’s settled derivative contracts which during the three and six months ended June 30, 2012, are reflected below operating (loss) income. See Note 6 - Derivative Contracts for detailed information on derivative contract settlements in the three and six months ended June 30, 2011.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1, 2012, QEP discontinued hedge accounting. During the three and six months ended June 30, 2012, commodity derivative realized gains and losses from derivative contract settlements were included below operating (loss) income in “Realized and unrealized gains on derivative contracts” on the Condensed Consolidated Statement of Income. Conversely, during the three and six months ended June 30, 2011, the commodity derivative realized gains and losses on settlements were included in each respective revenue category in conjunction with hedge accounting and the realization of the underlying contract. For additional information regarding the discontinuance of hedge accounting and impact on the Condensed Consolidated Statement of Income, see Note 6 - Derivative Contracts, in Part I, Item 1 of this Quarterly Report on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40" w:type="dxa"/>
            <w:vAlign w:val="bottom"/>
            <w:gridSpan w:val="6"/>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2012</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QEP Resources Revenues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138.9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Oil sales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107.2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NGL sales</w:t>
            </w: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7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sales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740" w:type="dxa"/>
            <w:vAlign w:val="bottom"/>
          </w:tcPr>
          <w:p>
            <w:pPr>
              <w:jc w:val="right"/>
              <w:ind w:right="580"/>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499.3</w:t>
            </w:r>
          </w:p>
        </w:tc>
        <w:tc>
          <w:tcPr>
            <w:tcW w:w="1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(308.8)</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1,102.5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1,426.0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QEP Energy’s revenues for the three and six months ended June 30, 2012, generated from the sale of natural gas, oil and NGLs, decreased primarily due to lower prices for natural gas, crude oil and NGL, partially offset by higher production volumes, as follows:</w:t>
      </w:r>
    </w:p>
    <w:p>
      <w:pPr>
        <w:sectPr>
          <w:pgSz w:w="11900" w:h="16838" w:orient="portrait"/>
          <w:cols w:equalWidth="0" w:num="1">
            <w:col w:w="11420"/>
          </w:cols>
          <w:pgMar w:left="240" w:top="114"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42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Natural Gas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Oil</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NGLs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Three months ended June 30, 2011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60"/>
              <w:spacing w:after="0" w:line="216" w:lineRule="exact"/>
              <w:rPr>
                <w:sz w:val="20"/>
                <w:szCs w:val="20"/>
                <w:color w:val="auto"/>
              </w:rPr>
            </w:pPr>
            <w:r>
              <w:rPr>
                <w:rFonts w:ascii="Arial" w:cs="Arial" w:eastAsia="Arial" w:hAnsi="Arial"/>
                <w:sz w:val="18"/>
                <w:szCs w:val="18"/>
                <w:color w:val="auto"/>
              </w:rPr>
              <w:t xml:space="preserve">Changes associated with discontinuance of hedge accounting </w:t>
            </w:r>
            <w:r>
              <w:rPr>
                <w:rFonts w:ascii="Arial" w:cs="Arial" w:eastAsia="Arial" w:hAnsi="Arial"/>
                <w:sz w:val="25"/>
                <w:szCs w:val="25"/>
                <w:color w:val="auto"/>
                <w:vertAlign w:val="superscript"/>
              </w:rPr>
              <w:t>(3)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2012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107.2</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291.9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Natural Gas</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Oil</w:t>
            </w: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NGLs</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78"/>
              </w:rPr>
              <w:t>millions)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Six months ended June 30, 2011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78.4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ind w:left="160"/>
              <w:spacing w:after="0" w:line="216" w:lineRule="exact"/>
              <w:rPr>
                <w:sz w:val="20"/>
                <w:szCs w:val="20"/>
                <w:color w:val="auto"/>
              </w:rPr>
            </w:pPr>
            <w:r>
              <w:rPr>
                <w:rFonts w:ascii="Arial" w:cs="Arial" w:eastAsia="Arial" w:hAnsi="Arial"/>
                <w:sz w:val="18"/>
                <w:szCs w:val="18"/>
                <w:color w:val="auto"/>
              </w:rPr>
              <w:t xml:space="preserve">Changes associated with discontinuance of hedge accounting </w:t>
            </w:r>
            <w:r>
              <w:rPr>
                <w:rFonts w:ascii="Arial" w:cs="Arial" w:eastAsia="Arial" w:hAnsi="Arial"/>
                <w:sz w:val="25"/>
                <w:szCs w:val="25"/>
                <w:color w:val="auto"/>
                <w:vertAlign w:val="superscript"/>
              </w:rPr>
              <w:t>(3)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2012 Revenues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300.1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218.0</w:t>
            </w:r>
          </w:p>
        </w:tc>
        <w:tc>
          <w:tcPr>
            <w:tcW w:w="34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tcBorders>
              <w:top w:val="single" w:sz="8" w:color="CCEEFF"/>
              <w:bottom w:val="single" w:sz="8" w:color="808080"/>
            </w:tcBorders>
          </w:tcPr>
          <w:p>
            <w:pPr>
              <w:spacing w:after="0"/>
              <w:rPr>
                <w:sz w:val="9"/>
                <w:szCs w:val="9"/>
                <w:color w:val="auto"/>
              </w:rPr>
            </w:pPr>
          </w:p>
        </w:tc>
        <w:tc>
          <w:tcPr>
            <w:tcW w:w="780" w:type="dxa"/>
            <w:vAlign w:val="bottom"/>
            <w:tcBorders>
              <w:top w:val="single" w:sz="8" w:color="CCEEFF"/>
              <w:bottom w:val="single" w:sz="8" w:color="808080"/>
            </w:tcBorders>
          </w:tcPr>
          <w:p>
            <w:pPr>
              <w:spacing w:after="0"/>
              <w:rPr>
                <w:sz w:val="9"/>
                <w:szCs w:val="9"/>
                <w:color w:val="auto"/>
              </w:rPr>
            </w:pPr>
          </w:p>
        </w:tc>
        <w:tc>
          <w:tcPr>
            <w:tcW w:w="366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500" w:right="100" w:hanging="322"/>
        <w:spacing w:after="0" w:line="245"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and six months ended June 30, 2012, to the three and six months ended June 30, 2011, by the average field-level price for the three and six months ended June 30, 2011.</w:t>
      </w:r>
    </w:p>
    <w:p>
      <w:pPr>
        <w:ind w:left="500" w:right="80" w:hanging="322"/>
        <w:spacing w:after="0" w:line="221" w:lineRule="auto"/>
        <w:tabs>
          <w:tab w:leader="none" w:pos="50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field-level prices or fee from the three and six months ended June 30, 2012, to the three and six months ended June 30, 2011, by volume for the three and six months ended June 30, 2012. Pricing changes are driven by changes in the commodity field-level prices excluding impact from commodity derivatives.</w:t>
      </w:r>
    </w:p>
    <w:p>
      <w:pPr>
        <w:spacing w:after="0" w:line="2" w:lineRule="exact"/>
        <w:rPr>
          <w:rFonts w:ascii="Arial" w:cs="Arial" w:eastAsia="Arial" w:hAnsi="Arial"/>
          <w:sz w:val="25"/>
          <w:szCs w:val="25"/>
          <w:color w:val="auto"/>
          <w:vertAlign w:val="superscript"/>
        </w:rPr>
      </w:pPr>
    </w:p>
    <w:p>
      <w:pPr>
        <w:ind w:left="500" w:hanging="322"/>
        <w:spacing w:after="0" w:line="228" w:lineRule="auto"/>
        <w:tabs>
          <w:tab w:leader="none" w:pos="50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During the three and six months ended June 30, 2011, realized gains and losses on commodity derivative contract settlements were included in natural gas revenues on the Condensed Consolidated Statement of Income. Conversely, during the three and six months ended June 30, 2012, the realized gains and losses on commodity derivative contract settlements are recognized below operating (loss) income on the Condensed Consolidated Statement of Income.</w:t>
      </w:r>
    </w:p>
    <w:p>
      <w:pPr>
        <w:spacing w:after="0" w:line="23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QEP Field Services revenues decreased during the second quarter of 2012 compared to the 2011 second quarter but increased during the first half of 2012. During the three and six months ended June 30, 2012, various factors decreased gathering revenues including the elimination of a short-term, third-party, interruptible processing agreement recorded as other gathering revenues and reflected as a change associated with other factors. Changes associated with other factors increased processing revenues by $0.5 million and $3.0 million during the three and six months ended June 30, 2012, respectively, due to charges to customers recorded as other processing fees at QEP Field Services. The following table presents changes in QEP Field Services major revenue categories and the related volume and pricing impact: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NGLs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Processing</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Gathering</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QEP Field Services</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30"/>
              <w:spacing w:after="0"/>
              <w:rPr>
                <w:sz w:val="20"/>
                <w:szCs w:val="20"/>
                <w:color w:val="auto"/>
              </w:rPr>
            </w:pPr>
            <w:r>
              <w:rPr>
                <w:rFonts w:ascii="Arial" w:cs="Arial" w:eastAsia="Arial" w:hAnsi="Arial"/>
                <w:sz w:val="18"/>
                <w:szCs w:val="18"/>
                <w:color w:val="auto"/>
                <w:w w:val="78"/>
              </w:rPr>
              <w:t>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6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June 30, 2011 Revenues</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prices/fees </w:t>
            </w:r>
            <w:r>
              <w:rPr>
                <w:rFonts w:ascii="Arial" w:cs="Arial" w:eastAsia="Arial" w:hAnsi="Arial"/>
                <w:sz w:val="25"/>
                <w:szCs w:val="25"/>
                <w:color w:val="auto"/>
                <w:vertAlign w:val="superscript"/>
              </w:rPr>
              <w:t>(2)</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other factors </w:t>
            </w:r>
            <w:r>
              <w:rPr>
                <w:rFonts w:ascii="Arial" w:cs="Arial" w:eastAsia="Arial" w:hAnsi="Arial"/>
                <w:sz w:val="25"/>
                <w:szCs w:val="25"/>
                <w:color w:val="auto"/>
                <w:vertAlign w:val="superscript"/>
              </w:rPr>
              <w:t>(3)</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2012 Revenues</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17.6</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NGLs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Processing</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Gathering</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QEP Field Services</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center"/>
              <w:ind w:right="730"/>
              <w:spacing w:after="0"/>
              <w:rPr>
                <w:sz w:val="20"/>
                <w:szCs w:val="20"/>
                <w:color w:val="auto"/>
              </w:rPr>
            </w:pPr>
            <w:r>
              <w:rPr>
                <w:rFonts w:ascii="Arial" w:cs="Arial" w:eastAsia="Arial" w:hAnsi="Arial"/>
                <w:sz w:val="18"/>
                <w:szCs w:val="18"/>
                <w:color w:val="auto"/>
                <w:w w:val="78"/>
              </w:rPr>
              <w:t>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6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2011 Revenues</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Changes associated with prices/fees </w:t>
            </w:r>
            <w:r>
              <w:rPr>
                <w:rFonts w:ascii="Arial" w:cs="Arial" w:eastAsia="Arial" w:hAnsi="Arial"/>
                <w:sz w:val="25"/>
                <w:szCs w:val="25"/>
                <w:color w:val="auto"/>
                <w:vertAlign w:val="superscript"/>
              </w:rPr>
              <w:t>(2)</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Changes associated with other factors </w:t>
            </w:r>
            <w:r>
              <w:rPr>
                <w:rFonts w:ascii="Arial" w:cs="Arial" w:eastAsia="Arial" w:hAnsi="Arial"/>
                <w:sz w:val="25"/>
                <w:szCs w:val="25"/>
                <w:color w:val="auto"/>
                <w:vertAlign w:val="superscript"/>
              </w:rPr>
              <w:t>(3)</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2012 Revenues</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36.6</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40" w:type="dxa"/>
            <w:vAlign w:val="bottom"/>
            <w:tcBorders>
              <w:top w:val="single" w:sz="8" w:color="CCEEFF"/>
              <w:bottom w:val="single" w:sz="8" w:color="808080"/>
            </w:tcBorders>
          </w:tcPr>
          <w:p>
            <w:pPr>
              <w:spacing w:after="0"/>
              <w:rPr>
                <w:sz w:val="9"/>
                <w:szCs w:val="9"/>
                <w:color w:val="auto"/>
              </w:rPr>
            </w:pPr>
          </w:p>
        </w:tc>
        <w:tc>
          <w:tcPr>
            <w:tcW w:w="3000" w:type="dxa"/>
            <w:vAlign w:val="bottom"/>
            <w:tcBorders>
              <w:top w:val="single" w:sz="8" w:color="CCEEFF"/>
            </w:tcBorders>
          </w:tcPr>
          <w:p>
            <w:pPr>
              <w:spacing w:after="0"/>
              <w:rPr>
                <w:sz w:val="9"/>
                <w:szCs w:val="9"/>
                <w:color w:val="auto"/>
              </w:rPr>
            </w:pPr>
          </w:p>
        </w:tc>
        <w:tc>
          <w:tcPr>
            <w:tcW w:w="132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500" w:right="100" w:hanging="322"/>
        <w:spacing w:after="0" w:line="245"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volume is calculated by multiplying the change in volumes from the three and six months ended June 30, 2012, to the three and six months ended June 30, 2011, by the average price or fee for the three and six months ended June 30, 2011.</w:t>
      </w:r>
    </w:p>
    <w:p>
      <w:pPr>
        <w:ind w:left="500" w:hanging="322"/>
        <w:spacing w:after="0" w:line="220" w:lineRule="auto"/>
        <w:tabs>
          <w:tab w:leader="none" w:pos="50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The revenue variance attributed to the change in fees is calculated by multiplying the change in prices or fees from the three and six months ended June 30, 2012, to the three and six months ended June 30, 2011, by volume for the three and six months ended June 30, 2012.</w:t>
      </w:r>
    </w:p>
    <w:p>
      <w:pPr>
        <w:ind w:left="500" w:right="100" w:hanging="322"/>
        <w:spacing w:after="0" w:line="255"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associated with other factors represents the changes in other gathering revenues and changes in other processing fees. These other revenues are not included in average gathering revenue per MMBtu or average fee-based processing revenue per MMBtu in QEP Field Services operating statistics and thus have not been included in the price and volume variance analysis presented above.</w:t>
      </w:r>
    </w:p>
    <w:p>
      <w:pPr>
        <w:spacing w:after="0" w:line="2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Purchased gas, oil and NGL sales decreased by $180.7 million and $144.5 million, or 59% and 32%, during the three and six months ended June 30, 2012, respectively, from 2011. The decreases in the three and six months ended June 30, 2012, were due to decreased resale natural gas volumes and prices. Resale natural gas volumes were 40% and 2% lower during the three and six months ended June 30, 2012, while resale natural gas prices were 55% and 44% lower during the three and six months ended June 30, 2012,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presents QEP Resources’ total operating expenses and the changes from the three and six months ended June 30, 2012, to the three and six months ended June 30, 2011. The narrative following the table explains the significant variances between the comparable periods.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9"/>
          </w:tcPr>
          <w:p>
            <w:pPr>
              <w:jc w:val="right"/>
              <w:ind w:right="85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Purchased gas and oil expense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Natural gas, oil and NGL transportation and</w:t>
            </w:r>
          </w:p>
        </w:tc>
        <w:tc>
          <w:tcPr>
            <w:tcW w:w="2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handling costs</w:t>
            </w:r>
          </w:p>
        </w:tc>
        <w:tc>
          <w:tcPr>
            <w:tcW w:w="2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Gathering, processing and other</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Production and property taxes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Exploration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Abandonment and impairment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554.8</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1,120.2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Purchased gas, oil and NGL expense decreased 59% and 30% in the three and six months ended June 30, 2012, respectively. The decreases during both periods were primarily due to lower natural gas and crude oil prices.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Lease operating expense increased 18% and 20% during the three and six months ended June 30, 2012, respectively, due to higher water disposal costs, increased trucking, labor and pumper costs, and higher maintenance, repairs and work over costs. Water disposal costs increased $2.8 million and $5.5 million during the three and six months ended June 30, 2012, respectively, primarily in the Northern Region due to increased drilling activity and liquids production. During the three and six months ended June 30, 2012, trucking, labor and pumper costs increased $1.4 million and $4.6 million, respectively, in both the Southern and Northern Regions due to increased activity and liquids production. Maintenance, repairs and work over costs increased $0.8 million and $2.5 million during the three and six months ended June 30, 2012, primarily in the Southern Region.</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and six months ended June 30, 2012, natural gas, oil and NGL transportation and other handling costs increased $16.7 million and $29.5 million, respectively, when compared to the corresponding period in 2011. The increases during the three and six months ended June 30, 2012, are primarily due to transportation costs relating to NGL sale agreements that provide for transportation and fractionation of NGL’s at Mont Belvieu, Texas and the 2012 operation of the Blacks Fork II plant which was put into service in the third quarter of 2011. See Note 2 - Basis of Presentation and of Interim Consolidated Financial Statements to the Condensed Consolidated Financial Statements, in Item 1, Part I of this Quarterly Report on Form 10-Q, for a discussion of the recasting of 2011 transportation and other handling costs.</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Gathering, processing and other expense decreased by $6.6 million and $8.1 million for the three and six months ended June 30, 2012, respectively, due to lower gathering expenses from the elimination of a short-term, third-party interruptible processing agreement in which QEP Field Services was required to purchase the shrink gas. The short-term processing arrangement was in effect during the first half of 2011 before the expansion of the Blacks Fork processing plant was put into service during the third quarter of 2011.</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second quarter of 2012, general and administrative (G&amp;A) expense increased $8.1 million to $36.8 million, compared to the same period in 2011. The increase in G&amp;A during the second quarter of 2012 was primarily due to a $5.5 million increase in costs from increased headcount and the annual compensation program, and $2.3 million attributable to restructuring costs (see Note 7 – Restructuring Costs of this Form 10-Q for additional information on the restructuring costs). G&amp;A expense increased $12.4 million, or 21%, during the first half of 2012 when compared to the first half of 2011. The increase in G&amp;A in the first half of 2012 was primarily due to $5.0 million in restructuring costs, $2.7 million increase in outside services and $2.9 million in higher costs due to increased headcount and the annual compensation program.</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Production and property taxes decreased 28% for the second quarter of 2012 and 13% during the first half of 2012. The decrease in the three and six months ended June 30, 2012 was due to a 29% and a 20% decrease, respectively, in field-level equivalent sales prices which are used as the basis for production taxes in most states where QEP operates.</w:t>
      </w:r>
    </w:p>
    <w:p>
      <w:pPr>
        <w:spacing w:after="0" w:line="20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For the three months and six months ended June 30, 2012, QEP’s total DD&amp;A expense grew $27.5 million, or 15%, and $35.9 million, or 10%, respectively, as compared to the same periods in 2011. The second quarter 2012 and first half 2012 increases in DD&amp;A expense were the result of increased production at QEP Energy and increased DD&amp;A at QEP Field Services due primarily to the completion of the Blacks Fork II plant in July 2011.</w:t>
      </w:r>
    </w:p>
    <w:p>
      <w:pPr>
        <w:spacing w:after="0" w:line="1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Exploration expenses decreased $0.2 million, or 9%, during the second quarter of 2012 and decreased $1.0 million, or 20%, in the first half of 2012 compared with 2011 periods. The first half 2012 decrease primarily related to a decrease of $0.4 million in dry hole expense.</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Abandonment and impairment expenses increased $50.4 million in the second quarter of 2012 compared with the second quarter of 2011. The majority of the second quarter 2012 increase related to a non-cash impairment of certain of QEP Energy’s proved properties in its Southern Region of $48.9 million. The impairment change in the second quarter of 2012 related to the reduced value of certain fields resulting from lower natural gas, crude oil and NGL prices. In addition, during the second quarter of 2012, QEP Energy impairments on unproved properties were $1.1 million higher than the second quarter of 2011 due to numerous factors including, current development and exploration plans, results of development or exploration activity on adjacent leaseholds, technical personnel evaluations of the properties and the remaining lease term. During the first half of 2012, abandonment and impairment expenses increased $51.6 million from the first half of 2011. The increase in the first half of 2012 was primarily due to the $48.9 million impairment of proved properties in the Southern Region combined with $1.9 million higher write-offs of certain unproved properties due to the numerous factors listed previously. The Company’s proved properties have significant reserves and are sensitive to declines in natural gas, crude oil and NGL prices. These assets are at risk of impairment if future natural gas, crude oil or NGL prices experience significant declines.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BELOW OPERATING (LOSS)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on derivative contracts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January 1, 2012, QEP discontinued hedge accounting, thus changes during the three and six months ended June 30, 2012, and all changes in mark-to-market are recognized in the current period earnings. In 2011, QEP used hedge accounting and changes in the mark-to-market value of the commodity derivative contracts were reflected in AOCI and ultimately revenues when the commodity derivatives were settled. Gains and losses on derivative instruments during 2012 are comprised of both realized and unrealized gains and losses on QEP’s commodity derivative contracts and interest rate swaps. During the second quarter of 2012, gains on commodity derivative instruments were $86.6 million, of which $120.7 million was realized, partially offset by a $34.1 million unrealized loss on commodity derivative instruments. During the first half of 2012, gains on commodity derivative instruments were $302.9 million, of which $208.7 million was realized and $94.2 million was unrealized. Additionally, during the three and six months ended June 30, 2012, QEP recognized an unrealized loss of $4.3 million from the mark-to-market value of its interest rate swaps.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and other income are comprised primarily of interest earned on investments, gains and losses on warehouse inventory, and other miscellaneous income. During the three and six months ended June 30, 2012, interest and other income increased $1.3 million and $2.4 million, respectively. The increases were primarily due to variances in warehouse inventory sales and valuations of $1.3 million and $1.9 million for the three and six months ended June 30, 2012, when compared to the prior year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early extinguishment of debt</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second quarter of 2012, QEP recorded a loss from early extinguishment of debt of $0.6 million from the retirement of a portion of QEP’s Senior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Interest expense increased $6.1 million, or 28%, during the second quarter of 2012 when compared to the second quarter of 2011. The increase in second quarter 2012 interest expense was attributable to average debt levels that were approximately $198 million higher than average debt levels in the second quarter of 2011. During the first half of 2012, interest expense increased $8.7 million, or 20%, when compared to the first half of 2011. The increase in interest expense during the first half of 2012 was due to average debt levels that were approximately $221 million higher than average debt levels in the first half of 2011. The increase in average debt levels is mostly related to the issuance of QEP’s 2022 Senior Notes and Term Loan in the first half of 2012.</w:t>
      </w:r>
    </w:p>
    <w:p>
      <w:pPr>
        <w:sectPr>
          <w:pgSz w:w="11900" w:h="16838" w:orient="portrait"/>
          <w:cols w:equalWidth="0" w:num="1">
            <w:col w:w="11400"/>
          </w:cols>
          <w:pgMar w:left="240" w:top="122" w:right="25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QEP’s effective combined federal and state income tax rate was 33.3% for the three months ended June 30, 2012, lower than the 36.7% in the three months ended June 30, 2011. The second quarter of 2012 combined rate was lower due primarily to lower net income and the related tax effect from the realization of permanent tax items or adjustments. The effective combined federal and state income tax rate was 36.2% for the six months ended June 30, 2012, lower than the 36.7% in the six months ended June 30, 2011. The 2012 first half combined rate was lower due to a lower tax rate in the first quarter of 2012, resulting from changes in estimates and subsequent reduction of accruals that are non-deductible for income tax purposes.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Energy</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QEP Energy reported a net loss of $30.3 million in the second quarter of 2012, a decrease of $77.1 million from the $46.8 million net income reported in the second quarter of 2011. The decline in second quarter of 2012 net income was due to a non-cash impairment charge of $48.9 million on certain of its Southern Region proved properties, an unrealized loss from commodity derivative instruments of $34.9 million combined with 10% lower average total equivalent net realized prices. During the first half of 2012, QEP Energy reported net income of $77.8 million, a 13% decrease from the $89.9 million in the first half of 2011. The primary reasons for the decrease in the first half of 2012 were a $49.3 million non-cash impairment on proved properties and 6% lower average total equivalent net realized prices, partially offset by an unrealized gain from commodity derivative contracts of $88.8 million and increased production. The following table provides a summary of QEP Energy’s financial and operating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9"/>
          </w:tcPr>
          <w:p>
            <w:pPr>
              <w:jc w:val="right"/>
              <w:ind w:right="85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Natural gas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138.9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Oil sales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218.0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Purchased gas, oil and NGL sales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156.0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732.3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Purchased gas, oil and NGL expense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154.7</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operating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Natural gas, oil and NGL transportation</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107.6</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and other handling costs</w:t>
            </w:r>
          </w:p>
        </w:tc>
        <w:tc>
          <w:tcPr>
            <w:tcW w:w="2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Production and property taxes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Depreciation, depletion and amortization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Exploration expenses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Abandonment and impairment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gain from asset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 derivative</w:t>
            </w:r>
          </w:p>
        </w:tc>
        <w:tc>
          <w:tcPr>
            <w:tcW w:w="2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4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Unrealized (loss) gain on derivative</w:t>
            </w:r>
          </w:p>
        </w:tc>
        <w:tc>
          <w:tcPr>
            <w:tcW w:w="24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88.8</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(loss)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(Loss) Income Attributable to QEP</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77.8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per unit</w:t>
      </w:r>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QEP Energy total operating expenses (the sum of depreciation, depletion and amortization expense, lease operating expense, natural gas, oil and NGL transportation and other handling costs, general and administrative expense, and a portion of total QEP interest expense that is allocated to QEP Energy based on intercompany agreements and production taxes) per Mcfe of production decreased 6% to $4.61 per Mcfe in the second quarter of 2012 compared to $4.92 per Mcfe in the second quarter of 2011. Total operating expenses per Mcfe decreased 4% to $4.68 per Mcfe in the first half of 2012 compared to $4.90 per Mcfe in the first half of 2011. The following table presents certain QEP Energy operating expenses on a units of production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80" w:type="dxa"/>
            <w:vAlign w:val="bottom"/>
            <w:gridSpan w:val="9"/>
          </w:tcPr>
          <w:p>
            <w:pPr>
              <w:jc w:val="right"/>
              <w:ind w:right="85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(per</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Mcfe)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2.48</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0.54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Natural gas, oil and NGL transportation and</w:t>
            </w:r>
          </w:p>
        </w:tc>
        <w:tc>
          <w:tcPr>
            <w:tcW w:w="7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0.70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handling costs</w:t>
            </w:r>
          </w:p>
        </w:tc>
        <w:tc>
          <w:tcPr>
            <w:tcW w:w="780" w:type="dxa"/>
            <w:vAlign w:val="bottom"/>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0.65</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0.35</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Allocated interest expense</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0.29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Production taxes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DD&amp;A expense decreased $0.19 per Mcfe in the second quarter of 2012 when compared to the second quarter of 2011. DD&amp;A expense decreased $0.21 per Mcfe in the first half of 2012, when compared to the first half of 2011. During the second quarter 2012 and first half of 2012 the DD&amp;A expense per Mcfe decline was the result of booking NGL reserves associated with the fee-based processing agreement entered into between QEP Energy and QEP Field Services for QEP Energy’s Pinedale production, increased percentage of production from the lower cost DD&amp;A pools and impairments taken in the fourth quarter of 2011.</w:t>
      </w:r>
    </w:p>
    <w:p>
      <w:pPr>
        <w:spacing w:after="0" w:line="21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Lease operating expense per Mcfe decreased $0.02 during the second quarter ended June 30, 2012, when compared to the second quarter of 2011. The decrease in the second quarter of 2012 lease operating expense is primarily due to a $0.02 per Mcfe decrease in both the Southern and Northern Regions. The Southern Region decrease was a result of an 18% increase in production, partially offset by a 12% increase in lease operating expenses. The Northern Region decrease was driven by a 30% increase in production, while lease operating expenses only increased 25%. Lease operating expense per Mcfe increased $0.01 for the first half of 2012 from the 2011 first half. The increase in lease operation expense per Mcfe in the first half of 2012 is due to a $0.03 per Mcfe increase in the Southern Region. The Southern Region increase was the result of an 18% increase in lease operating expenses, partially offset by a 11% increase in production. The decrease in lease operating expense per Mcfe in the Northern Region was primarily the result of a 27% increase in production, which was partially offset by a 22% increase in lease operating expenses in the Northern Region. For additional information regarding the variances in production and lease operating expenses, see “Production” and “Operating Expenses” discussions earlier in this Form 10-Q.</w:t>
      </w:r>
    </w:p>
    <w:p>
      <w:pPr>
        <w:spacing w:after="0" w:line="1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QEP Energy’s average production costs (lease operating expense) per Mcfe were 4% lower in the second quarter of 2012 compared to the second quarter of 2011. During the first half of 2012, average production costs per Mcfe were 2% higher than in the first half of 2011. The following table presents average production cost, excluding production taxes for QEP Energy by region on a units of production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80" w:type="dxa"/>
            <w:vAlign w:val="bottom"/>
            <w:gridSpan w:val="9"/>
          </w:tcPr>
          <w:p>
            <w:pPr>
              <w:jc w:val="center"/>
              <w:ind w:right="83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left="490"/>
              <w:spacing w:after="0"/>
              <w:rPr>
                <w:sz w:val="20"/>
                <w:szCs w:val="20"/>
                <w:color w:val="auto"/>
              </w:rPr>
            </w:pPr>
            <w:r>
              <w:rPr>
                <w:rFonts w:ascii="Arial" w:cs="Arial" w:eastAsia="Arial" w:hAnsi="Arial"/>
                <w:sz w:val="18"/>
                <w:szCs w:val="18"/>
                <w:color w:val="auto"/>
                <w:w w:val="87"/>
              </w:rPr>
              <w:t>(per</w:t>
            </w:r>
          </w:p>
        </w:tc>
        <w:tc>
          <w:tcPr>
            <w:tcW w:w="1000" w:type="dxa"/>
            <w:vAlign w:val="bottom"/>
            <w:gridSpan w:val="3"/>
          </w:tcPr>
          <w:p>
            <w:pPr>
              <w:jc w:val="right"/>
              <w:ind w:right="470"/>
              <w:spacing w:after="0"/>
              <w:rPr>
                <w:sz w:val="20"/>
                <w:szCs w:val="20"/>
                <w:color w:val="auto"/>
              </w:rPr>
            </w:pPr>
            <w:r>
              <w:rPr>
                <w:rFonts w:ascii="Arial" w:cs="Arial" w:eastAsia="Arial" w:hAnsi="Arial"/>
                <w:sz w:val="18"/>
                <w:szCs w:val="18"/>
                <w:color w:val="auto"/>
                <w:w w:val="93"/>
              </w:rPr>
              <w:t>Mcfe)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Northern Region</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0.60</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3"/>
              </w:rPr>
              <w:t>(0.02)</w:t>
            </w:r>
          </w:p>
        </w:tc>
        <w:tc>
          <w:tcPr>
            <w:tcW w:w="8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6"/>
              </w:rPr>
              <w:t>0.59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Southern Region</w:t>
            </w: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0.48</w:t>
            </w:r>
          </w:p>
        </w:tc>
        <w:tc>
          <w:tcPr>
            <w:tcW w:w="200" w:type="dxa"/>
            <w:vAlign w:val="bottom"/>
          </w:tcPr>
          <w:p>
            <w:pPr>
              <w:spacing w:after="0"/>
              <w:rPr>
                <w:sz w:val="18"/>
                <w:szCs w:val="18"/>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93"/>
              </w:rPr>
              <w:t>(0.02)</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0.49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production cost</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0.54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3"/>
              </w:rPr>
              <w:t>(0.02)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6"/>
              </w:rPr>
              <w:t>0.53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bl>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Natural gas, oil and NGL transportation and other handling costs per Mcfe were 11% higher in the second quarter of 2012 than in the second quarter of 2011. During the first half of 2012, natural gas, oil and NGL transportation and other handling costs per Mcfe were 6% higher than in the first half of 2011. The per Mcfe increase in both the three and six months ended June 30, 2012, relates to NGL sale agreements at Mont Belvieu, Texas, and the related transportation and processing of NGL’s, which were effective beginning with the startup of the Blacks Fork II plant in the third quarter of 2011. In addition, natural gas processing costs from the Blacks Fork II plant in 2012 compared to 2011 are contributing to the increase.</w:t>
      </w:r>
    </w:p>
    <w:p>
      <w:pPr>
        <w:spacing w:after="0" w:line="20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G&amp;A expense increased $0.02 per Mcfe in the three months ended June 30, 2012, and increased $0.04 per Mcfe in the six months ended June 30, 2012. The per Mcfe increases in the three and six months ended June 30, 2012, were the result of higher total G&amp;A expenses, which were primarily related to restructuring costs and higher compensation costs from increased headcount in the three and six months ended June 30, 2012, partially offset by increased production during the same periods. See Note 7 – “Restructuring Costs” of this form 10-Q for additional information regarding restructuring costs.</w:t>
      </w:r>
    </w:p>
    <w:p>
      <w:pPr>
        <w:sectPr>
          <w:pgSz w:w="11900" w:h="16838" w:orient="portrait"/>
          <w:cols w:equalWidth="0" w:num="1">
            <w:col w:w="11420"/>
          </w:cols>
          <w:pgMar w:left="240" w:top="12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Allocated interest expense per Mcfe decreased $0.03 in the three months ended June 30, 2012, but was flat in the six months ended June 30, 2012. The decrease in the three months ended June 30, 2012, was primarily due to increases in production outpacing increases in allocated interest expense.</w:t>
      </w:r>
    </w:p>
    <w:p>
      <w:pPr>
        <w:spacing w:after="0" w:line="15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most states in which QEP Energy operates, QEP pays production taxes based on a percentage of field-level revenue, except in Louisiana, where severance taxes are volume-based. Production taxes per Mcfe decreased by $0.16 and $0.10 during the three and six months ended June 30, 2012, because of lower field-level natural gas, oil and NGL prices.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Operating Regions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six months ended June 30,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color w:val="auto"/>
              </w:rPr>
              <w:t>Operated Completions</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Non-operated Completions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60" w:type="dxa"/>
            <w:vAlign w:val="bottom"/>
            <w:gridSpan w:val="5"/>
          </w:tcPr>
          <w:p>
            <w:pPr>
              <w:jc w:val="center"/>
              <w:ind w:right="240"/>
              <w:spacing w:after="0" w:line="201" w:lineRule="exact"/>
              <w:rPr>
                <w:sz w:val="20"/>
                <w:szCs w:val="20"/>
                <w:color w:val="auto"/>
              </w:rPr>
            </w:pPr>
            <w:r>
              <w:rPr>
                <w:rFonts w:ascii="Arial" w:cs="Arial" w:eastAsia="Arial" w:hAnsi="Arial"/>
                <w:sz w:val="18"/>
                <w:szCs w:val="18"/>
                <w:color w:val="auto"/>
                <w:w w:val="90"/>
              </w:rPr>
              <w:t>Three Months Ended</w:t>
            </w:r>
          </w:p>
        </w:tc>
        <w:tc>
          <w:tcPr>
            <w:tcW w:w="2040" w:type="dxa"/>
            <w:vAlign w:val="bottom"/>
            <w:gridSpan w:val="3"/>
          </w:tcPr>
          <w:p>
            <w:pPr>
              <w:jc w:val="right"/>
              <w:ind w:right="250"/>
              <w:spacing w:after="0" w:line="201" w:lineRule="exact"/>
              <w:rPr>
                <w:sz w:val="20"/>
                <w:szCs w:val="20"/>
                <w:color w:val="auto"/>
              </w:rPr>
            </w:pPr>
            <w:r>
              <w:rPr>
                <w:rFonts w:ascii="Arial" w:cs="Arial" w:eastAsia="Arial" w:hAnsi="Arial"/>
                <w:sz w:val="18"/>
                <w:szCs w:val="18"/>
                <w:color w:val="auto"/>
              </w:rPr>
              <w:t>Six Months Ended</w:t>
            </w:r>
          </w:p>
        </w:tc>
        <w:tc>
          <w:tcPr>
            <w:tcW w:w="220" w:type="dxa"/>
            <w:vAlign w:val="bottom"/>
          </w:tcPr>
          <w:p>
            <w:pPr>
              <w:spacing w:after="0"/>
              <w:rPr>
                <w:sz w:val="17"/>
                <w:szCs w:val="17"/>
                <w:color w:val="auto"/>
              </w:rPr>
            </w:pPr>
          </w:p>
        </w:tc>
        <w:tc>
          <w:tcPr>
            <w:tcW w:w="2240" w:type="dxa"/>
            <w:vAlign w:val="bottom"/>
            <w:gridSpan w:val="4"/>
          </w:tcPr>
          <w:p>
            <w:pPr>
              <w:ind w:left="260"/>
              <w:spacing w:after="0" w:line="201" w:lineRule="exact"/>
              <w:rPr>
                <w:sz w:val="20"/>
                <w:szCs w:val="20"/>
                <w:color w:val="auto"/>
              </w:rPr>
            </w:pPr>
            <w:r>
              <w:rPr>
                <w:rFonts w:ascii="Arial" w:cs="Arial" w:eastAsia="Arial" w:hAnsi="Arial"/>
                <w:sz w:val="18"/>
                <w:szCs w:val="18"/>
                <w:color w:val="auto"/>
              </w:rPr>
              <w:t>Three Months Ended</w:t>
            </w:r>
          </w:p>
        </w:tc>
        <w:tc>
          <w:tcPr>
            <w:tcW w:w="204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8"/>
                <w:szCs w:val="18"/>
                <w:color w:val="auto"/>
                <w:w w:val="87"/>
              </w:rPr>
              <w:t>June 30, 2012</w:t>
            </w:r>
          </w:p>
        </w:tc>
        <w:tc>
          <w:tcPr>
            <w:tcW w:w="2260" w:type="dxa"/>
            <w:vAlign w:val="bottom"/>
            <w:gridSpan w:val="4"/>
          </w:tcPr>
          <w:p>
            <w:pPr>
              <w:jc w:val="right"/>
              <w:ind w:right="740"/>
              <w:spacing w:after="0"/>
              <w:rPr>
                <w:sz w:val="20"/>
                <w:szCs w:val="20"/>
                <w:color w:val="auto"/>
              </w:rPr>
            </w:pPr>
            <w:r>
              <w:rPr>
                <w:rFonts w:ascii="Arial" w:cs="Arial" w:eastAsia="Arial" w:hAnsi="Arial"/>
                <w:sz w:val="18"/>
                <w:szCs w:val="18"/>
                <w:color w:val="auto"/>
              </w:rPr>
              <w:t>June 30, 2012</w:t>
            </w:r>
          </w:p>
        </w:tc>
        <w:tc>
          <w:tcPr>
            <w:tcW w:w="2240" w:type="dxa"/>
            <w:vAlign w:val="bottom"/>
            <w:gridSpan w:val="4"/>
          </w:tcPr>
          <w:p>
            <w:pPr>
              <w:ind w:left="520"/>
              <w:spacing w:after="0"/>
              <w:rPr>
                <w:sz w:val="20"/>
                <w:szCs w:val="20"/>
                <w:color w:val="auto"/>
              </w:rPr>
            </w:pPr>
            <w:r>
              <w:rPr>
                <w:rFonts w:ascii="Arial" w:cs="Arial" w:eastAsia="Arial" w:hAnsi="Arial"/>
                <w:sz w:val="18"/>
                <w:szCs w:val="18"/>
                <w:color w:val="auto"/>
              </w:rPr>
              <w:t>June 30, 2012</w:t>
            </w:r>
          </w:p>
        </w:tc>
        <w:tc>
          <w:tcPr>
            <w:tcW w:w="214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June 30,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91"/>
              </w:rPr>
              <w:t>Gross</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Gross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Gross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Gross</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Pinedale</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39</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Uinta Basin</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Legacy</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Haynesville/Cotton Valley</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Midcontinent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drilling and waiting on completion at June 30, 2012: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85"/>
              </w:rPr>
              <w:t>Operated</w:t>
            </w: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Non-operated</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Drilling</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Waiting on completion</w:t>
            </w:r>
          </w:p>
        </w:tc>
        <w:tc>
          <w:tcPr>
            <w:tcW w:w="220" w:type="dxa"/>
            <w:vAlign w:val="bottom"/>
          </w:tcPr>
          <w:p>
            <w:pPr>
              <w:spacing w:after="0"/>
              <w:rPr>
                <w:sz w:val="19"/>
                <w:szCs w:val="19"/>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Drilling</w:t>
            </w:r>
          </w:p>
        </w:tc>
        <w:tc>
          <w:tcPr>
            <w:tcW w:w="6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Waiting on completion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1"/>
              </w:rPr>
              <w:t>Gross</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Gross</w:t>
            </w:r>
          </w:p>
        </w:tc>
        <w:tc>
          <w:tcPr>
            <w:tcW w:w="220" w:type="dxa"/>
            <w:vAlign w:val="bottom"/>
          </w:tcPr>
          <w:p>
            <w:pPr>
              <w:spacing w:after="0"/>
              <w:rPr>
                <w:sz w:val="19"/>
                <w:szCs w:val="19"/>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Gross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Gross</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Pinedale</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Uinta Basin</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Legacy</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31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Midcontinent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Northern Region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Pinedale Division</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2005, the Wyoming Oil and Gas Conservation Commission (WOGCC) approved 10-acre density drilling for Lance Pool wells on about 12,700 acres of QEP Energy’s 17,900 acre (gross) Pinedale leasehold. In January 2008, the WOGCC approved five-acre density drilling for Lance Pool wells on about 4,200 gross acres of QEP Energy’s Pinedale leasehold. On March 13, 2012, the WOGCC approved 5-acre density drilling for Lance Pool wells on approximately 7,200 additional gross acres. The area approved for increased density corresponds to the currently estimated economic productive limits of QEP Energy core acreage in the field. The true vertical depth to the top of the Lance Pool tight gas sand reservoir interval ranges from 8,500 to 9,500 feet across QEP Energy’s acreage. The Company currently estimates that up to 1,050 additional wells will be required to fully develop its Pinedale acreage on a combination of 5 and 10-acre density. At June 30, 2012, QEP Energy had six operated rigs drilling in the Pinedale Anticline.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Uinta Basin Division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majority of Uinta Basin proved reserves are found in a series of vertically stacked, laterally discontinuous reservoirs at depths of 4,500 feet to deeper than 18,000 feet. QEP Energy owns interests in approximately 253,800 net leasehold acres in the Uinta Basin. QEP Energy had three operated rigs drilling in the Uinta Basin at June 30, 2012, two of which are targeting the Lower Mesaverde Formation productive fairway in the Redwash Unit, in which QEP holds 32,300 net acres, and one is drilling various vertical and horizontal oil targets.</w:t>
      </w:r>
    </w:p>
    <w:p>
      <w:pPr>
        <w:sectPr>
          <w:pgSz w:w="11900" w:h="16838" w:orient="portrait"/>
          <w:cols w:equalWidth="0" w:num="1">
            <w:col w:w="11420"/>
          </w:cols>
          <w:pgMar w:left="240" w:top="122"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Division</w:t>
      </w:r>
    </w:p>
    <w:p>
      <w:pPr>
        <w:spacing w:after="0" w:line="25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remainder of QEP Energy Northern Region leasehold interests, productive wells and proved reserves are distributed over a number of fields and properties managed as the Legacy Division. Exploration and development activity in the three and six months ended June 30, 2012, includes wells in the Greater Green River and Powder River Basins in Wyoming and the Williston Basin in North Dakota.</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QEP Energy has approximately 90,000 net acres of leasehold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As of June 30, 2012, QEP Energy had four operated rigs drilling in the project area.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Southern Region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Haynesville/Cotton Valley Division</w:t>
      </w:r>
    </w:p>
    <w:p>
      <w:pPr>
        <w:spacing w:after="0" w:line="25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QEP Energy has approximately 50,700 net acres of Haynesville Shale lease rights in northwest Louisiana and additional lease rights that cover the Hosston and Cotton Valley formations. The depth of the top of the Haynesville Shale ranges from approximately 10,500 feet to 12,500 feet across QEP Energy’s leasehold and is below the Hosston and Cotton Valley formations that QEP Energy has been developing in northwest Louisiana since the 1990’s. As of June 30, 2012, QEP Energy had one operated rig drilling in the project area, which has since been released.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 Division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QEP Energy’s Midcontinent properties cover all properties in the Southern Region except the Haynesville/Cotton Valley area of northwest Louisiana, and are distributed over a large area, including the Anadarko Basin of western Oklahoma and the Texas Panhandle.</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QEP Energy has approximately 75,600 net acres of Woodford Shale lease rights in western Oklahoma. The true vertical depth to the top of the Woodford Shale ranges from approximately 10,500 feet to 14,500 feet across QEP Energy’s leasehold. As of June 30, 2012, QEP Energy had three operated rigs drilling in the Woodford/Cana play.</w:t>
      </w:r>
    </w:p>
    <w:p>
      <w:pPr>
        <w:spacing w:after="0" w:line="20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QEP Energy has approximately 35,000 net acres of Granite Wash/Atoka Wash lease rights in the Texas Panhandle and western Oklahoma and has been drilling vertical Granite Wash/Atoka Wash wells for over a decade. The true vertical depth to the top of the Granite Wash/Atoka Wash interval ranges from approximately 11,100 feet to 15,900 feet across QEP Energy’s leasehold. In the past few years, QEP and other operators have drilled a number of successful horizontal wells in the Granite Wash/Atoka Wash play but have also drilled some wells with disappointing results. As of June 30, 2012, QEP Energy had one rig drilling in oil plays in western Oklahoma that is also being utilized to drill wells in the Texas Panhandle.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Field Services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QEP Field Services, which provides gas gathering and processing services, generated net income of $33.3 million in the second quarter of 2012, compared to $44.2 million in the same period of 2011. Conversely, during the first half of 2012 QEP Field Services net income increased 9% to $78.7 million compared to $72.2 million in the first half of 2011. The decrease in net income during the second quarter of 2012 was the result of lower processing and gathering margins, however, during the first half of 2012, the processing margin increase resulted in higher net income for QEP Field Services. Gathering margins were lower during the second quarter and first half of 2012 as the result of decreased other gathering revenue due to the elimination of a short-term, third-party interruptible processing agreement. The short-term processing arrangement was in effect during the second quarter and first half of 2011, before the expansion of the Blacks Fork processing plant was put into service during the third quarter of 2011. Processing margins were lower in the second quarter of 2012 because of lower keep-whole processing margins, which, conversely, during the first half of 2012 were higher than the first half of 2011.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0" w:type="dxa"/>
            <w:vAlign w:val="bottom"/>
            <w:gridSpan w:val="13"/>
          </w:tcPr>
          <w:p>
            <w:pPr>
              <w:spacing w:after="0"/>
              <w:rPr>
                <w:sz w:val="20"/>
                <w:szCs w:val="20"/>
                <w:color w:val="auto"/>
              </w:rPr>
            </w:pPr>
            <w:r>
              <w:rPr>
                <w:rFonts w:ascii="Arial" w:cs="Arial" w:eastAsia="Arial" w:hAnsi="Arial"/>
                <w:sz w:val="18"/>
                <w:szCs w:val="18"/>
                <w:color w:val="auto"/>
                <w:w w:val="98"/>
              </w:rPr>
              <w:t>The following table provides a summary of QEP Field Services’ financial and operating results: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9"/>
          </w:tcPr>
          <w:p>
            <w:pPr>
              <w:jc w:val="right"/>
              <w:ind w:right="850"/>
              <w:spacing w:after="0"/>
              <w:rPr>
                <w:sz w:val="20"/>
                <w:szCs w:val="20"/>
                <w:color w:val="auto"/>
              </w:rPr>
            </w:pPr>
            <w:r>
              <w:rPr>
                <w:rFonts w:ascii="Arial" w:cs="Arial" w:eastAsia="Arial" w:hAnsi="Arial"/>
                <w:sz w:val="18"/>
                <w:szCs w:val="18"/>
                <w:b w:val="1"/>
                <w:bCs w:val="1"/>
                <w:color w:val="auto"/>
                <w:w w:val="91"/>
              </w:rPr>
              <w:t>Three Months Ended June 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36.3</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Processing (fee based)</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processing fees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Gathering</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gathering</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Purchased gas, oil and NGL sales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233.3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expense</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Processing</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Processing plant fuel and shrinkage</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Gathering</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Natural gas, oil and NGL transportation</w:t>
            </w:r>
          </w:p>
        </w:tc>
        <w:tc>
          <w:tcPr>
            <w:tcW w:w="76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and other handling costs</w:t>
            </w:r>
          </w:p>
        </w:tc>
        <w:tc>
          <w:tcPr>
            <w:tcW w:w="7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Taxes other than income taxes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7"/>
              </w:rPr>
              <w:t>Depreciation, depletion and amortization</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gain from asset sales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Realized gains on derivative instruments</w:t>
            </w: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Unrealized gains on derivative instruments</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3"/>
              </w:rPr>
              <w:t>(19.2)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(25.5)</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760" w:type="dxa"/>
            <w:vAlign w:val="bottom"/>
          </w:tcPr>
          <w:p>
            <w:pPr>
              <w:spacing w:after="0"/>
              <w:rPr>
                <w:sz w:val="17"/>
                <w:szCs w:val="17"/>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interest</w:t>
            </w:r>
          </w:p>
        </w:tc>
        <w:tc>
          <w:tcPr>
            <w:tcW w:w="76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QEP</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Natural gas, oil and NGL transportation and other handling costs increased $10.8 million and $18.7 million during the three and six months ended June 30, 2012, respectively. The increases in both periods were primarily due to transportation costs relating to the Blacks Fork II plant, placed into service in the third quarter of 2011, and the related transportation and ultimate sale of additional NGL’s at Mont Belvieu, Texas.</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increased by $2.2 million during the second quarter of 2012, but decreased $2.3 million during the first half of 2012. The increase in the second quarter of 2012 related to increased compensation costs from increased headcount when compared to the second quarter of 2011. The decrease in the first half of 2012 compared to the first half of 2011 was primarily due to a $4.3 million reduction in accruals for loss contingencies, offset by increased compensation costs.</w:t>
      </w: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See “Gathering” and “Processing” sections, as appearing earlier, for additional discussion of the significant changes in QEP Field Services comparative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Other</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QEP Marketing, which markets affiliate and third-party natural gas and oil, and owns and operates a gas storage facility, and Other generated a net loss of $3.7 million in the three months ended June 30, 2012, a $5.5 million decrease over the $1.8 million of income in the three months ended June 30, 2011. The decrease in the second quarter of 2012 was due primarily to lower marketing volumes and margins. During the six months ended June 30, 2012, net income decreased $5.9 million due primarily to lower marketing margins.</w:t>
      </w:r>
    </w:p>
    <w:p>
      <w:pPr>
        <w:sectPr>
          <w:pgSz w:w="11900" w:h="16838" w:orient="portrait"/>
          <w:cols w:equalWidth="0" w:num="1">
            <w:col w:w="11420"/>
          </w:cols>
          <w:pgMar w:left="240" w:top="114"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0" w:type="dxa"/>
            <w:vAlign w:val="bottom"/>
            <w:gridSpan w:val="13"/>
          </w:tcPr>
          <w:p>
            <w:pPr>
              <w:spacing w:after="0"/>
              <w:rPr>
                <w:sz w:val="20"/>
                <w:szCs w:val="20"/>
                <w:color w:val="auto"/>
              </w:rPr>
            </w:pPr>
            <w:r>
              <w:rPr>
                <w:rFonts w:ascii="Arial" w:cs="Arial" w:eastAsia="Arial" w:hAnsi="Arial"/>
                <w:sz w:val="18"/>
                <w:szCs w:val="18"/>
                <w:color w:val="auto"/>
                <w:w w:val="92"/>
              </w:rPr>
              <w:t>The following table provides a summary of QEP Marketing and Other financial and operating results: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9"/>
          </w:tcPr>
          <w:p>
            <w:pPr>
              <w:jc w:val="right"/>
              <w:ind w:right="85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0"/>
              </w:rPr>
              <w:t>Six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85"/>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560" w:type="dxa"/>
            <w:vAlign w:val="bottom"/>
            <w:gridSpan w:val="3"/>
          </w:tcPr>
          <w:p>
            <w:pPr>
              <w:jc w:val="center"/>
              <w:ind w:right="60"/>
              <w:spacing w:after="0"/>
              <w:rPr>
                <w:sz w:val="20"/>
                <w:szCs w:val="20"/>
                <w:color w:val="auto"/>
              </w:rPr>
            </w:pPr>
            <w:r>
              <w:rPr>
                <w:rFonts w:ascii="Arial" w:cs="Arial" w:eastAsia="Arial" w:hAnsi="Arial"/>
                <w:sz w:val="18"/>
                <w:szCs w:val="18"/>
                <w:color w:val="auto"/>
                <w:w w:val="75"/>
              </w:rPr>
              <w:t>millions)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443.7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Purchased gas, oil and NGL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Gathering, processing and other</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Production and property taxes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Depreciation, depletion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574.0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asset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on derivative instruments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Unrealized loss on derivative instruments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Net (Loss) Income Attributable to QEP</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QEP seeks to fund its development projects by employing a capital structure and financing strategy to provide sufficient liquidity to withstand commodity price swings. As part of this strategy QEP funds long-term capital intensive development projects while maintaining the ability to employ an exploration program and execute acquisitions while maintaining an appropriate debt rating in conjunction with these objectives. In addition, QEP maintains a commodity price derivative strategy to reduce commodity price volatility and to provide certainty to cash flows and operations.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QEP funds its operations, capital expenditures and working capital requirements with cash flow from its operating activities, borrowings under its credit facilities. Periodically, QEP’s access to debt and capital markets and sales of non-strategic properties will provide additional liquidity. The Company believes cash flow from operations, cash-on-hand and availability under its Credit Facility will be sufficient to fund the Company’s planned capital expenditures and operating expenses during the next 12 months. To the extent actual operating results differ from the Company’s estimates, its liquidity could be adversely affected.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w w:val="99"/>
              </w:rPr>
              <w:t>The following table provides QEP’s available liquidity and debt to equity ratio compared to the previous period: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ind w:left="300"/>
              <w:spacing w:after="0"/>
              <w:rPr>
                <w:sz w:val="20"/>
                <w:szCs w:val="20"/>
                <w:color w:val="auto"/>
              </w:rPr>
            </w:pPr>
            <w:r>
              <w:rPr>
                <w:rFonts w:ascii="Arial" w:cs="Arial" w:eastAsia="Arial" w:hAnsi="Arial"/>
                <w:sz w:val="18"/>
                <w:szCs w:val="18"/>
                <w:color w:val="auto"/>
              </w:rPr>
              <w:t>(in millions, except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146.4</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line="216" w:lineRule="exact"/>
              <w:rPr>
                <w:sz w:val="20"/>
                <w:szCs w:val="20"/>
                <w:color w:val="auto"/>
              </w:rPr>
            </w:pPr>
            <w:r>
              <w:rPr>
                <w:rFonts w:ascii="Arial" w:cs="Arial" w:eastAsia="Arial" w:hAnsi="Arial"/>
                <w:sz w:val="18"/>
                <w:szCs w:val="18"/>
                <w:color w:val="auto"/>
              </w:rPr>
              <w:t xml:space="preserve">Amount available under the credit facility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liquidity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1,642.3</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1,866.6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common shareholders' equity</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3,367.0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20" w:type="dxa"/>
            <w:vAlign w:val="bottom"/>
            <w:gridSpan w:val="3"/>
            <w:shd w:val="clear" w:color="auto" w:fill="CCEEFF"/>
          </w:tcPr>
          <w:p>
            <w:pPr>
              <w:spacing w:after="0" w:line="24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(3)</w:t>
            </w:r>
          </w:p>
        </w:tc>
        <w:tc>
          <w:tcPr>
            <w:tcW w:w="212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118"/>
        </w:trPr>
        <w:tc>
          <w:tcPr>
            <w:tcW w:w="4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6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307"/>
        </w:trPr>
        <w:tc>
          <w:tcPr>
            <w:tcW w:w="400" w:type="dxa"/>
            <w:vAlign w:val="bottom"/>
          </w:tcPr>
          <w:p>
            <w:pPr>
              <w:jc w:val="right"/>
              <w:ind w:right="10"/>
              <w:spacing w:after="0"/>
              <w:rPr>
                <w:sz w:val="20"/>
                <w:szCs w:val="20"/>
                <w:color w:val="auto"/>
              </w:rPr>
            </w:pPr>
            <w:r>
              <w:rPr>
                <w:rFonts w:ascii="Arial" w:cs="Arial" w:eastAsia="Arial" w:hAnsi="Arial"/>
                <w:sz w:val="13"/>
                <w:szCs w:val="13"/>
                <w:color w:val="auto"/>
              </w:rPr>
              <w:t>(1)</w:t>
            </w:r>
          </w:p>
        </w:tc>
        <w:tc>
          <w:tcPr>
            <w:tcW w:w="8020" w:type="dxa"/>
            <w:vAlign w:val="bottom"/>
            <w:gridSpan w:val="2"/>
          </w:tcPr>
          <w:p>
            <w:pPr>
              <w:ind w:left="100"/>
              <w:spacing w:after="0"/>
              <w:rPr>
                <w:sz w:val="20"/>
                <w:szCs w:val="20"/>
                <w:color w:val="auto"/>
              </w:rPr>
            </w:pPr>
            <w:r>
              <w:rPr>
                <w:rFonts w:ascii="Arial" w:cs="Arial" w:eastAsia="Arial" w:hAnsi="Arial"/>
                <w:sz w:val="18"/>
                <w:szCs w:val="18"/>
                <w:color w:val="auto"/>
              </w:rPr>
              <w:t>See discussion of Credit Facility below. Includes outstanding letters of credit of $4.1 million.</w:t>
            </w:r>
          </w:p>
        </w:tc>
        <w:tc>
          <w:tcPr>
            <w:tcW w:w="2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00" w:type="dxa"/>
            <w:vAlign w:val="bottom"/>
          </w:tcPr>
          <w:p>
            <w:pPr>
              <w:jc w:val="right"/>
              <w:ind w:right="10"/>
              <w:spacing w:after="0"/>
              <w:rPr>
                <w:sz w:val="20"/>
                <w:szCs w:val="20"/>
                <w:color w:val="auto"/>
              </w:rPr>
            </w:pPr>
            <w:r>
              <w:rPr>
                <w:rFonts w:ascii="Arial" w:cs="Arial" w:eastAsia="Arial" w:hAnsi="Arial"/>
                <w:sz w:val="13"/>
                <w:szCs w:val="13"/>
                <w:color w:val="auto"/>
              </w:rPr>
              <w:t>(2)</w:t>
            </w:r>
          </w:p>
        </w:tc>
        <w:tc>
          <w:tcPr>
            <w:tcW w:w="8020" w:type="dxa"/>
            <w:vAlign w:val="bottom"/>
            <w:gridSpan w:val="2"/>
          </w:tcPr>
          <w:p>
            <w:pPr>
              <w:ind w:left="100"/>
              <w:spacing w:after="0"/>
              <w:rPr>
                <w:sz w:val="20"/>
                <w:szCs w:val="20"/>
                <w:color w:val="auto"/>
              </w:rPr>
            </w:pPr>
            <w:r>
              <w:rPr>
                <w:rFonts w:ascii="Arial" w:cs="Arial" w:eastAsia="Arial" w:hAnsi="Arial"/>
                <w:sz w:val="18"/>
                <w:szCs w:val="18"/>
                <w:color w:val="auto"/>
              </w:rPr>
              <w:t>Includes all outstanding long-term debt which is discussed in detail below.</w:t>
            </w:r>
          </w:p>
        </w:tc>
        <w:tc>
          <w:tcPr>
            <w:tcW w:w="2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00" w:type="dxa"/>
            <w:vAlign w:val="bottom"/>
          </w:tcPr>
          <w:p>
            <w:pPr>
              <w:jc w:val="right"/>
              <w:ind w:right="10"/>
              <w:spacing w:after="0"/>
              <w:rPr>
                <w:sz w:val="20"/>
                <w:szCs w:val="20"/>
                <w:color w:val="auto"/>
              </w:rPr>
            </w:pPr>
            <w:r>
              <w:rPr>
                <w:rFonts w:ascii="Arial" w:cs="Arial" w:eastAsia="Arial" w:hAnsi="Arial"/>
                <w:sz w:val="13"/>
                <w:szCs w:val="13"/>
                <w:color w:val="auto"/>
              </w:rPr>
              <w:t>(3)</w:t>
            </w:r>
          </w:p>
        </w:tc>
        <w:tc>
          <w:tcPr>
            <w:tcW w:w="8020" w:type="dxa"/>
            <w:vAlign w:val="bottom"/>
            <w:gridSpan w:val="2"/>
          </w:tcPr>
          <w:p>
            <w:pPr>
              <w:ind w:left="100"/>
              <w:spacing w:after="0"/>
              <w:rPr>
                <w:sz w:val="20"/>
                <w:szCs w:val="20"/>
                <w:color w:val="auto"/>
              </w:rPr>
            </w:pPr>
            <w:r>
              <w:rPr>
                <w:rFonts w:ascii="Arial" w:cs="Arial" w:eastAsia="Arial" w:hAnsi="Arial"/>
                <w:sz w:val="18"/>
                <w:szCs w:val="18"/>
                <w:color w:val="auto"/>
              </w:rPr>
              <w:t>Defined as total debt divided by the sum of total debt plus common shareholders’ equity.</w:t>
            </w:r>
          </w:p>
        </w:tc>
        <w:tc>
          <w:tcPr>
            <w:tcW w:w="212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-492760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QEP’s revolving credit facility agreement (Credit Facility), which matures in August 2016, provides for loan commitments of $1.5 billion from a syndicate of financial institutions. The Credit Facility provides for borrowings at short-term interest rates and contains customary covenants and restrictions. The revolving credit facility agreement also contains provisions which would allow for the amount of the facility to be increased to $2.0 billion and for the maturity to be extended for two additional one-year periods. QEP’s weighted-average interest rate on borrowings from its Credit Facility was 2.05% during the first half of 2012. At June 30, 2012, QEP was in compliance with the debt covenants under the credit agreement. QEP reduced its borrowings under its credit facility from $606.5 million as of December 31, 2011, to no borrowings outstanding at June 30, 2012, as a result of the issuance of the 2022 Senior Notes and Term Loan. At July 27, 2012, QEP had no borrowings outstanding under its revolving credit facility and $4.1 million of letters of credit issued.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second quarter of 2012, the Company entered into a $300.0 million Term Loan with a group of financial institutions. The Term Loan agreement provides for borrowings at short-term interest rates and contains covenants, restrictions and interest rates that are substantially the same as the Company’s existing Credit Facility. The term loan agreement matures in April of 2017, and the maturity date may be extended one year with the agreement of the lenders. The proceeds from the term loan were used to pay down the Company’s revolving credit facility and general corporate purposes. During the second quarter of 2012, QEP’s weighted-average interest rate on the term loan was 2.02%. In conjunction with the Term Loan, QEP entered into interest rate swap contracts with a combined notional principal amount of $300.0 million which will mature in March 2017. Under the swap contracts, QEP pays 1.07% for the life of the swaps and receives one-month LIBOR. The current interest rate under the Term Loan is one-month LIBOR, plus 1.75% (the Applicable Margin) which , when combined with the fixed interest rate swaps, results in an effective rate of 2.82% for borrowings under the Term Loan. To the extent that the Applicable Margin under the Term Loan changes, the effective fixed rate paid for borrowings under the Term Loan will 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2012, the Company completed an offering of $500.0 million in aggregate principal amount of 5.375% senior notes due in October 2022. The proceeds from the 2022 Senior Notes were used to pay down the Company’s revolving credit facility. In the second quarter of 2012, the Company purchased $6.7 million of its Senior Notes outstanding. The Company’s senior notes outstanding as of June 30, 2012, totaled $1,571.8 million principal amount and are comprised of five issuances as follows:</w:t>
      </w:r>
    </w:p>
    <w:p>
      <w:pPr>
        <w:spacing w:after="0" w:line="214" w:lineRule="exact"/>
        <w:rPr>
          <w:sz w:val="20"/>
          <w:szCs w:val="20"/>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provided by operating activities increased 10% during the first half of 2012, when compared to the first half of 2011 due to higher noncash adjustments to net income and an increase in the source of cash from operating assets and liabilities. Noncash adjustments to net income consisted primarily of depreciation, depletion and amortization; impairment charges, unrealized gains on derivative contracts; and changes in deferred income taxes. Operating assets and liabilities were a source of cash in the first half of 2012, primarily due to a decrease in accounts receivable offset by a decrease in accounts payable. Operating assets and liabilities driving a source of cash in the first half of 2011 were increases in accounts payable. Net cash provided from operating activities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Six Months Ended 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8"/>
              </w:rPr>
              <w:t>Change</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Noncash adjustments to net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from 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694.3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628.6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 comparison of capital expenditures for the first six months of 2012 and 2011 and a forecast for calendar year 2012 are presented in the table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Current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Forecast</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Prior Forecast</w:t>
            </w:r>
          </w:p>
        </w:tc>
      </w:tr>
      <w:tr>
        <w:trPr>
          <w:trHeight w:val="216"/>
        </w:trPr>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Twelve Months</w:t>
            </w: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Twelve Months</w:t>
            </w:r>
          </w:p>
        </w:tc>
      </w:tr>
      <w:tr>
        <w:trPr>
          <w:trHeight w:val="241"/>
        </w:trPr>
        <w:tc>
          <w:tcPr>
            <w:tcW w:w="1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line="234" w:lineRule="exact"/>
              <w:rPr>
                <w:sz w:val="20"/>
                <w:szCs w:val="20"/>
                <w:color w:val="auto"/>
              </w:rPr>
            </w:pPr>
            <w:r>
              <w:rPr>
                <w:rFonts w:ascii="Arial" w:cs="Arial" w:eastAsia="Arial" w:hAnsi="Arial"/>
                <w:sz w:val="18"/>
                <w:szCs w:val="18"/>
                <w:b w:val="1"/>
                <w:bCs w:val="1"/>
                <w:color w:val="auto"/>
                <w:w w:val="84"/>
              </w:rPr>
              <w:t xml:space="preserve">Ended </w:t>
            </w:r>
            <w:r>
              <w:rPr>
                <w:rFonts w:ascii="Arial" w:cs="Arial" w:eastAsia="Arial" w:hAnsi="Arial"/>
                <w:sz w:val="25"/>
                <w:szCs w:val="25"/>
                <w:b w:val="1"/>
                <w:bCs w:val="1"/>
                <w:color w:val="auto"/>
                <w:w w:val="84"/>
                <w:vertAlign w:val="superscript"/>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line="234"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(1)</w:t>
            </w:r>
          </w:p>
        </w:tc>
      </w:tr>
      <w:tr>
        <w:trPr>
          <w:trHeight w:val="198"/>
        </w:trPr>
        <w:tc>
          <w:tcPr>
            <w:tcW w:w="1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r>
      <w:tr>
        <w:trPr>
          <w:trHeight w:val="241"/>
        </w:trPr>
        <w:tc>
          <w:tcPr>
            <w:tcW w:w="1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Change</w:t>
            </w: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r>
      <w:tr>
        <w:trPr>
          <w:trHeight w:val="216"/>
        </w:trPr>
        <w:tc>
          <w:tcPr>
            <w:tcW w:w="1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Energy</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1,315.0</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QEP Field Services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QEP Marketing</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7"/>
        </w:trPr>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Change in accruals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10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685.5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112"/>
        </w:trPr>
        <w:tc>
          <w:tcPr>
            <w:tcW w:w="1760" w:type="dxa"/>
            <w:vAlign w:val="bottom"/>
            <w:tcBorders>
              <w:top w:val="single" w:sz="8" w:color="CCEEFF"/>
              <w:bottom w:val="single" w:sz="8" w:color="808080"/>
            </w:tcBorders>
          </w:tcPr>
          <w:p>
            <w:pPr>
              <w:spacing w:after="0"/>
              <w:rPr>
                <w:sz w:val="9"/>
                <w:szCs w:val="9"/>
                <w:color w:val="auto"/>
              </w:rPr>
            </w:pPr>
          </w:p>
        </w:tc>
        <w:tc>
          <w:tcPr>
            <w:tcW w:w="1900" w:type="dxa"/>
            <w:vAlign w:val="bottom"/>
            <w:tcBorders>
              <w:top w:val="single" w:sz="8" w:color="CCEEFF"/>
            </w:tcBorders>
          </w:tcPr>
          <w:p>
            <w:pPr>
              <w:spacing w:after="0"/>
              <w:rPr>
                <w:sz w:val="9"/>
                <w:szCs w:val="9"/>
                <w:color w:val="auto"/>
              </w:rPr>
            </w:pPr>
          </w:p>
        </w:tc>
        <w:tc>
          <w:tcPr>
            <w:tcW w:w="104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3" w:lineRule="exact"/>
        <w:rPr>
          <w:sz w:val="20"/>
          <w:szCs w:val="20"/>
          <w:color w:val="auto"/>
        </w:rPr>
      </w:pPr>
    </w:p>
    <w:p>
      <w:pPr>
        <w:ind w:left="500" w:hanging="322"/>
        <w:spacing w:after="0"/>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Forecast as reported in the 2012 First Quarter Report on Form 10-Q, filed on April 26, 2012.</w:t>
      </w:r>
    </w:p>
    <w:p>
      <w:pPr>
        <w:spacing w:after="0" w:line="1" w:lineRule="exact"/>
        <w:rPr>
          <w:rFonts w:ascii="Arial" w:cs="Arial" w:eastAsia="Arial" w:hAnsi="Arial"/>
          <w:sz w:val="25"/>
          <w:szCs w:val="25"/>
          <w:color w:val="auto"/>
          <w:vertAlign w:val="superscript"/>
        </w:rPr>
      </w:pPr>
    </w:p>
    <w:p>
      <w:pPr>
        <w:ind w:left="500" w:hanging="322"/>
        <w:spacing w:after="0" w:line="186" w:lineRule="auto"/>
        <w:tabs>
          <w:tab w:leader="none" w:pos="50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Represents the upper end of the most recent guidance.</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first half of 2012 capital expenditures on a cash basis increased 4% to $685.5 million, compared to $661.8 million during the first half of 2011. The increase of $23.7 million during the first half of 2012 was the result of increased investment in QEP Field Services. Approximately $600.9 million was invested in QEP Energy, including $596.9 million in drilling and completion and other expenditures and $4.0 million in property acquisition costs. QEP Field Services first half of 2012 capital expenditures of $81.2 million were invested to expand capacity at the Company’s gathering, processing and treating facilities, including the construction of a new 150 MMcfd cryogenic gas processing plant in the Uinta Basin.</w:t>
      </w:r>
    </w:p>
    <w:p>
      <w:pPr>
        <w:spacing w:after="0" w:line="20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QEP Energy capital investment, on an accrual basis, in the first half of 2012 increased $1.9 million over the first half of 2011 due to increased capital expenditures in the Legacy Division (approximately 85% higher) and in Pinedale (approximately 65% higher) Offsetting these increased capital expenditures in the first half of 2012 were lower capital expenditures in the Haynesville (approximately 61% lower) due to the reduced drilling program as capital is allocated out of the dry-gas Haynesville play into these higher return oil and liquids-rich natural gas drilling programs in Legacy and Pinedale.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QEP Field Services capital investment increased $52.7 million on an accrual basis in the first half of 2012 compared to the first half of 2011 due to the projects directed to grow the midstream business including the construction of a new 150 MMcfd fee-based cryogenic gas processing plant in the Uinta Basin and the 10,000 Bbl/d expansion to the NGL fractionators located at the Blacks Fork processing complex.</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At June 30, 2012, forecasted capital investments for 2012 is expected to be $1,500.0 million, comprised of $1,320.0 million at QEP Energy, $170.0 million at QEP Field Services, and $10.0 million for QEP Resources and QEP Marketing. For the remainder of 2012, QEP intends to fund capital expenditures with cash flow from operating activities, cash on hand and, if needed, borrowings under its revolving credit facility. As a result of the continued spread between crude oil and natural gas prices, QEP plans to decrease capital expenditures for the Haynesville Shale and other dry-gas development areas and increase capital expenditures for higher return projects, including Pinedale, Uinta Basin Red Wash Mesaverde, and oil-directed horizontal drilling in the Bakken, Powder River Basin and Midcontinent, for the remainder of 2012. QEP Energy has allocated approximately 90% of its forecasted 2012 drilling and completion capital expenditure budget to crude oil and liquids-rich natural gas projects in its portfolio. QEP plans to invest a total of approximately $170.0 million in capital expenditures during 2012 to grow its midstream business, including the construction of a new 150 MMcfd fee-based cryogenic gas processing plant in the Uinta Basin (expected to be completed in early 2013) as well as a new 10,000 Bbl/d expansion of the NGL fractionators located at the Blacks Fork processing complex (expected to be completed in the second half of 2013). QEP Resources plans to invest approximately $9.0 million in capital expenditures related to corporate activities, primarily the implementation of a new Enterprise Resource Planning system. The aggregate levels of capital expenditures for 2012 and the allocation of those expenditures are dependent on a variety of factors, including drilling results, natural gas and oil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first half of 2012, net cash proceeds from financing activities was $134.0 million compared to $31.6 million in the first half of 2011. During the first half of 2012, QEP completed an offering of $500.0 million in senior notes and entered into a $300.0 million Term Loan. QEP had borrowings from the Credit Facility of $194.5 million and repayments on the Credit Facility of $801.0 million. In addition, QEP retired $6.7 million of Senior Notes.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June 30, 2012, long-term debt consisted of no borrowings outstanding under the Credit Facility, $300.0 million under the Term Loan and $1,566.6 million in senior notes (including $5.2 million of net original issue discount).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natural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natural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costless collars and fixed-price swaps to manage commodity price risk and periodically interest rate swaps to manage interest rate risk.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QEP’s subsidiaries use commodity price derivative instruments in the normal course of business to reduce the risk of adverse commodity price movements. The Company’s risk management policies provide for the use of derivative instruments to manage this risk. However, these same arrangements typically limit future gains from favorable price movements. The types of commodity derivative instruments utilized by the Company include fixed-price swaps and costless collars. The volume of commodity derivative instruments utilized by the Company may vary from year-to-year. The derivative instruments currently utilized by the Company do not have margin requirements or collateral provisions that would require payments prior to the scheduled cash settlement dates. As of June 30, 2012, QEP held commodity price derivative contracts totaling 193.7 million MMBtu of natural gas, 2.5 million barrels of oil, and 30.9 million gallons of NGL. At December 31, 2011, the QEP derivative contracts covered 213.0 million MMBtu of natural gas, 2.0 million barrels of oil, and 53.9 million gallons of NGL.</w:t>
      </w:r>
    </w:p>
    <w:p>
      <w:pPr>
        <w:sectPr>
          <w:pgSz w:w="11900" w:h="16838" w:orient="portrait"/>
          <w:cols w:equalWidth="0" w:num="1">
            <w:col w:w="11420"/>
          </w:cols>
          <w:pgMar w:left="240" w:top="122"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fair value of derivative contracts from December 31, 2011 to June 30, 2012,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Net fair value of gas and oil derivative contracts outstanding at Dec.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Contracts settled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gas and oil prices on futures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Contracts added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fair value of gas, oil and NGL derivative contracts outstanding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Commodity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derivative contracts</w:t>
      </w:r>
    </w:p>
    <w:p>
      <w:pPr>
        <w:spacing w:after="0" w:line="45" w:lineRule="exact"/>
        <w:rPr>
          <w:sz w:val="20"/>
          <w:szCs w:val="20"/>
          <w:color w:val="auto"/>
        </w:rPr>
      </w:pPr>
    </w:p>
    <w:p>
      <w:pPr>
        <w:ind w:left="301"/>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p>
      <w:pPr>
        <w:ind w:left="1101" w:hanging="1101"/>
        <w:spacing w:after="0"/>
        <w:tabs>
          <w:tab w:leader="none" w:pos="11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395.9</w:t>
      </w:r>
    </w:p>
    <w:p>
      <w:pPr>
        <w:spacing w:after="0" w:line="9" w:lineRule="exact"/>
        <w:rPr>
          <w:rFonts w:ascii="Arial" w:cs="Arial" w:eastAsia="Arial" w:hAnsi="Arial"/>
          <w:sz w:val="18"/>
          <w:szCs w:val="18"/>
          <w:color w:val="auto"/>
        </w:rPr>
      </w:pPr>
    </w:p>
    <w:p>
      <w:pPr>
        <w:ind w:left="1041"/>
        <w:spacing w:after="0"/>
        <w:rPr>
          <w:rFonts w:ascii="Arial" w:cs="Arial" w:eastAsia="Arial" w:hAnsi="Arial"/>
          <w:sz w:val="18"/>
          <w:szCs w:val="18"/>
          <w:color w:val="auto"/>
        </w:rPr>
      </w:pPr>
      <w:r>
        <w:rPr>
          <w:rFonts w:ascii="Arial" w:cs="Arial" w:eastAsia="Arial" w:hAnsi="Arial"/>
          <w:sz w:val="17"/>
          <w:szCs w:val="17"/>
          <w:color w:val="auto"/>
        </w:rPr>
        <w:t>(208.8)</w:t>
      </w:r>
    </w:p>
    <w:p>
      <w:pPr>
        <w:spacing w:after="0" w:line="20" w:lineRule="exact"/>
        <w:rPr>
          <w:rFonts w:ascii="Arial" w:cs="Arial" w:eastAsia="Arial" w:hAnsi="Arial"/>
          <w:sz w:val="18"/>
          <w:szCs w:val="18"/>
          <w:color w:val="auto"/>
        </w:rPr>
      </w:pPr>
    </w:p>
    <w:p>
      <w:pPr>
        <w:ind w:left="1101"/>
        <w:spacing w:after="0"/>
        <w:rPr>
          <w:rFonts w:ascii="Arial" w:cs="Arial" w:eastAsia="Arial" w:hAnsi="Arial"/>
          <w:sz w:val="18"/>
          <w:szCs w:val="18"/>
          <w:color w:val="auto"/>
        </w:rPr>
      </w:pPr>
      <w:r>
        <w:rPr>
          <w:rFonts w:ascii="Arial" w:cs="Arial" w:eastAsia="Arial" w:hAnsi="Arial"/>
          <w:sz w:val="18"/>
          <w:szCs w:val="18"/>
          <w:color w:val="auto"/>
        </w:rPr>
        <w:t>143.7</w:t>
      </w:r>
    </w:p>
    <w:p>
      <w:pPr>
        <w:spacing w:after="0" w:line="9" w:lineRule="exact"/>
        <w:rPr>
          <w:rFonts w:ascii="Arial" w:cs="Arial" w:eastAsia="Arial" w:hAnsi="Arial"/>
          <w:sz w:val="18"/>
          <w:szCs w:val="18"/>
          <w:color w:val="auto"/>
        </w:rPr>
      </w:pPr>
    </w:p>
    <w:p>
      <w:pPr>
        <w:ind w:left="1201"/>
        <w:spacing w:after="0"/>
        <w:rPr>
          <w:rFonts w:ascii="Arial" w:cs="Arial" w:eastAsia="Arial" w:hAnsi="Arial"/>
          <w:sz w:val="18"/>
          <w:szCs w:val="18"/>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07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ind w:left="1101" w:hanging="1101"/>
        <w:spacing w:after="0"/>
        <w:tabs>
          <w:tab w:leader="none" w:pos="1101"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344.0</w:t>
      </w:r>
    </w:p>
    <w:p>
      <w:pPr>
        <w:spacing w:after="0" w:line="200" w:lineRule="exact"/>
        <w:rPr>
          <w:sz w:val="20"/>
          <w:szCs w:val="20"/>
          <w:color w:val="auto"/>
        </w:rPr>
      </w:pPr>
    </w:p>
    <w:p>
      <w:pPr>
        <w:sectPr>
          <w:pgSz w:w="11900" w:h="16838" w:orient="portrait"/>
          <w:cols w:equalWidth="0" w:num="2">
            <w:col w:w="9079" w:space="720"/>
            <w:col w:w="1621"/>
          </w:cols>
          <w:pgMar w:left="240" w:top="122" w:right="23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shows sensitivity of fair value of gas, oil and NGL derivative contracts to changes in the market price of gas, oil and NGL and basis differentials: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2012</w:t>
            </w:r>
          </w:p>
        </w:tc>
      </w:tr>
      <w:tr>
        <w:trPr>
          <w:trHeight w:val="216"/>
        </w:trPr>
        <w:tc>
          <w:tcPr>
            <w:tcW w:w="8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 asset (liability)</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Fair value if market prices of gas, oil and NGL and basis differentials decline by 10%</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419.0</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Fair value if market prices of gas, oil and NGL and basis differentials increase by 10%</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264.1</w:t>
            </w: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$79.9 million, while a 10% decrease in underlying commodity prices would increase the fair value of these instruments by $75.0 million as of June 30, 2012. However, a gain or loss eventually would be substantially offset by the actual sales value of the physical production covered by the derivative instruments. For additional information regarding the Company’s commodity derivative transactions, see Note 6 – Derivative Contracts under Part I, Item 1 of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ability to borrow and the rates quoted by lenders can be adversely affected by illiquid credit markets as described in the risk factors in Part I, Item 1A of the Company’s Annual Report on Form 10-K for the year ended December 31, 2011. The Company’s Credit Facility and Term Loan have floating interest rates which expose QEP to interest rate risk. At June 30, 2012, the Company had no borrowings outstanding under our credit facility and $300.0 million under the term loan agreement. If interest rates were to increase or decrease 10% over the six months ended June 30, 2012, at our average level of borrowing for those same periods, our interest expense would increase or decrease by $0.3 million for the six months ended June 30, 2012, or less than 1% in each period. The remaining $1,566.5 million of the Company’s debt is fixed rate Senior Notes that are not subject to interest rate movements.</w:t>
      </w:r>
    </w:p>
    <w:p>
      <w:pPr>
        <w:spacing w:after="0" w:line="19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the second quarter of 2012, QEP entered into interest rate swap contracts, with an aggregate notional amount of $300.0 million, to minimize the interest rate volatility risk associated with its $300.0 million senior, unsecured term loan agreement. QEP pays a fixed interest rate and receives a floating interest rate indexed to the one-month LIBOR. At June 30, 2012, the fair value of the interest rate swaps was a derivative liability balance of $4.3 million. A 50 basis point decrease would cause the fair value of the interest rate swaps to decrease by $6.3 million while a 50 basis point increase would cause the fair value of the interest rate swaps to increase by $6.8 million. For additional information regarding the Company’s debt instruments, see Note 8 – Debt under Part I, Item 1 of this Form 10-Q.</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8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of natural gas, oil and NGL prices and factors affecting such volatility;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contributions related to the Company’s pension plans;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unrealized derivative gains and losses;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mix of revenues from the Company’s gathering business;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impact on earnings from discontinuing hedge accounting;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QEP to use derivative instruments to manage commodity price risk;</w:t>
      </w:r>
    </w:p>
    <w:p>
      <w:pPr>
        <w:spacing w:after="0" w:line="252"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QEP’s ability to develop reserves and grow production as necessary to satisfy delivery commitments and its ability to purchase natural gas, crude oil and NGLs in the market to cover any shortfalls;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to hedge a portion of forecasted production;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required royalties and outcome of litigation;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for future asset impairments;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appropriate debt rating;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plans.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21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2011;</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ectPr>
          <w:pgSz w:w="11900" w:h="16838" w:orient="portrait"/>
          <w:cols w:equalWidth="0" w:num="1">
            <w:col w:w="11360"/>
          </w:cols>
          <w:pgMar w:left="240" w:top="122" w:right="299" w:bottom="0" w:gutter="0" w:footer="0" w:header="0"/>
        </w:sectPr>
      </w:pPr>
    </w:p>
    <w:bookmarkStart w:id="52" w:name="page53"/>
    <w:bookmarkEnd w:id="52"/>
    <w:p>
      <w:pPr>
        <w:ind w:left="332" w:hanging="332"/>
        <w:spacing w:after="0"/>
        <w:tabs>
          <w:tab w:leader="none" w:pos="3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maintenance and construction costs, including possible inflationary pressures;</w:t>
      </w:r>
    </w:p>
    <w:p>
      <w:pPr>
        <w:spacing w:after="0" w:line="200" w:lineRule="exact"/>
        <w:rPr>
          <w:sz w:val="20"/>
          <w:szCs w:val="20"/>
          <w:color w:val="auto"/>
        </w:rPr>
      </w:pPr>
    </w:p>
    <w:p>
      <w:pPr>
        <w:spacing w:after="0" w:line="219" w:lineRule="exact"/>
        <w:rPr>
          <w:sz w:val="20"/>
          <w:szCs w:val="20"/>
          <w:color w:val="auto"/>
        </w:rPr>
      </w:pPr>
    </w:p>
    <w:p>
      <w:pPr>
        <w:ind w:left="5632"/>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25" w:right="1440"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cost of debt financing;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including the implementation of the Dodd-Frank Act;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derivatives and hedging activities;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or regulatory changes, including initiatives related to drilling and completion techniques, including hydraulic fracturing;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from litigation;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as of June 30, 2012. Based on such evaluation, such officers have concluded that, as of June 30, 2012,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2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June 30, 2012, that have materially affected, or that are reasonably likely to materially affect, the Company’s internal control over financial reporting.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QEP is involved in various commercial and regulatory claims and litigation and other legal proceedings that arise in the ordinary course of its business.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does not believe any of them will have a material adverse effect on the Company’s financial position, results of operations or cash flows.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United States of America v. QEP Field Services</w:t>
      </w:r>
      <w:r>
        <w:rPr>
          <w:rFonts w:ascii="Arial" w:cs="Arial" w:eastAsia="Arial" w:hAnsi="Arial"/>
          <w:sz w:val="17"/>
          <w:szCs w:val="17"/>
          <w:color w:val="auto"/>
        </w:rPr>
        <w:t>, Civil No. 208CV167, U.S. District Court for Utah, filed on February 28, 2008. As previously disclosed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Annual Report on Form 10-K for the year ended December 31, 2011, and its Quarterly Report on Form 10-Q for the three months ended March 31, 2012, the U.S. Environmental Protection Agency (EPA) alleges that QEP Field Services (f/k/a Questar Gas Management) violated the Clean Air Act (CAA) and seeks substantial penalties and a permanent injunction involving the manner of operation of five compressor stations located in the Uinta Basin of eastern Utah. On May 16, 2012, QEP Field Services settled this matter by the parties’ execution of a consent decree which was subsequently approved by court order. The civil penalty payable to the government is $3.7 million. A contribution of $0.4 million will be payable to a non-profit corporation or trust to be created by the Ute Indian Tribe of the Uintah and Ouray Reservation for the implementation of environmental programs for the benefit of tribal members. The settlement also requires the Company to reduce its emissions by removing certain equipment, installing additional pollution controls and replacing the natural gas powered instrument control systems with compressed air control systems, all of which will require capital expenditures of approximately $2.4 million, of which $0.5 million had been spent at June 30, 2012. QEP Field Services will have continuing operations compliance obligations under the consent decree at the affected facilities.</w:t>
      </w:r>
    </w:p>
    <w:p>
      <w:pPr>
        <w:sectPr>
          <w:pgSz w:w="11900" w:h="16838" w:orient="portrait"/>
          <w:cols w:equalWidth="0" w:num="1">
            <w:col w:w="11400"/>
          </w:cols>
          <w:pgMar w:left="240" w:top="122" w:right="25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Chieftain Royalty Company v. QEP Energy Company</w:t>
      </w:r>
      <w:r>
        <w:rPr>
          <w:rFonts w:ascii="Arial" w:cs="Arial" w:eastAsia="Arial" w:hAnsi="Arial"/>
          <w:sz w:val="17"/>
          <w:szCs w:val="17"/>
          <w:color w:val="auto"/>
        </w:rPr>
        <w:t>, Case No CJ2011-1, U. S. District Court for Oklahoma, filed on January 20, 2011. This is a class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filed by a royalty owner on behalf of every QEP Energy royalty owner in the state of Oklahoma since 1988 asserting various claims for damages related to royalty valuation, including breach of contract, breach of fiduciary duty, fraud and conversion, based generally on asserted improper deduction of post-production costs. Because this case is in an early stage prior to full discovery, it is difficult to reasonably estimate potential liability. QEP Energy believes it has properly valued and paid royalty under Oklahoma law and will vigorously defend this claim.</w:t>
      </w:r>
    </w:p>
    <w:p>
      <w:pPr>
        <w:spacing w:after="0" w:line="20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Questar Gas Company v. QEP Field Services Company</w:t>
      </w:r>
      <w:r>
        <w:rPr>
          <w:rFonts w:ascii="Arial" w:cs="Arial" w:eastAsia="Arial" w:hAnsi="Arial"/>
          <w:sz w:val="16"/>
          <w:szCs w:val="16"/>
          <w:color w:val="auto"/>
        </w:rPr>
        <w:t>, Civil No. 120902969, Third Judicial District Court, State of Utah. QEP Field Services’ former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affiliate Questar Gas Company (QGC) filed this complaint in state court in Utah on May 1, 2012 asserting claims for breach of contract, breach of implied covenant of good faith and fair dealing, for an accounting and declaratory judgment related to a 1993 gathering agreement (1993 Agreement) entered when the parties were affiliates. Under the 1993 Agreement QEP Field Services provides gathering services throughout its historical gathering system serving producing properties developed by former affiliate Wexpro Company on behalf of QGC’s utility ratepayers. The core dispute regards the annual recalculation of the gathering rate which is based on a cost of service concept expressed in the 1993 Agreement and in a 1998 amendment. Specific monetary damages are not asserted. Also, on May 1, 2012, QEP Field Services Company filed a legal action against Questar Gas entitled </w:t>
      </w:r>
      <w:r>
        <w:rPr>
          <w:rFonts w:ascii="Arial" w:cs="Arial" w:eastAsia="Arial" w:hAnsi="Arial"/>
          <w:sz w:val="16"/>
          <w:szCs w:val="16"/>
          <w:i w:val="1"/>
          <w:iCs w:val="1"/>
          <w:color w:val="auto"/>
        </w:rPr>
        <w:t>QEP Field Services Company v. Questar</w:t>
      </w:r>
      <w:r>
        <w:rPr>
          <w:rFonts w:ascii="Arial" w:cs="Arial" w:eastAsia="Arial" w:hAnsi="Arial"/>
          <w:sz w:val="16"/>
          <w:szCs w:val="16"/>
          <w:color w:val="auto"/>
        </w:rPr>
        <w:t xml:space="preserve"> </w:t>
      </w:r>
      <w:r>
        <w:rPr>
          <w:rFonts w:ascii="Arial" w:cs="Arial" w:eastAsia="Arial" w:hAnsi="Arial"/>
          <w:sz w:val="16"/>
          <w:szCs w:val="16"/>
          <w:i w:val="1"/>
          <w:iCs w:val="1"/>
          <w:color w:val="auto"/>
        </w:rPr>
        <w:t>Gas Company</w:t>
      </w:r>
      <w:r>
        <w:rPr>
          <w:rFonts w:ascii="Arial" w:cs="Arial" w:eastAsia="Arial" w:hAnsi="Arial"/>
          <w:sz w:val="16"/>
          <w:szCs w:val="16"/>
          <w:color w:val="auto"/>
        </w:rPr>
        <w:t>, in the Second District Court in Denver County, Colorado, seeking declaratory judgment relating to its gathering service and charges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agreement. While QEP Field Services intends to defend itself against QGC’s claims and vigorously pursue its legal rights, the claims involve complex legal issues and uncertainties that make it difficult to predict the outcome of the cases and therefore management cannot determine at this time whether this litigation may have an adverse material effect on its financial position, results of operations or cash flows.</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2011. No material changes to such risk factors has occurred during the six months ended June 30, 2012.</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QEP had no unregistered sales of equity during the second quarter of 2012.</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31.1</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 Act</w:t>
            </w:r>
          </w:p>
        </w:tc>
      </w:tr>
      <w:tr>
        <w:trPr>
          <w:trHeight w:val="230"/>
        </w:trPr>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of 2002.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31.2</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Sarbanes-Oxley</w:t>
            </w:r>
          </w:p>
        </w:tc>
      </w:tr>
      <w:tr>
        <w:trPr>
          <w:trHeight w:val="230"/>
        </w:trPr>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Act of 2002.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2"/>
        </w:trPr>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32.1</w:t>
            </w:r>
          </w:p>
        </w:tc>
        <w:tc>
          <w:tcPr>
            <w:tcW w:w="220" w:type="dxa"/>
            <w:vAlign w:val="bottom"/>
            <w:shd w:val="clear" w:color="auto" w:fill="CCEEFF"/>
          </w:tcPr>
          <w:p>
            <w:pPr>
              <w:spacing w:after="0"/>
              <w:rPr>
                <w:sz w:val="17"/>
                <w:szCs w:val="17"/>
                <w:color w:val="auto"/>
              </w:rPr>
            </w:pPr>
          </w:p>
        </w:tc>
        <w:tc>
          <w:tcPr>
            <w:tcW w:w="10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Certification signed by C. B. Stanley and Richard J. Doleshek, QEP Resources, Inc.’s Chief Executive Officer and Chief Financial Officer,</w:t>
            </w:r>
          </w:p>
        </w:tc>
      </w:tr>
      <w:tr>
        <w:trPr>
          <w:trHeight w:val="230"/>
        </w:trPr>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40" w:type="dxa"/>
            <w:vAlign w:val="bottom"/>
          </w:tcPr>
          <w:p>
            <w:pPr>
              <w:spacing w:after="0"/>
              <w:rPr>
                <w:sz w:val="21"/>
                <w:szCs w:val="21"/>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101.SCH</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Label Linkbase Document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0" w:lineRule="exact"/>
        <w:rPr>
          <w:sz w:val="20"/>
          <w:szCs w:val="20"/>
          <w:color w:val="auto"/>
        </w:rPr>
      </w:pPr>
    </w:p>
    <w:p>
      <w:pPr>
        <w:sectPr>
          <w:pgSz w:w="11900" w:h="16838" w:orient="portrait"/>
          <w:cols w:equalWidth="0" w:num="1">
            <w:col w:w="11420"/>
          </w:cols>
          <w:pgMar w:left="240" w:top="122" w:right="239" w:bottom="322"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322"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QEP RESOURCES, INC.</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July 31, 2012</w:t>
      </w:r>
      <w:r>
        <w:rPr>
          <w:sz w:val="20"/>
          <w:szCs w:val="20"/>
          <w:color w:val="auto"/>
        </w:rPr>
        <w:tab/>
      </w:r>
      <w:r>
        <w:rPr>
          <w:rFonts w:ascii="Arial" w:cs="Arial" w:eastAsia="Arial" w:hAnsi="Arial"/>
          <w:sz w:val="16"/>
          <w:szCs w:val="16"/>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 B. Stanley,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u w:val="single" w:color="auto"/>
          <w:color w:val="auto"/>
        </w:rPr>
        <w:t>July 31, 2012</w:t>
      </w:r>
      <w:r>
        <w:rPr>
          <w:sz w:val="20"/>
          <w:szCs w:val="20"/>
          <w:color w:val="auto"/>
        </w:rPr>
        <w:tab/>
      </w:r>
      <w:r>
        <w:rPr>
          <w:rFonts w:ascii="Arial" w:cs="Arial" w:eastAsia="Arial" w:hAnsi="Arial"/>
          <w:sz w:val="16"/>
          <w:szCs w:val="16"/>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J. Doleshek,</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 and Treasurer</w:t>
      </w: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Pr>
          <w:p>
            <w:pPr>
              <w:jc w:val="center"/>
              <w:ind w:right="1290"/>
              <w:spacing w:after="0"/>
              <w:rPr>
                <w:sz w:val="20"/>
                <w:szCs w:val="20"/>
                <w:color w:val="auto"/>
              </w:rPr>
            </w:pPr>
            <w:r>
              <w:rPr>
                <w:rFonts w:ascii="Arial" w:cs="Arial" w:eastAsia="Arial" w:hAnsi="Arial"/>
                <w:sz w:val="18"/>
                <w:szCs w:val="18"/>
                <w:color w:val="auto"/>
                <w:w w:val="95"/>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6"/>
              </w:rPr>
              <w:t>Exhibit No.</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Sarbanes-Oxley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3"/>
            <w:shd w:val="clear" w:color="auto" w:fill="CCEEFF"/>
          </w:tcPr>
          <w:p>
            <w:pPr>
              <w:jc w:val="center"/>
              <w:ind w:left="70"/>
              <w:spacing w:after="0" w:line="17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signed by C. B. Stanley and Richard J. Doleshek, QEP Resources, Inc.’s Chief Executive Officer and Chief Financial Officer,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2"/>
              </w:rPr>
              <w:t>101.INS</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3"/>
              </w:rPr>
              <w:t>101.SCH</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7"/>
              </w:rPr>
              <w:t>101.CAL</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8"/>
              </w:rPr>
              <w:t>101.LAB</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8"/>
              </w:rPr>
              <w:t>101.PRE</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0"/>
              </w:rPr>
              <w:t>101.DEF</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60" w:type="dxa"/>
            <w:vAlign w:val="bottom"/>
            <w:gridSpan w:val="2"/>
          </w:tcPr>
          <w:p>
            <w:pPr>
              <w:jc w:val="right"/>
              <w:ind w:right="5550"/>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52" w:lineRule="exact"/>
        <w:rPr>
          <w:sz w:val="20"/>
          <w:szCs w:val="20"/>
          <w:color w:val="auto"/>
        </w:rPr>
      </w:pPr>
    </w:p>
    <w:p>
      <w:pPr>
        <w:ind w:left="920" w:hanging="480"/>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52"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920" w:right="100" w:hanging="480"/>
        <w:spacing w:after="0" w:line="286" w:lineRule="auto"/>
        <w:tabs>
          <w:tab w:leader="none" w:pos="1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920" w:right="420" w:hanging="480"/>
        <w:spacing w:after="0" w:line="286" w:lineRule="auto"/>
        <w:tabs>
          <w:tab w:leader="none" w:pos="1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20" w:right="60" w:hanging="480"/>
        <w:spacing w:after="0" w:line="264"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920" w:right="160" w:hanging="480"/>
        <w:spacing w:after="0" w:line="286" w:lineRule="auto"/>
        <w:tabs>
          <w:tab w:leader="none" w:pos="19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right="180" w:hanging="480"/>
        <w:spacing w:after="0" w:line="342"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920" w:hanging="480"/>
        <w:spacing w:after="0" w:line="342"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300" w:hanging="480"/>
        <w:spacing w:after="0" w:line="277"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31, 2012</w:t>
      </w:r>
    </w:p>
    <w:p>
      <w:pPr>
        <w:spacing w:after="0" w:line="252" w:lineRule="exact"/>
        <w:rPr>
          <w:sz w:val="20"/>
          <w:szCs w:val="20"/>
          <w:color w:val="auto"/>
        </w:rPr>
      </w:pPr>
    </w:p>
    <w:p>
      <w:pPr>
        <w:ind w:left="7200"/>
        <w:spacing w:after="0"/>
        <w:rPr>
          <w:sz w:val="20"/>
          <w:szCs w:val="20"/>
          <w:color w:val="auto"/>
        </w:rPr>
      </w:pPr>
      <w:r>
        <w:rPr>
          <w:rFonts w:ascii="Arial" w:cs="Arial" w:eastAsia="Arial" w:hAnsi="Arial"/>
          <w:sz w:val="18"/>
          <w:szCs w:val="18"/>
          <w:u w:val="single" w:color="auto"/>
          <w:color w:val="auto"/>
        </w:rPr>
        <w:t>/s/ Charles B. Stanley</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Charles B. Stanley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52" w:lineRule="exact"/>
        <w:rPr>
          <w:sz w:val="20"/>
          <w:szCs w:val="20"/>
          <w:color w:val="auto"/>
        </w:rPr>
      </w:pPr>
    </w:p>
    <w:p>
      <w:pPr>
        <w:ind w:left="920" w:hanging="480"/>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52" w:lineRule="exact"/>
        <w:rPr>
          <w:rFonts w:ascii="Arial" w:cs="Arial" w:eastAsia="Arial" w:hAnsi="Arial"/>
          <w:sz w:val="18"/>
          <w:szCs w:val="18"/>
          <w:color w:val="auto"/>
        </w:rPr>
      </w:pPr>
    </w:p>
    <w:p>
      <w:pPr>
        <w:jc w:val="both"/>
        <w:ind w:left="920" w:right="20" w:hanging="480"/>
        <w:spacing w:after="0" w:line="264"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20" w:right="260" w:hanging="480"/>
        <w:spacing w:after="0" w:line="308" w:lineRule="auto"/>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20" w:right="20" w:hanging="480"/>
        <w:spacing w:after="0" w:line="264"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920" w:right="100" w:hanging="480"/>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920" w:right="420" w:hanging="480"/>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20" w:right="60" w:hanging="480"/>
        <w:spacing w:after="0" w:line="264"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920" w:right="160" w:hanging="480"/>
        <w:spacing w:after="0" w:line="286" w:lineRule="auto"/>
        <w:tabs>
          <w:tab w:leader="none" w:pos="19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920" w:right="180" w:hanging="480"/>
        <w:spacing w:after="0" w:line="342" w:lineRule="auto"/>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0" w:lineRule="exact"/>
        <w:rPr>
          <w:rFonts w:ascii="Arial" w:cs="Arial" w:eastAsia="Arial" w:hAnsi="Arial"/>
          <w:sz w:val="16"/>
          <w:szCs w:val="16"/>
          <w:color w:val="auto"/>
        </w:rPr>
      </w:pPr>
    </w:p>
    <w:p>
      <w:pPr>
        <w:ind w:left="1920" w:hanging="480"/>
        <w:spacing w:after="0" w:line="342" w:lineRule="auto"/>
        <w:tabs>
          <w:tab w:leader="none" w:pos="19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20" w:right="300" w:hanging="480"/>
        <w:spacing w:after="0" w:line="277" w:lineRule="auto"/>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31, 2012</w:t>
      </w:r>
    </w:p>
    <w:p>
      <w:pPr>
        <w:spacing w:after="0" w:line="252" w:lineRule="exact"/>
        <w:rPr>
          <w:sz w:val="20"/>
          <w:szCs w:val="20"/>
          <w:color w:val="auto"/>
        </w:rPr>
      </w:pPr>
    </w:p>
    <w:p>
      <w:pPr>
        <w:ind w:left="7320"/>
        <w:spacing w:after="0"/>
        <w:rPr>
          <w:sz w:val="20"/>
          <w:szCs w:val="20"/>
          <w:color w:val="auto"/>
        </w:rPr>
      </w:pPr>
      <w:r>
        <w:rPr>
          <w:rFonts w:ascii="Arial" w:cs="Arial" w:eastAsia="Arial" w:hAnsi="Arial"/>
          <w:sz w:val="18"/>
          <w:szCs w:val="18"/>
          <w:u w:val="single" w:color="auto"/>
          <w:color w:val="auto"/>
        </w:rPr>
        <w:t>/s/ Richard J. Doleshek</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connection with this report of QEP Resources, Inc. (the Company) on Form 10-Q for the period ended June 30, 2012, as filed with the Securities and Exchange Commission on the date hereof (the Report), C.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920" w:hanging="480"/>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52" w:lineRule="exact"/>
        <w:rPr>
          <w:rFonts w:ascii="Arial" w:cs="Arial" w:eastAsia="Arial" w:hAnsi="Arial"/>
          <w:sz w:val="18"/>
          <w:szCs w:val="18"/>
          <w:color w:val="auto"/>
        </w:rPr>
      </w:pPr>
    </w:p>
    <w:p>
      <w:pPr>
        <w:ind w:left="920" w:hanging="480"/>
        <w:spacing w:after="0"/>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31,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C. B. Stanley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 B. Stanley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July 31,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J. Doleshek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2019-12-09T13:16:10Z</dcterms:created>
  <dcterms:modified xsi:type="dcterms:W3CDTF">2019-12-09T13:16:10Z</dcterms:modified>
</cp:coreProperties>
</file>