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17145</wp:posOffset>
            </wp:positionV>
            <wp:extent cx="65151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3257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927"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927"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927"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927" w:right="3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520"/>
            <w:col w:w="4800" w:space="720"/>
            <w:col w:w="2720" w:space="720"/>
            <w:col w:w="180"/>
          </w:cols>
          <w:pgMar w:left="240" w:top="92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560" w:space="620"/>
            <w:col w:w="4800" w:space="720"/>
            <w:col w:w="2720" w:space="720"/>
            <w:col w:w="180"/>
          </w:cols>
          <w:pgMar w:left="240" w:top="927" w:right="339" w:bottom="1440" w:gutter="0" w:footer="0" w:header="0"/>
          <w:type w:val="continuous"/>
        </w:sectPr>
      </w:pP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At March 31, 2016, there were 216,747,837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March 31, 2016</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340" w:type="dxa"/>
            <w:vAlign w:val="bottom"/>
            <w:gridSpan w:val="26"/>
            <w:shd w:val="clear" w:color="auto" w:fill="CCEEFF"/>
          </w:tcPr>
          <w:p>
            <w:pPr>
              <w:ind w:lef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40" w:type="dxa"/>
            <w:vAlign w:val="bottom"/>
            <w:gridSpan w:val="23"/>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STATEMENTS OF OPERATIONS FOR THE THREE</w:t>
              </w:r>
            </w:hyperlink>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62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MONTHS ENDED MARCH 31, 2016 AND 2015</w:t>
              </w:r>
            </w:hyperlink>
          </w:p>
        </w:tc>
        <w:tc>
          <w:tcPr>
            <w:tcW w:w="620" w:type="dxa"/>
            <w:vAlign w:val="bottom"/>
            <w:tcBorders>
              <w:top w:val="single" w:sz="8" w:color="CCEEFF"/>
            </w:tcBorders>
            <w:gridSpan w:val="3"/>
            <w:shd w:val="clear" w:color="auto" w:fill="CCEEFF"/>
          </w:tcPr>
          <w:p>
            <w:pPr>
              <w:spacing w:after="0"/>
              <w:rPr>
                <w:sz w:val="21"/>
                <w:szCs w:val="21"/>
                <w:color w:val="auto"/>
              </w:rPr>
            </w:pPr>
          </w:p>
        </w:tc>
        <w:tc>
          <w:tcPr>
            <w:tcW w:w="10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1"/>
            <w:shd w:val="clear" w:color="auto" w:fill="CCEEFF"/>
          </w:tcPr>
          <w:p>
            <w:pPr>
              <w:spacing w:after="0" w:line="20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UNAUDITED CONDENSED CONSOLIDATED STATEMENTS OF COMPREHENSIVE INCOME FOR</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40" w:type="dxa"/>
            <w:vAlign w:val="bottom"/>
            <w:gridSpan w:val="23"/>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THREE MONTHS ENDED MARCH 31, 2016 AND 2015</w:t>
              </w:r>
            </w:hyperlink>
          </w:p>
        </w:tc>
        <w:tc>
          <w:tcPr>
            <w:tcW w:w="10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020" w:type="dxa"/>
            <w:vAlign w:val="bottom"/>
            <w:tcBorders>
              <w:top w:val="single" w:sz="8" w:color="0000EE"/>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30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UNAUDITED CONDENSED CONSOLIDATED BALANCE SHEETS AT MARCH 31, 2016 AND</w:t>
              </w:r>
            </w:hyperlink>
          </w:p>
        </w:tc>
        <w:tc>
          <w:tcPr>
            <w:tcW w:w="940" w:type="dxa"/>
            <w:vAlign w:val="bottom"/>
            <w:tcBorders>
              <w:bottom w:val="single" w:sz="8" w:color="CCEEFF"/>
            </w:tcBorders>
            <w:gridSpan w:val="5"/>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40" w:type="dxa"/>
            <w:vAlign w:val="bottom"/>
            <w:gridSpan w:val="23"/>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DECEMBER 31, 2015</w:t>
              </w:r>
            </w:hyperlink>
          </w:p>
        </w:tc>
        <w:tc>
          <w:tcPr>
            <w:tcW w:w="10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40" w:type="dxa"/>
            <w:vAlign w:val="bottom"/>
            <w:gridSpan w:val="23"/>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 OF EQUITY FOR THE THREE MONTHS</w:t>
              </w:r>
            </w:hyperlink>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90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MARCH 31, 2016</w:t>
              </w:r>
            </w:hyperlink>
          </w:p>
        </w:tc>
        <w:tc>
          <w:tcPr>
            <w:tcW w:w="34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40" w:type="dxa"/>
            <w:vAlign w:val="bottom"/>
            <w:gridSpan w:val="23"/>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 OF CASH FLOWS FOR THE THREE</w:t>
              </w:r>
            </w:hyperlink>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56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MONTHS ENDED MARCH 31, 2016 AND 2015</w:t>
              </w:r>
            </w:hyperlink>
          </w:p>
        </w:tc>
        <w:tc>
          <w:tcPr>
            <w:tcW w:w="680" w:type="dxa"/>
            <w:vAlign w:val="bottom"/>
            <w:tcBorders>
              <w:top w:val="single" w:sz="8" w:color="CCEEFF"/>
            </w:tcBorders>
            <w:gridSpan w:val="4"/>
            <w:shd w:val="clear" w:color="auto" w:fill="CCEEFF"/>
          </w:tcPr>
          <w:p>
            <w:pPr>
              <w:spacing w:after="0"/>
              <w:rPr>
                <w:sz w:val="21"/>
                <w:szCs w:val="21"/>
                <w:color w:val="auto"/>
              </w:rPr>
            </w:pPr>
          </w:p>
        </w:tc>
        <w:tc>
          <w:tcPr>
            <w:tcW w:w="10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UNAUDITED NOTES ACCOMPANYING THE CONDENSED CONSOLIDATED FINANCIAL</w:t>
              </w:r>
            </w:hyperlink>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STATEMENTS</w:t>
              </w:r>
            </w:hyperlink>
          </w:p>
        </w:tc>
        <w:tc>
          <w:tcPr>
            <w:tcW w:w="1100" w:type="dxa"/>
            <w:vAlign w:val="bottom"/>
            <w:tcBorders>
              <w:top w:val="single" w:sz="8" w:color="CCEEFF"/>
            </w:tcBorders>
            <w:gridSpan w:val="6"/>
            <w:shd w:val="clear" w:color="auto" w:fill="CCEEFF"/>
          </w:tcPr>
          <w:p>
            <w:pPr>
              <w:spacing w:after="0"/>
              <w:rPr>
                <w:sz w:val="21"/>
                <w:szCs w:val="21"/>
                <w:color w:val="auto"/>
              </w:rPr>
            </w:pPr>
          </w:p>
        </w:tc>
        <w:tc>
          <w:tcPr>
            <w:tcW w:w="10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7"/>
              </w:rPr>
            </w:pPr>
            <w:hyperlink w:anchor="page21">
              <w:r>
                <w:rPr>
                  <w:rFonts w:ascii="Arial" w:cs="Arial" w:eastAsia="Arial" w:hAnsi="Arial"/>
                  <w:sz w:val="18"/>
                  <w:szCs w:val="18"/>
                  <w:color w:val="0000FF"/>
                  <w:w w:val="97"/>
                </w:rPr>
                <w:t>MANAGEMENT’S DISCUSSION AND ANALYSIS OF FINANCIAL CONDITION AND RESULTS OF</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40" w:type="dxa"/>
            <w:vAlign w:val="bottom"/>
            <w:gridSpan w:val="23"/>
            <w:shd w:val="clear" w:color="auto" w:fill="CCEEFF"/>
          </w:tcPr>
          <w:p>
            <w:pPr>
              <w:spacing w:after="0" w:line="196" w:lineRule="exact"/>
              <w:rPr>
                <w:rFonts w:ascii="Arial" w:cs="Arial" w:eastAsia="Arial" w:hAnsi="Arial"/>
                <w:sz w:val="18"/>
                <w:szCs w:val="18"/>
                <w:color w:val="0000FF"/>
              </w:rPr>
            </w:pPr>
            <w:hyperlink w:anchor="page21">
              <w:r>
                <w:rPr>
                  <w:rFonts w:ascii="Arial" w:cs="Arial" w:eastAsia="Arial" w:hAnsi="Arial"/>
                  <w:sz w:val="18"/>
                  <w:szCs w:val="18"/>
                  <w:color w:val="0000FF"/>
                </w:rPr>
                <w:t>OPERATIONS</w:t>
              </w:r>
            </w:hyperlink>
          </w:p>
        </w:tc>
        <w:tc>
          <w:tcPr>
            <w:tcW w:w="10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14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340" w:type="dxa"/>
            <w:vAlign w:val="bottom"/>
            <w:gridSpan w:val="26"/>
            <w:shd w:val="clear" w:color="auto" w:fill="CCEEFF"/>
          </w:tcPr>
          <w:p>
            <w:pPr>
              <w:ind w:left="4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PART II. OTHER INFORMATION</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UNREGISTERED SALES OF EQUITY SECURITIES AND USE OF PROCEEDS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14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DEFAULTS UPON SENIOR SECURITIES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240" w:type="dxa"/>
            <w:vAlign w:val="bottom"/>
            <w:gridSpan w:val="23"/>
            <w:shd w:val="clear" w:color="auto" w:fill="CCEEFF"/>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SIGNATURES</w:t>
              </w:r>
            </w:hyperlink>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60" w:type="dxa"/>
            <w:vAlign w:val="bottom"/>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60" w:type="dxa"/>
            <w:vAlign w:val="bottom"/>
            <w:gridSpan w:val="3"/>
          </w:tcPr>
          <w:p>
            <w:pPr>
              <w:jc w:val="center"/>
              <w:ind w:left="730"/>
              <w:spacing w:after="0"/>
              <w:rPr>
                <w:sz w:val="20"/>
                <w:szCs w:val="20"/>
                <w:color w:val="auto"/>
              </w:rPr>
            </w:pPr>
            <w:r>
              <w:rPr>
                <w:rFonts w:ascii="Arial" w:cs="Arial" w:eastAsia="Arial" w:hAnsi="Arial"/>
                <w:sz w:val="18"/>
                <w:szCs w:val="18"/>
                <w:color w:val="auto"/>
                <w:w w:val="92"/>
              </w:rPr>
              <w:t>March 31,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color w:val="auto"/>
                <w:w w:val="84"/>
              </w:rPr>
              <w:t>2015</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(in millions, except per share amounts)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143.8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261.3</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Purchased gas and oil expense</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73.6</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48.7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240.0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1,182.4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1,641.0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(1,379.2)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(See Note 7)</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50.9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498.9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Used in basic calculation</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189.7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diluted calculation</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center"/>
              <w:ind w:right="21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center"/>
              <w:ind w:left="550"/>
              <w:spacing w:after="0"/>
              <w:rPr>
                <w:sz w:val="20"/>
                <w:szCs w:val="20"/>
                <w:color w:val="auto"/>
              </w:rPr>
            </w:pPr>
            <w:r>
              <w:rPr>
                <w:rFonts w:ascii="Arial" w:cs="Arial" w:eastAsia="Arial" w:hAnsi="Arial"/>
                <w:sz w:val="18"/>
                <w:szCs w:val="18"/>
                <w:color w:val="auto"/>
                <w:w w:val="98"/>
              </w:rPr>
              <w:t>(in millions)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losses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during the three months ended March 31, 2016 and 2015, respectively.</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expense of $0.3 million during the three months ended March 31, 2015.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616.4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13,472.2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13,314.9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Marketing and other</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14,478.7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Exploration and production</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8,252.4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6,870.2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8,343.0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7,384.6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7,282.6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8,398.2</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Commitments and contingencies (Note 10)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2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217.6 million and 177.3 million shares issued,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 0.8 million and 0.5 million shares, respectively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2,554.5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3,418.3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3,457.7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8,398.2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43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435"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60" w:type="dxa"/>
            <w:vAlign w:val="bottom"/>
            <w:gridSpan w:val="5"/>
            <w:vMerge w:val="restart"/>
          </w:tcPr>
          <w:p>
            <w:pPr>
              <w:ind w:left="280"/>
              <w:spacing w:after="0"/>
              <w:rPr>
                <w:sz w:val="20"/>
                <w:szCs w:val="20"/>
                <w:color w:val="auto"/>
              </w:rPr>
            </w:pPr>
            <w:r>
              <w:rPr>
                <w:rFonts w:ascii="Arial" w:cs="Arial" w:eastAsia="Arial" w:hAnsi="Arial"/>
                <w:sz w:val="16"/>
                <w:szCs w:val="16"/>
                <w:color w:val="auto"/>
              </w:rPr>
              <w:t>Common Stock</w:t>
            </w:r>
          </w:p>
        </w:tc>
        <w:tc>
          <w:tcPr>
            <w:tcW w:w="1560" w:type="dxa"/>
            <w:vAlign w:val="bottom"/>
            <w:gridSpan w:val="4"/>
            <w:vMerge w:val="restart"/>
          </w:tcPr>
          <w:p>
            <w:pPr>
              <w:ind w:left="240"/>
              <w:spacing w:after="0"/>
              <w:rPr>
                <w:sz w:val="20"/>
                <w:szCs w:val="20"/>
                <w:color w:val="auto"/>
              </w:rPr>
            </w:pPr>
            <w:r>
              <w:rPr>
                <w:rFonts w:ascii="Arial" w:cs="Arial" w:eastAsia="Arial" w:hAnsi="Arial"/>
                <w:sz w:val="16"/>
                <w:szCs w:val="16"/>
                <w:color w:val="auto"/>
              </w:rPr>
              <w:t>Treasury Stock</w:t>
            </w:r>
          </w:p>
        </w:tc>
        <w:tc>
          <w:tcPr>
            <w:tcW w:w="90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6"/>
              </w:rPr>
              <w:t>Paid-in</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color w:val="auto"/>
                <w:w w:val="98"/>
              </w:rPr>
              <w:t>Other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4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40" w:type="dxa"/>
            <w:vAlign w:val="bottom"/>
            <w:gridSpan w:val="3"/>
            <w:vMerge w:val="restart"/>
          </w:tcPr>
          <w:p>
            <w:pPr>
              <w:jc w:val="center"/>
              <w:ind w:right="80"/>
              <w:spacing w:after="0" w:line="137" w:lineRule="exact"/>
              <w:rPr>
                <w:sz w:val="20"/>
                <w:szCs w:val="20"/>
                <w:color w:val="auto"/>
              </w:rPr>
            </w:pPr>
            <w:r>
              <w:rPr>
                <w:rFonts w:ascii="Arial" w:cs="Arial" w:eastAsia="Arial" w:hAnsi="Arial"/>
                <w:sz w:val="14"/>
                <w:szCs w:val="14"/>
                <w:color w:val="auto"/>
                <w:w w:val="91"/>
              </w:rPr>
              <w:t>Comprehensive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6"/>
                <w:szCs w:val="16"/>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color w:val="auto"/>
              </w:rPr>
              <w:t>Amount</w:t>
            </w: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3"/>
                <w:szCs w:val="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6"/>
              </w:rPr>
              <w:t>Capital</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Earnings</w:t>
            </w:r>
          </w:p>
        </w:tc>
        <w:tc>
          <w:tcPr>
            <w:tcW w:w="1140" w:type="dxa"/>
            <w:vAlign w:val="bottom"/>
            <w:gridSpan w:val="3"/>
            <w:vMerge w:val="continue"/>
          </w:tcPr>
          <w:p>
            <w:pPr>
              <w:spacing w:after="0"/>
              <w:rPr>
                <w:sz w:val="3"/>
                <w:szCs w:val="3"/>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4"/>
              </w:rPr>
              <w:t>Income(Loss)</w:t>
            </w: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5"/>
          </w:tcPr>
          <w:p>
            <w:pPr>
              <w:ind w:left="60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$ 3,418.3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$ 3,947.9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(863.8)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(863.8)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net of offering costs</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368.6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Change in pension and postretirement liability, net of tax</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217.6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(18.2)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931.4</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$ 2,554.5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$ 3,457.7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2015</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0"/>
                <w:szCs w:val="20"/>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(provision) benefit on share-based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336.3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240.3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1,160.1</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616.4</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500.4</w:t>
            </w:r>
          </w:p>
        </w:tc>
      </w:tr>
      <w:tr>
        <w:trPr>
          <w:trHeight w:val="271"/>
        </w:trPr>
        <w:tc>
          <w:tcPr>
            <w:tcW w:w="8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509.8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 in capital expenditure accruals and other non-cash adjustments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2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QEP Resources, Inc. (QEP or the Company) is an independent crude oil and natural gas production company focused in two major regions of the United States: the Northern Region (primarily in Wyoming, North Dakota and Utah) and the Southern Region (primarily in Texas and Louisiana). QEP's corporate headquarters are located in Denver, Colorado and shares of QEP's common stock trade on the New York Stock Exchange (NYSE) under the ticker symbol “QEP”.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of Interim Condensed Consolidated Financial Statements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2015.</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months ended March 31, 2016, are not necessarily indicative of the results that may be expected for the year ending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March 2016, QEP issued 37.95 million additional shares of common stock through a public equity offering and received net proceeds of approximately $368.6 million. QEP expects to use the proceeds from this offering for general corporate purposes, which may include, among other things, reducing indebtedness, acquiring properties, funding a portion of the Company's exploration and production activities and working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Marketing Agreements and QEP Marketing Segment</w:t>
      </w:r>
    </w:p>
    <w:p>
      <w:pPr>
        <w:spacing w:after="0" w:line="1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Effective January 1, 2016, QEP terminated its contracts for resale and marketing transactions between its wholly owned subsidiaries, QEP Marketing Company (QEP Marketing) and QEP Energy Company (QEP Energy). In addition, substantially all of QEP Marketing's third-party purchase and sale agreements and gathering, processing and transportation contracts were assigned to QEP Energy, except those contracts related to natural gas storage activities and the Haynesville gathering system. As a result, QEP Energy is directly marketing its own gas, oil and NGL production. While QEP will continue to act as an agent for the sale of gas, oil and NGL production for other working interest owners, for whom QEP serves as the operator, QEP is no longer the first purchaser of this production. QEP has substantially reduced its marketing activities, and subsequently, is reporting lower resale revenue and expenses than it had in prior periods. In conjunction with the changes described above, QEP conducted a segment analysis in accordance with Accounting Standards Update (ASU) Topic 820,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determined that QEP has one reportable segment effective January 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Financial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fourth quarter of 2015, the Company determined that certain transactions that had been reported on a gross basis and included in "Purchased gas and oil sales" and "Purchased gas and oil expense" on the Condensed Consolidated Statement of Operations for the first quarter of 2015 should have been reported on a net basis, as the transactions were with the same counterparty and were entered into in contemplation of one another. The Company revised its financial statements to reflect the net accounting treatment and assessed the cumulative impact of the revisions on each period affected. The revisions had no</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effect on the Company’s operating income, net income, earnings per share, cash flows or retained earnings. The Company determined that the impact of the change from gross to net accounting was not material, either individually or in the aggregate, to previously issued financial statements. The Company has, however, recast its Condensed Consolidated Statement of Operations for the three months ended March 31, 2015.</w:t>
      </w:r>
    </w:p>
    <w:p>
      <w:pPr>
        <w:spacing w:after="0" w:line="17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table details the impact of these revisions for the three months ended March 31, 2015, on the Condensed Consolidated Statement of Operations.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5"/>
          </w:tcPr>
          <w:p>
            <w:pPr>
              <w:jc w:val="right"/>
              <w:ind w:right="350"/>
              <w:spacing w:after="0"/>
              <w:rPr>
                <w:sz w:val="20"/>
                <w:szCs w:val="20"/>
                <w:color w:val="auto"/>
              </w:rPr>
            </w:pPr>
            <w:r>
              <w:rPr>
                <w:rFonts w:ascii="Arial" w:cs="Arial" w:eastAsia="Arial" w:hAnsi="Arial"/>
                <w:sz w:val="18"/>
                <w:szCs w:val="18"/>
                <w:color w:val="auto"/>
              </w:rPr>
              <w:t>Three Months Ended March 31, 2015</w:t>
            </w:r>
          </w:p>
        </w:tc>
      </w:tr>
      <w:tr>
        <w:trPr>
          <w:trHeight w:val="27"/>
        </w:trPr>
        <w:tc>
          <w:tcPr>
            <w:tcW w:w="7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0"/>
              </w:rPr>
              <w:t>As reported</w:t>
            </w:r>
          </w:p>
        </w:tc>
        <w:tc>
          <w:tcPr>
            <w:tcW w:w="2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95"/>
              </w:rPr>
              <w:t>As revised</w:t>
            </w:r>
          </w:p>
        </w:tc>
        <w:tc>
          <w:tcPr>
            <w:tcW w:w="3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w w:val="98"/>
              </w:rPr>
              <w:t>Change</w:t>
            </w:r>
          </w:p>
        </w:tc>
      </w:tr>
      <w:tr>
        <w:trPr>
          <w:trHeight w:val="27"/>
        </w:trPr>
        <w:tc>
          <w:tcPr>
            <w:tcW w:w="7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6"/>
              </w:rPr>
              <w:t>(in millions)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gas and oil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491.6</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468.1</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Purchased gas and oil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7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589.7</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566.2</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7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ectPr>
          <w:pgSz w:w="11900" w:h="16838" w:orient="portrait"/>
          <w:cols w:equalWidth="0" w:num="1">
            <w:col w:w="11420"/>
          </w:cols>
          <w:pgMar w:left="240" w:top="580" w:right="239" w:bottom="0" w:gutter="0" w:footer="0" w:header="0"/>
        </w:sectPr>
      </w:pPr>
    </w:p>
    <w:bookmarkStart w:id="8" w:name="page9"/>
    <w:bookmarkEnd w:id="8"/>
    <w:p>
      <w:pPr>
        <w:ind w:right="520"/>
        <w:spacing w:after="0" w:line="342" w:lineRule="auto"/>
        <w:rPr>
          <w:sz w:val="20"/>
          <w:szCs w:val="20"/>
          <w:color w:val="auto"/>
        </w:rPr>
      </w:pPr>
      <w:r>
        <w:rPr>
          <w:rFonts w:ascii="Arial" w:cs="Arial" w:eastAsia="Arial" w:hAnsi="Arial"/>
          <w:sz w:val="16"/>
          <w:szCs w:val="16"/>
          <w:color w:val="auto"/>
        </w:rPr>
        <w:t>Certain prior period balances in the Condensed Consolidated Balance Sheets have been reclassified to conform to the current year presentation. Such reclassifications had no impact on operating income, net income, earnings per share, cash flows or shareholders’ equity previously reported.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During the three months ended March 31, 2016, QEP recorded impairment expense of $1,182.4 million, of which $1,167.9 million was related to proved properties due to lower future oil and gas prices, $10.8 million was related to expiring leaseholds on unproved properties and $3.7 million was related to impairment of goodwill. Of the $1,167.9 million impairment on proved properties, $1,164.0 million related to Pinedale properties, $3.5 million related to Other Northern properties and $0.4 million related to Other Southern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the lease assets and lease liabilities classified as operating leases on the balance sheet. The amendment will be effective for reporting periods beginning on or after December 15, 2018, and early adoption is permitted. The Company is currently assessing the impact of the ASU on the Company's Condensed Consolidated Financial Statements.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March 2016, the FASB issued ASU No.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which clarifies the requirements for assessing whether contingent call (put) options that can accelerate the payment of principal on debt instruments are clearly and closely related to their debt hosts. The amendment will be effective prospectively for reporting periods beginning on or after December 31, 2016, and early adoption is permitted. The Company is currently assessing the impact of the ASU on the Company's Condensed Consolidated Financial Statements.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March 2016, the FASB issued ASU No. 2016-08, </w:t>
      </w:r>
      <w:r>
        <w:rPr>
          <w:rFonts w:ascii="Arial" w:cs="Arial" w:eastAsia="Arial" w:hAnsi="Arial"/>
          <w:sz w:val="18"/>
          <w:szCs w:val="18"/>
          <w:i w:val="1"/>
          <w:iCs w:val="1"/>
          <w:color w:val="auto"/>
        </w:rPr>
        <w:t>Revenue from contracts with customers (Topic 606):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gross versus net), </w:t>
      </w:r>
      <w:r>
        <w:rPr>
          <w:rFonts w:ascii="Arial" w:cs="Arial" w:eastAsia="Arial" w:hAnsi="Arial"/>
          <w:sz w:val="18"/>
          <w:szCs w:val="18"/>
          <w:color w:val="auto"/>
        </w:rPr>
        <w:t>which clarifies the implementation guidance on principle versus agent considerations. The amendment will be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prospectively for reporting periods beginning on or after December 31, 2017, and early adoption is not permitted. The Company is currently assessing the impact of the ASU on the Company's Condensed Consolidated Financial Statements.</w:t>
      </w:r>
    </w:p>
    <w:p>
      <w:pPr>
        <w:spacing w:after="0" w:line="18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includes provisions intended to simplify various aspects related to how share-based compensation payments are accounted for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in the financial statements. This amendment will be effective prospectively for reporting periods beginning on or after December 15, 2016, and early adoption is permitted. The Company is currently assessing the impact of the ASU on the Company's Condensed Consolidated Financial Statements.</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341"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March 31, 2016, QEP acquired various oil and gas properties, primarily in the Williston and Permian basins, for a total purchase price of $21.0 million, which primarily included additional interests in QEP's operated wells and the associated leasehold. As a part of the purchase price allocation, the Company recorded $3.7 million of goodwill.</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during the three months ended March 31, 2016, QEP received proceeds of $22.9 million, primarily related to the divestiture of certain non-core properties in the Southern Region.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Basic earnings per share (EPS) are computed by dividing net income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are eligible to receive dividends.</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months ended March 31, 2016 and 2015, there were no anti-dilutive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71" w:lineRule="exact"/>
        <w:rPr>
          <w:sz w:val="20"/>
          <w:szCs w:val="20"/>
          <w:color w:val="auto"/>
        </w:rPr>
      </w:pPr>
    </w:p>
    <w:p>
      <w:pPr>
        <w:jc w:val="center"/>
        <w:ind w:left="8360"/>
        <w:spacing w:after="0"/>
        <w:rPr>
          <w:sz w:val="20"/>
          <w:szCs w:val="20"/>
          <w:color w:val="auto"/>
        </w:rPr>
      </w:pPr>
      <w:r>
        <w:rPr>
          <w:rFonts w:ascii="Arial" w:cs="Arial" w:eastAsia="Arial" w:hAnsi="Arial"/>
          <w:sz w:val="18"/>
          <w:szCs w:val="18"/>
          <w:color w:val="auto"/>
        </w:rPr>
        <w:t>Three Months Ended</w:t>
      </w:r>
    </w:p>
    <w:p>
      <w:pPr>
        <w:spacing w:after="0" w:line="63" w:lineRule="exact"/>
        <w:rPr>
          <w:sz w:val="20"/>
          <w:szCs w:val="20"/>
          <w:color w:val="auto"/>
        </w:rPr>
      </w:pPr>
    </w:p>
    <w:p>
      <w:pPr>
        <w:jc w:val="center"/>
        <w:ind w:left="836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8920"/>
              <w:spacing w:after="0"/>
              <w:rPr>
                <w:sz w:val="20"/>
                <w:szCs w:val="20"/>
                <w:color w:val="auto"/>
              </w:rPr>
            </w:pPr>
            <w:r>
              <w:rPr>
                <w:rFonts w:ascii="Arial" w:cs="Arial" w:eastAsia="Arial" w:hAnsi="Arial"/>
                <w:sz w:val="18"/>
                <w:szCs w:val="18"/>
                <w:b w:val="1"/>
                <w:bCs w:val="1"/>
                <w:color w:val="auto"/>
                <w:w w:val="89"/>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(in millions)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29"/>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Potential number of shares issuable upon exercise of in-the-money stock options under the Long-term Stock</w:t>
            </w:r>
          </w:p>
        </w:tc>
        <w:tc>
          <w:tcPr>
            <w:tcW w:w="1120" w:type="dxa"/>
            <w:vAlign w:val="bottom"/>
            <w:gridSpan w:val="3"/>
            <w:vMerge w:val="restart"/>
          </w:tcPr>
          <w:p>
            <w:pPr>
              <w:jc w:val="right"/>
              <w:ind w:right="70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Incentive Plan</w:t>
            </w:r>
          </w:p>
        </w:tc>
        <w:tc>
          <w:tcPr>
            <w:tcW w:w="1120" w:type="dxa"/>
            <w:vAlign w:val="bottom"/>
            <w:gridSpan w:val="3"/>
            <w:vMerge w:val="continue"/>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189.7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Capitalized Exploratory Well Costs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changes in capitalized exploratory well costs are presented in the table below. The balance at March 31, 2016, represents the amount of capitalized well costs that are pending the determination of proved reserves.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Capitalized Exploratory</w:t>
            </w:r>
          </w:p>
        </w:tc>
        <w:tc>
          <w:tcPr>
            <w:tcW w:w="0" w:type="dxa"/>
            <w:vAlign w:val="bottom"/>
          </w:tcPr>
          <w:p>
            <w:pPr>
              <w:spacing w:after="0"/>
              <w:rPr>
                <w:sz w:val="1"/>
                <w:szCs w:val="1"/>
                <w:color w:val="auto"/>
              </w:rPr>
            </w:pPr>
          </w:p>
        </w:tc>
      </w:tr>
      <w:tr>
        <w:trPr>
          <w:trHeight w:val="234"/>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Well Costs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Additions to capitalized exploratory well costs pending the determination of proved reserves</w:t>
            </w: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0"/>
        </w:trPr>
        <w:tc>
          <w:tcPr>
            <w:tcW w:w="9140" w:type="dxa"/>
            <w:vAlign w:val="bottom"/>
            <w:vMerge w:val="restart"/>
          </w:tcPr>
          <w:p>
            <w:pPr>
              <w:jc w:val="right"/>
              <w:ind w:right="329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$209.2 million and $206.8 million ARO liability for the periods ended March 31, 2016 and December 31, 2015, respectively, $1.8 million and $1.9 million, respectively, were included as a liability within "Accounts payable and accrued expenses" on the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ARO liability at January 1,</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Accretion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 settled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ARO liability at March 31,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Retirement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206.8</w:t>
      </w:r>
    </w:p>
    <w:p>
      <w:pPr>
        <w:spacing w:after="0" w:line="5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34290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1.5</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34290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8440" w:space="720"/>
            <w:col w:w="2240"/>
          </w:cols>
          <w:pgMar w:left="240" w:top="580" w:right="25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 value measurements. ASC 820 also establishes a fair 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7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0"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The fair value of financial assets and liabilities at March 31, 2016 and December 31, 2015,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3"/>
                <w:szCs w:val="2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3"/>
                <w:szCs w:val="23"/>
                <w:color w:val="auto"/>
              </w:rPr>
            </w:pPr>
          </w:p>
        </w:tc>
        <w:tc>
          <w:tcPr>
            <w:tcW w:w="1520" w:type="dxa"/>
            <w:vAlign w:val="bottom"/>
            <w:gridSpan w:val="2"/>
          </w:tcPr>
          <w:p>
            <w:pPr>
              <w:jc w:val="center"/>
              <w:ind w:right="280"/>
              <w:spacing w:after="0" w:line="270"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Pr>
          <w:p>
            <w:pPr>
              <w:spacing w:after="0"/>
              <w:rPr>
                <w:sz w:val="23"/>
                <w:szCs w:val="23"/>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93"/>
              </w:rPr>
              <w:t>March 31, 2016</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88"/>
              </w:rPr>
              <w:t>December 31, 2015</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1"/>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480" w:hanging="328"/>
        <w:spacing w:after="0" w:line="223"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Condensed Consolidated Balance Sheets, as the contracts contain netting provisions. Refer to Note 7 – Derivative Contracts, for additional information regarding the Company's derivative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the fair value and related carrying amount of certain financial instruments not disclosed in other Notes accompanying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in this Quarterly Report on Form 10-Q:</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540"/>
              <w:spacing w:after="0"/>
              <w:rPr>
                <w:sz w:val="20"/>
                <w:szCs w:val="20"/>
                <w:color w:val="auto"/>
              </w:rPr>
            </w:pPr>
            <w:r>
              <w:rPr>
                <w:rFonts w:ascii="Arial" w:cs="Arial" w:eastAsia="Arial" w:hAnsi="Arial"/>
                <w:sz w:val="18"/>
                <w:szCs w:val="18"/>
                <w:b w:val="1"/>
                <w:bCs w:val="1"/>
                <w:color w:val="auto"/>
              </w:rPr>
              <w:t>March 31, 2016</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2015</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2,192.9</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2,191.5</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1,784.6</w:t>
            </w:r>
          </w:p>
        </w:tc>
      </w:tr>
    </w:tbl>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ectPr>
          <w:pgSz w:w="11900" w:h="16838" w:orient="portrait"/>
          <w:cols w:equalWidth="0" w:num="1">
            <w:col w:w="11420"/>
          </w:cols>
          <w:pgMar w:left="240" w:top="800"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00" w:right="239" w:bottom="1440" w:gutter="0" w:footer="0" w:header="0"/>
          <w:type w:val="continuous"/>
        </w:sectPr>
      </w:pPr>
    </w:p>
    <w:bookmarkStart w:id="12" w:name="page13"/>
    <w:bookmarkEnd w:id="12"/>
    <w:p>
      <w:pPr>
        <w:jc w:val="both"/>
        <w:ind w:right="240"/>
        <w:spacing w:after="0" w:line="286" w:lineRule="auto"/>
        <w:rPr>
          <w:sz w:val="20"/>
          <w:szCs w:val="20"/>
          <w:color w:val="auto"/>
        </w:rPr>
      </w:pPr>
      <w:r>
        <w:rPr>
          <w:rFonts w:ascii="Arial" w:cs="Arial" w:eastAsia="Arial" w:hAnsi="Arial"/>
          <w:sz w:val="17"/>
          <w:szCs w:val="17"/>
          <w:color w:val="auto"/>
        </w:rPr>
        <w:t>The initial measurement of ARO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ARO is presented in Note 5 – Asset Retirement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provisions of the fair value measurement standard are also applied to the Company's nonrecurring measurements. The Company utilizes fair value on a nonrecurring basis to review its proved oil and gas properties for potential impairment when events and circumstances indicate a possible decline in the recoverability of the carrying value of such property. During the three months ended March 31, 2016 and 2015, the Company recorded impairments on certain proved oil and gas properties of $1,167.9 million and $19.4 million, respectively, resulting in a reduction of the associated carrying value to fair value. The fair value of the property was measured utilizing the income approach and utilizing inputs which are primarily based upon internally developed cash flow models. Given the unobservable nature of the inputs, proved oil and gas property impairments are considered Level 3 within the fair value hierarchy.</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Acquisitions of proved and unproved properties are also measured at fair value on a nonrecurring basis. The Company utilizes a discounted cash flow model to estimate the fair value of acquired property as of the acquisition date which utilizes the following inputs to estimate future net cash flows: estimated quantities of gas, oil and NGL reserves; estimates of future commodity prices; and estimated production rates, future operating and development costs, which are based on the Company's historic experience with similar properties. In some instances, market comparable information of recent transactions is used to estimate fair value of unproved acreage. Due to the unobservable characteristics of the inputs, the fair value of the properties is considered Level 3 within the fair value hierarchy.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but generally, QEP enters into commodity derivative contracts for approximately 50% to 75% of its forecasted annual production by the end of the first quarter of each fiscal year. In addition, QEP may enter into commodity derivative contracts on a portion of its storage transactions. QEP does not enter into commodity derivative instruments for speculative purposes.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gas or oil between the parties at settlement. All transactions are settled in cash with one party paying the other for the net difference in prices, multiplied by the contract volume, for the settlement period. Gas price derivative instruments are typically structured as fixed-price swaps or collars at regional price indices. Oil price derivative instruments are typically structured as NYMEX fixed-price swaps based at Cushing, Oklahoma or oil price swaps that use Intercontinental Exchange, Inc. (ICE) Brent oil prices as the reference price. QEP also enters into crude oil and natural gas basis swaps to achieve a fixed-price swap for a portion of its oil and gas sales at prices that reference specific regional index prices.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QEP does not currently have any commodity derivative transactions that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Production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QEP’s quantities and average prices for its commodity derivative swap contracts as of March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3"/>
              </w:rPr>
              <w:t>Average Swap Price</w:t>
            </w:r>
          </w:p>
        </w:tc>
      </w:tr>
      <w:tr>
        <w:trPr>
          <w:trHeight w:val="230"/>
        </w:trPr>
        <w:tc>
          <w:tcPr>
            <w:tcW w:w="560" w:type="dxa"/>
            <w:vAlign w:val="bottom"/>
          </w:tcPr>
          <w:p>
            <w:pPr>
              <w:ind w:left="40"/>
              <w:spacing w:after="0"/>
              <w:rPr>
                <w:sz w:val="20"/>
                <w:szCs w:val="20"/>
                <w:color w:val="auto"/>
              </w:rPr>
            </w:pPr>
            <w:r>
              <w:rPr>
                <w:rFonts w:ascii="Arial" w:cs="Arial" w:eastAsia="Arial" w:hAnsi="Arial"/>
                <w:sz w:val="18"/>
                <w:szCs w:val="18"/>
                <w:color w:val="auto"/>
              </w:rPr>
              <w:t>Year</w:t>
            </w:r>
          </w:p>
        </w:tc>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Volumes</w:t>
            </w: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per Unit</w:t>
            </w:r>
          </w:p>
        </w:tc>
      </w:tr>
      <w:tr>
        <w:trPr>
          <w:trHeight w:val="27"/>
        </w:trPr>
        <w:tc>
          <w:tcPr>
            <w:tcW w:w="56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($/MMBtu)</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2016</w:t>
            </w: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80"/>
              <w:spacing w:after="0"/>
              <w:rPr>
                <w:sz w:val="20"/>
                <w:szCs w:val="20"/>
                <w:color w:val="auto"/>
              </w:rPr>
            </w:pPr>
            <w:r>
              <w:rPr>
                <w:rFonts w:ascii="Arial" w:cs="Arial" w:eastAsia="Arial" w:hAnsi="Arial"/>
                <w:sz w:val="18"/>
                <w:szCs w:val="18"/>
                <w:color w:val="auto"/>
              </w:rPr>
              <w:t>NYMEX HH</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2016</w:t>
            </w:r>
          </w:p>
        </w:tc>
        <w:tc>
          <w:tcPr>
            <w:tcW w:w="5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IFNPCR</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5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2018</w:t>
            </w: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jc w:val="center"/>
              <w:ind w:right="5020"/>
              <w:spacing w:after="0"/>
              <w:rPr>
                <w:sz w:val="20"/>
                <w:szCs w:val="20"/>
                <w:color w:val="auto"/>
              </w:rPr>
            </w:pPr>
            <w:r>
              <w:rPr>
                <w:rFonts w:ascii="Arial" w:cs="Arial" w:eastAsia="Arial" w:hAnsi="Arial"/>
                <w:sz w:val="18"/>
                <w:szCs w:val="18"/>
                <w:b w:val="1"/>
                <w:bCs w:val="1"/>
                <w:color w:val="auto"/>
                <w:w w:val="86"/>
              </w:rPr>
              <w:t>Oil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(bbls)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($/bbl)</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2016</w:t>
            </w: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(April through June)</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57.09</w:t>
            </w:r>
          </w:p>
        </w:tc>
      </w:tr>
      <w:tr>
        <w:trPr>
          <w:trHeight w:val="27"/>
        </w:trPr>
        <w:tc>
          <w:tcPr>
            <w:tcW w:w="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2016</w:t>
            </w:r>
          </w:p>
        </w:tc>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through December)</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51.71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details of QEP's gas collars as of March 31,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Average Price</w:t>
            </w:r>
          </w:p>
        </w:tc>
        <w:tc>
          <w:tcPr>
            <w:tcW w:w="320" w:type="dxa"/>
            <w:vAlign w:val="bottom"/>
          </w:tcPr>
          <w:p>
            <w:pPr>
              <w:spacing w:after="0"/>
              <w:rPr>
                <w:sz w:val="20"/>
                <w:szCs w:val="20"/>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Average Price</w:t>
            </w:r>
          </w:p>
        </w:tc>
      </w:tr>
      <w:tr>
        <w:trPr>
          <w:trHeight w:val="27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Index</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w:t>
            </w: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Floor</w:t>
            </w:r>
          </w:p>
        </w:tc>
        <w:tc>
          <w:tcPr>
            <w:tcW w:w="320" w:type="dxa"/>
            <w:vAlign w:val="bottom"/>
          </w:tcPr>
          <w:p>
            <w:pPr>
              <w:spacing w:after="0"/>
              <w:rPr>
                <w:sz w:val="23"/>
                <w:szCs w:val="23"/>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Ceiling</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264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NYMEX HH</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41"/>
        </w:trPr>
        <w:tc>
          <w:tcPr>
            <w:tcW w:w="2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QEP uses gas basis swaps, combined with NYMEX HH fixed price swaps, to achieve fixed price swaps for the location at which it sells its physical production.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details of QEP's gas basis swaps as of March 31,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Weighted-Average</w:t>
            </w: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Index Less Differential</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Differential</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jc w:val="right"/>
              <w:ind w:right="33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4000" w:type="dxa"/>
            <w:vAlign w:val="bottom"/>
          </w:tcPr>
          <w:p>
            <w:pPr>
              <w:jc w:val="right"/>
              <w:ind w:right="3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567"/>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Storage</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QEP enters into commodity derivative transactions to lock in a margin on gas volumes placed into storage. The following table sets forth QEP’s volumes and swap prices for its storage commodity derivative contracts as of March 31,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0"/>
              </w:rPr>
              <w:t>Average Swap</w:t>
            </w:r>
          </w:p>
        </w:tc>
      </w:tr>
      <w:tr>
        <w:trPr>
          <w:trHeight w:val="23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Volumes</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Price per MMBtu</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(MMBtu)</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($/MMBtu)</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in the Condensed Consolidated Balance Sheets and the related fair values at the balance sheet dates: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Gross liability derivative</w:t>
            </w: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instruments fair value</w:t>
            </w:r>
          </w:p>
        </w:tc>
        <w:tc>
          <w:tcPr>
            <w:tcW w:w="5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Balance Sheet</w:t>
            </w:r>
          </w:p>
        </w:tc>
        <w:tc>
          <w:tcPr>
            <w:tcW w:w="26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line item</w:t>
            </w: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2015</w:t>
            </w: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2015</w:t>
            </w: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60" w:type="dxa"/>
            <w:vAlign w:val="bottom"/>
            <w:gridSpan w:val="5"/>
          </w:tcPr>
          <w:p>
            <w:pPr>
              <w:ind w:left="26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5" w:name="page16"/>
    <w:bookmarkEnd w:id="15"/>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23"/>
                <w:szCs w:val="23"/>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2015</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Production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Storage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8"/>
                <w:szCs w:val="18"/>
                <w:color w:val="auto"/>
              </w:rPr>
              <w:t>Total realized gains (losses) on commodity derivative contracts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Production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Storage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unrealized gains (losses) on commodity derivative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 gains (losses) on commodity derivative contracts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Restructuring Costs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2015, QEP had multiple restructuring events, including the closure of its Tulsa office, which occurred in the third quarter of 2015. The Company estimates that the total costs related to the 2015 reorganizations will be approximately $8.1 million, of which approximately $5.3 million is related to one-time termination benefits and approximately $2.8 million is related to relocation of certain employees. During the three months ended March 31, 2016, restructuring costs of $0.3 million were incurred and paid related to the Tulsa office closure, all of which were related to the relocation of certain employees. The Company estimates that the remaining $0.1 million of restructuring costs related to the 2015 reorganizations will be incurred during the remainder of 2016. These restructuring costs were recorded within "General and administrative" expense of the Condensed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indicated dates, the principal amount of QEP’s debt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2019</w:t>
            </w:r>
          </w:p>
        </w:tc>
        <w:tc>
          <w:tcPr>
            <w:tcW w:w="3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6.05% Senior Notes due 2016</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2018</w:t>
            </w:r>
          </w:p>
        </w:tc>
        <w:tc>
          <w:tcPr>
            <w:tcW w:w="3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3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3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w w:val="96"/>
              </w:rPr>
              <w:t>Less: unamortized discount and unamortized debt issuance costs</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amount of debt (including current portion)</w:t>
            </w:r>
          </w:p>
        </w:tc>
        <w:tc>
          <w:tcPr>
            <w:tcW w:w="3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2,191.5</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Less: current portion of long-term debt</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long-term debt outstanding</w:t>
            </w:r>
          </w:p>
        </w:tc>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ind w:right="340"/>
        <w:spacing w:after="0" w:line="264" w:lineRule="auto"/>
        <w:rPr>
          <w:sz w:val="20"/>
          <w:szCs w:val="20"/>
          <w:color w:val="auto"/>
        </w:rPr>
      </w:pPr>
      <w:r>
        <w:rPr>
          <w:rFonts w:ascii="Arial" w:cs="Arial" w:eastAsia="Arial" w:hAnsi="Arial"/>
          <w:sz w:val="18"/>
          <w:szCs w:val="18"/>
          <w:color w:val="auto"/>
        </w:rPr>
        <w:t>Of the total debt outstanding on March 31, 2016, the 6.05% Senior Notes due September 1, 2016, the 6.80% Senior Notes due April 1, 2018, the 6.80% Senior Notes due March 1, 2020 and the 6.875% Senior Notes due March 1, 2021, will mature within the next five years. In addition, the revolving credit facility matures on December 2,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provisions and restrictions. The credit agreement contains financial covenants (as defined in the credit agreement) that limit the amount of debt the Company may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and 3.75 times thereafter and (iii) a present value coverage ratio under which the present value of the Company’s proved reserves must exceed net funded debt by 1.25 times at any time prior to January 1, 2018, and 1.50 times at any time on or after January 1, 2018. At March 31, 2016, QEP was in compliance with the covenants under the credit agreement.</w:t>
      </w:r>
    </w:p>
    <w:p>
      <w:pPr>
        <w:spacing w:after="0" w:line="19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During the three months ended March 31, 2016 and 2015, QEP had no borrowings under the credit facility. Additionally, as of March 31, 2016 and 2015, QEP had no borrowings outstanding under the credit facility and had $2.8 million and $3.7 million, respectively, in letters of credit outstanding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At March 31, 2016,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Condensed Consolidated Financial Statements.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an accrual is recorded for a material loss contingency when its occurrence is probable and damages are reasonably estimable based on the anticipated most likely outcome or the minimum amount within a range of possible outcomes. Because legal proceedings are inherently unpredictable, and unfavorable resolutions can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the ongoing discovery and/or development of information important to the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Rocky Mountain Resources Lawsuit </w:t>
      </w:r>
      <w:r>
        <w:rPr>
          <w:rFonts w:ascii="Arial" w:cs="Arial" w:eastAsia="Arial" w:hAnsi="Arial"/>
          <w:sz w:val="18"/>
          <w:szCs w:val="18"/>
          <w:color w:val="auto"/>
        </w:rPr>
        <w:t>– Rocky Mountain Resources, LLC (Rocky Mountain) filed its complaint in March 2011, seeking determination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a 4% overriding royalty interest in an oil and gas lease. Rocky Mountain alleges that the defendants have failed to pay Rocky Mountain monies associated with the claimed 4% overriding royalty interest since the issuance of the lease by the State of Wyoming in 1980. In February 2015, a jury rendered a verdict against QEP and awarded Rocky Mountain damages in the amount of $16.7 million, including interest. QEP is appealing the verdict to the Wyoming Supreme Court, and, in connection with such appeal, has posted a bond for approximately $20.0 million (representing the amount of the verdict and two years of accrued interest at the statutory rate of 10%). In accordance with the Court’s order, QEP is depositing the future monthly revenues attributable to the 4% overriding royalty interest with the Court as it becomes due and payable. The overriding royalty payments will be subject to the direction of the Court following the conclusion of the appeal. QEP estimates that, notwithstanding the verdict, the range of reasonably possible losses is still zero to approximately $20.0 million.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QEP issues stock options, restricted shares and restricted share units under its Long-Term Stock Incentive Plan (LTSIP) and awards performance share units under its Cash Incentive Plan (CIP) to certain officers, employees, and non-employee directors. QEP recognizes the expense over the vesting periods for the stock options, restricted shares, restricted share units and performance share units. There were 6.9 million shares available for future grants under the LTSIP at March 31, 2016.</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Share-based compensation expense is recognized within “General and administrative” expense on the Condensed Consolidated Statements of Operations and is summarized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640" w:type="dxa"/>
            <w:vAlign w:val="bottom"/>
            <w:gridSpan w:val="4"/>
          </w:tcPr>
          <w:p>
            <w:pPr>
              <w:jc w:val="center"/>
              <w:ind w:left="390"/>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gridSpan w:val="3"/>
          </w:tcPr>
          <w:p>
            <w:pPr>
              <w:jc w:val="center"/>
              <w:ind w:right="470"/>
              <w:spacing w:after="0"/>
              <w:rPr>
                <w:sz w:val="20"/>
                <w:szCs w:val="20"/>
                <w:color w:val="auto"/>
              </w:rPr>
            </w:pPr>
            <w:r>
              <w:rPr>
                <w:rFonts w:ascii="Arial" w:cs="Arial" w:eastAsia="Arial" w:hAnsi="Arial"/>
                <w:sz w:val="18"/>
                <w:szCs w:val="18"/>
                <w:color w:val="auto"/>
                <w:w w:val="92"/>
              </w:rPr>
              <w:t>March 31,</w:t>
            </w:r>
          </w:p>
        </w:tc>
        <w:tc>
          <w:tcPr>
            <w:tcW w:w="44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gridSpan w:val="3"/>
          </w:tcPr>
          <w:p>
            <w:pPr>
              <w:jc w:val="center"/>
              <w:ind w:right="470"/>
              <w:spacing w:after="0"/>
              <w:rPr>
                <w:sz w:val="20"/>
                <w:szCs w:val="20"/>
                <w:color w:val="auto"/>
              </w:rPr>
            </w:pPr>
            <w:r>
              <w:rPr>
                <w:rFonts w:ascii="Arial" w:cs="Arial" w:eastAsia="Arial" w:hAnsi="Arial"/>
                <w:sz w:val="18"/>
                <w:szCs w:val="18"/>
                <w:color w:val="auto"/>
                <w:w w:val="98"/>
              </w:rPr>
              <w:t>(in millions)</w:t>
            </w:r>
          </w:p>
        </w:tc>
        <w:tc>
          <w:tcPr>
            <w:tcW w:w="4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10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 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calculated fair value of options granted and major assumptions used in the model at the date of grant are listed below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w w:val="98"/>
              </w:rPr>
              <w:t>Stock Option Assumptions</w:t>
            </w:r>
          </w:p>
        </w:tc>
      </w:tr>
      <w:tr>
        <w:trPr>
          <w:trHeight w:val="27"/>
        </w:trPr>
        <w:tc>
          <w:tcPr>
            <w:tcW w:w="86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Weighted-average grant date fair value of awards granted during the period</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5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3.76</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280" w:type="dxa"/>
            <w:vAlign w:val="bottom"/>
            <w:tcBorders>
              <w:bottom w:val="single" w:sz="8" w:color="BFE4FF"/>
            </w:tcBorders>
            <w:shd w:val="clear" w:color="auto" w:fill="BFE4FF"/>
          </w:tcPr>
          <w:p>
            <w:pPr>
              <w:spacing w:after="0"/>
              <w:rPr>
                <w:sz w:val="21"/>
                <w:szCs w:val="21"/>
                <w:color w:val="auto"/>
              </w:rPr>
            </w:pPr>
          </w:p>
        </w:tc>
        <w:tc>
          <w:tcPr>
            <w:tcW w:w="2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43.4%</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8600" w:type="dxa"/>
            <w:vAlign w:val="bottom"/>
            <w:shd w:val="clear" w:color="auto" w:fill="BFE4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280" w:type="dxa"/>
            <w:vAlign w:val="bottom"/>
            <w:shd w:val="clear" w:color="auto" w:fill="BFE4FF"/>
          </w:tcPr>
          <w:p>
            <w:pPr>
              <w:spacing w:after="0"/>
              <w:rPr>
                <w:sz w:val="21"/>
                <w:szCs w:val="21"/>
                <w:color w:val="auto"/>
              </w:rPr>
            </w:pPr>
          </w:p>
        </w:tc>
        <w:tc>
          <w:tcPr>
            <w:tcW w:w="2540" w:type="dxa"/>
            <w:vAlign w:val="bottom"/>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27"/>
        </w:trPr>
        <w:tc>
          <w:tcPr>
            <w:tcW w:w="860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254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ind w:left="46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3"/>
              </w:rPr>
              <w:t>Intrinsic 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2,200,776</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436,726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(386,999)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Outstanding at March 31, 2016</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2,250,503</w:t>
            </w:r>
          </w:p>
        </w:tc>
        <w:tc>
          <w:tcPr>
            <w:tcW w:w="3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25.17</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4.22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1.7</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1,448,779</w:t>
            </w:r>
          </w:p>
        </w:tc>
        <w:tc>
          <w:tcPr>
            <w:tcW w:w="360" w:type="dxa"/>
            <w:vAlign w:val="bottom"/>
            <w:tcBorders>
              <w:bottom w:val="single" w:sz="8" w:color="CCEEFF"/>
            </w:tcBorders>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rPr>
              <w:t>30.00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Unvested Options at March 31, 2016</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801,724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16.43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r>
      <w:tr>
        <w:trPr>
          <w:trHeight w:val="486"/>
        </w:trPr>
        <w:tc>
          <w:tcPr>
            <w:tcW w:w="516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8" w:name="page19"/>
    <w:bookmarkEnd w:id="18"/>
    <w:p>
      <w:pPr>
        <w:ind w:right="320"/>
        <w:spacing w:after="0" w:line="264" w:lineRule="auto"/>
        <w:rPr>
          <w:sz w:val="20"/>
          <w:szCs w:val="20"/>
          <w:color w:val="auto"/>
        </w:rPr>
      </w:pPr>
      <w:r>
        <w:rPr>
          <w:rFonts w:ascii="Arial" w:cs="Arial" w:eastAsia="Arial" w:hAnsi="Arial"/>
          <w:sz w:val="18"/>
          <w:szCs w:val="18"/>
          <w:color w:val="auto"/>
        </w:rPr>
        <w:t>During the three months ended March 31, 2016 and 2015, there were no exercises of stock options. As of March 31, 2016, $2.8 million of unrecognized compensation cost related to stock options granted under the LTSIP, which is included within "Additional paid-in capital" on the Condensed Consolidated Balance Sheet, is expected to be recognized over a weighted-average period of 2.45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Awards</w:t>
      </w:r>
    </w:p>
    <w:p>
      <w:pPr>
        <w:spacing w:after="0" w:line="2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three months ended March 31, 2016 and 2015, was $20.4 million and $18.0 million, respectively. The weighted-average grant date fair value of restricted stock was $10.13 per share and $21.67 per share for the three months ended March 31, 2016 and 2015, respectively. As of March 31, 2016, $36.2 million of unrecognized compensation cost related to restricted shares granted under the LTSIP, which is included within "Additional paid-in capital" on the Condensed Consolidated Balance Sheet, is expected to be recognized over a weighted-average vesting period of 2.55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5"/>
              </w:rPr>
              <w:t>Restricted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8"/>
              </w:rPr>
              <w:t>Average Grant</w:t>
            </w:r>
          </w:p>
        </w:tc>
      </w:tr>
      <w:tr>
        <w:trPr>
          <w:trHeight w:val="230"/>
        </w:trPr>
        <w:tc>
          <w:tcPr>
            <w:tcW w:w="834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Date Fair Value</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2,008,210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2,356,919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(783,782)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(41,193)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18.32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March 31, 2016</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3,540,154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14.50</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performance share units' cash payouts are dependent upon the Company’s total shareholder return compared to a group of its peers over a three-year period. The awards are denominated in share units and have historically been delivered in cash. Beginning with awards granted in 2015, the Company has the option to settle earned awards in cash or shares of common stock under the Company's LTSIP; however, as of March 31, 2016, the Company expects to settle all awards in cash. The weighted-average grant date fair value of the performance share units was $10.12 per share and $21.69 per share for the three months ended March 31, 2016 and 2015, respectively. As of March 31, 2016, $12.7 million of unrecognized compensation cost, which represents the unvested portion of the fair market value of performance shares granted, is expected to be recognized over a weighted-average vesting period of 2.33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0"/>
              </w:rPr>
              <w:t>Performance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Grant Date Fair</w:t>
            </w:r>
          </w:p>
        </w:tc>
      </w:tr>
      <w:tr>
        <w:trPr>
          <w:trHeight w:val="230"/>
        </w:trPr>
        <w:tc>
          <w:tcPr>
            <w:tcW w:w="83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6"/>
              </w:rPr>
              <w:t>Units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6"/>
              </w:rPr>
              <w:t>Value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630,786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594,245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27.39</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March 31, 2016</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1,043,838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17.17</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3"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Restricted share units vest over a three-year period and are deferred into the Company's nonqualified unfunded deferred compensation plan at the time of vesting. The weighted-average grant date fair value of the restricted share units was $10.12 per share for the three months ended March 31, 2016. As of March 31, 2016, $0.3 million of unrecognized compensation cost, which represents the unvested portion of the fair market value of restricted share units granted, is expected to be recognized over a weighted-average vesting period of 2.94 years.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Weighted-Average</w:t>
            </w:r>
          </w:p>
        </w:tc>
      </w:tr>
      <w:tr>
        <w:trPr>
          <w:trHeight w:val="216"/>
        </w:trPr>
        <w:tc>
          <w:tcPr>
            <w:tcW w:w="830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w w:val="96"/>
              </w:rPr>
              <w:t>Restricted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Grant Date Fair</w:t>
            </w:r>
          </w:p>
        </w:tc>
      </w:tr>
      <w:tr>
        <w:trPr>
          <w:trHeight w:val="230"/>
        </w:trPr>
        <w:tc>
          <w:tcPr>
            <w:tcW w:w="8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6"/>
              </w:rPr>
              <w:t>Units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6"/>
              </w:rPr>
              <w:t>Value</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21,493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balance at March 31, 2016</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21,493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retirement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(SERP), and a postretirement medical plan (the Medical Plan).</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the Company's divestitures in 2014 and retirements in 2015, the number of active participants in the Pension Plan fell to 50 employees during the year ended December 31, 2015, which is the minimum number of active participants for a plan to be qualified under the Internal Revenue Services' participation rules. In order to prevent disqualification, the Pension Plan was amended in June 2015 and was frozen effective January 1, 2016, such that employees do not earn additional defined benefits for future services.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Pension Plan is a closed, qualified defined-benefit pension plan that is funded and provides pension benefits to certain QEP employees. During the three months ended March 31, 2016, the Company made contributions of $2.0 million to the Pension Plan and expects to contribute $2.0 million to the Pension Plan during the remainder of 2016. Contributions to the Pension Plan increase plan assets.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three months ended March 31, 2016, the Company made contributions of $1.1 million to its SERP and expects to contribute an additional $2.5 million to its SERP during the remainder of 2016. Contributions to the SERP are used to fund current benefit payments. The SERP was amended and restated in June 2015 and was closed to new participants effective January 1, 2016.</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Medical Plan is unfunded and provides other postretirement benefits including certain health care and life insurance benefits for certain retired employees. During the three months ended March 31, 2016, the Company made contributions of $0.1 million to its Medical Plan and expects to contribute an additional $0.2 million to its Medical Plan during the remainder of 2016. Contributions to the Medical Plan are used to fund current benefit payments.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6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sets forth the Company’s net periodic benefit costs related to its Pension Plan, SERP and Medical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600" w:type="dxa"/>
            <w:vAlign w:val="bottom"/>
            <w:gridSpan w:val="4"/>
          </w:tcPr>
          <w:p>
            <w:pPr>
              <w:jc w:val="center"/>
              <w:ind w:left="430"/>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80" w:type="dxa"/>
            <w:vAlign w:val="bottom"/>
            <w:gridSpan w:val="3"/>
          </w:tcPr>
          <w:p>
            <w:pPr>
              <w:jc w:val="center"/>
              <w:ind w:right="430"/>
              <w:spacing w:after="0"/>
              <w:rPr>
                <w:sz w:val="20"/>
                <w:szCs w:val="20"/>
                <w:color w:val="auto"/>
              </w:rPr>
            </w:pPr>
            <w:r>
              <w:rPr>
                <w:rFonts w:ascii="Arial" w:cs="Arial" w:eastAsia="Arial" w:hAnsi="Arial"/>
                <w:sz w:val="18"/>
                <w:szCs w:val="18"/>
                <w:color w:val="auto"/>
                <w:w w:val="92"/>
              </w:rPr>
              <w:t>March 31,</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1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3"/>
          </w:tcPr>
          <w:p>
            <w:pPr>
              <w:jc w:val="center"/>
              <w:ind w:right="430"/>
              <w:spacing w:after="0"/>
              <w:rPr>
                <w:sz w:val="20"/>
                <w:szCs w:val="20"/>
                <w:color w:val="auto"/>
              </w:rPr>
            </w:pPr>
            <w:r>
              <w:rPr>
                <w:rFonts w:ascii="Arial" w:cs="Arial" w:eastAsia="Arial" w:hAnsi="Arial"/>
                <w:sz w:val="18"/>
                <w:szCs w:val="18"/>
                <w:color w:val="auto"/>
                <w:w w:val="98"/>
              </w:rPr>
              <w:t>(in millions)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102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(1)</w:t>
            </w:r>
          </w:p>
        </w:tc>
        <w:tc>
          <w:tcPr>
            <w:tcW w:w="10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Periodic expense</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4"/>
        </w:trPr>
        <w:tc>
          <w:tcPr>
            <w:tcW w:w="8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3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60" w:hanging="314"/>
        <w:spacing w:after="0" w:line="211"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accumulated other comprehensive income are recognized in the Condensed Consolidated Statements of Operations in "General and administrative" expense.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April 2016, the Company streamlined its organizational structure, resulting in a reduction of approximately 6% of its total workforce. The Company estimates that the total cost related to this restructuring will be approximately $2.2 million, all of which is related to one-time termination benefits and will be recorded in the second quarter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following information updates the discussion of QEP's financial condition provided in its 2015 Annual Report on Form 10-K and analyzes the changes in the results of operations between the three months ended March 31, 2016 and 2015. For definitions of commonly used oil and gas terms found in this Quarterly Report on Form 10-Q, please refer to the “Glossary of Commonly Used Terms” provided in QEP's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QEP Resources, Inc. (QEP or the Company) is an independent crude oil and natural gas production company focused in two major regions of the United States: the Northern Region (primarily in Wyoming, North Dakota and Utah) and the Southern Region (primarily in Texas and Louisiana). QEP's corporate headquarters are located in Denver, Colorado and shares of QEP's common stock trade on the New York Stock Exchange (NYSE) under the ticker symbol “QEP”.</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believes it has a large inventory of lower-risk, predictable development drilling locations across its acreage holdings in the onshore U.S. that provide a solid base for growth in organic production and reserves.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response to the commodity price environment, we reduced drilling and completion activities, slowed production growth, reduced costs and preserved our liquidity in 2015 and the first quarter of 2016, and plan to continue these strategies for the remainder of 2016. We are focused on driving improved operating performance by optimizing reservoir development, enhancing well completion designs, and aggressively pursuing cost reductions.</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Based on current commodity prices, we expect to be able to fund our planned capital program with cash flow from operating activities and, if needed, cash on hand and availability under our credit facility. Our total capital expenditures for 2016, primarily related to development and recompletion activities, are expected to be approximately $475.0 million, a decrease of over 50% from 2015 capital expenditures. With this capital program we expect total equivalent production to be relatively flat compared to 2015. We plan to continuously evaluate our level of drilling and completion activity in light of both commodity prices and changes we are able to make to our costs of operations and adjust our capital spending program as appropriate. See "Cash Flow from Investing Activities" for further discussion of our capital expenditures. We will also continue to pursue acquisitions and divest of non-core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March 2016, QEP issued 37.95 million additional shares of common stock through a public equity offering and received net proceeds of approximately $368.6 million. QEP expects to use the proceeds from this offering for general corporate purposes, which may include, among other things, reducing indebtedness, acquiring properties, funding a portion of the Company's exploration and production activities and working capital.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Marketing Agreements </w:t>
      </w:r>
      <w:r>
        <w:rPr>
          <w:rFonts w:ascii="Arial" w:cs="Arial" w:eastAsia="Arial" w:hAnsi="Arial"/>
          <w:sz w:val="19"/>
          <w:szCs w:val="19"/>
          <w:b w:val="1"/>
          <w:bCs w:val="1"/>
          <w:color w:val="auto"/>
        </w:rPr>
        <w:t>a</w:t>
      </w:r>
      <w:r>
        <w:rPr>
          <w:rFonts w:ascii="Arial" w:cs="Arial" w:eastAsia="Arial" w:hAnsi="Arial"/>
          <w:sz w:val="18"/>
          <w:szCs w:val="18"/>
          <w:b w:val="1"/>
          <w:bCs w:val="1"/>
          <w:color w:val="auto"/>
        </w:rPr>
        <w:t>nd QEP Marketing Segment</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Effective January 1, 2016, QEP terminated its contracts for resale and marketing transactions between its wholly owned subsidiaries, QEP Marketing Company (QEP Marketing) and QEP Energy Company (QEP Energy). In addition, substantially all of QEP Marketing's third-party purchase and sale agreements and gathering, processing and transportation contracts were assigned to QEP Energy, except those contracts related to natural gas storage activities and the Haynesville gathering system. As a result, QEP Energy is directly marketing its own gas, oil and NGL production. While QEP will continue to act as an agent for the sale of gas, oil and NGL production for other working interest owners, for whom QEP serves as the operator, QEP is no longer the first purchaser of this production. QEP has substantially reduced its marketing activities, and subsequently is reporting lower resale revenue and expenses than it had in prior periods. In conjunction with the changes described above, QEP conducted a segment analysis in accordance with Accounting Standards Update (ASU) Topic 820,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determined that QEP has one reportable segment effective January 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three months ended March 31, 2016, QEP acquired various oil and gas properties, primarily in the Williston and Permian basins, for a total purchase price of $21.0 million, which primarily included additional interests in QEP's operated wells and the associated leasehold. As a part of the purchase price allocation, the Company recorded $3.7 million of goodwill.</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during the three months ended March 31, 2016, QEP received proceeds of $22.9 million, primarily related to the divestiture of certain non-core properties in the Southern Region.</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While QEP believes its extensive inventory of identified drilling locations provide a solid base for growth in production and reserves, the Company continues to evaluate acquisition opportunities that it believes will create significant long-term value. QEP believes that its experience, expertise, and presence in its core operating areas, combined with a low-cost operating model and financial strength, enhances its ability to pursue acquisition opportunities.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2016, QEP:</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natural gas equivalent production of 82.7 Bcfe, a 10% increase over the same period in 2015;</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oil production to 5,176.4 Mbbls, a 16% increase over the first three months of 2015, including increased production in both the Permian and Williston basins;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lease operating and transportation expense by $0.07/Mcfe to $1.62/Mcfe;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796" w:right="279" w:bottom="1440" w:gutter="0" w:footer="0" w:header="0"/>
        </w:sectPr>
      </w:pPr>
    </w:p>
    <w:bookmarkStart w:id="22" w:name="page23"/>
    <w:bookmarkEnd w:id="22"/>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Generated a net loss of $863.8 million, or $4.55 per diluted share;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Achieved Adjusted EBITDA (a non-GAAP financial measure defined and reconciled below) of $115.1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Incurred impairment expense of $1,182.4 million;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Issued 37.95 million additional shares of common stock through a public equity offering and received net proceeds of approximately $368.6 million;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Maintained $616.4 million in cash and cash equivalents and have nothing drawn under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and NGL Prices</w:t>
      </w:r>
    </w:p>
    <w:p>
      <w:pPr>
        <w:spacing w:after="0" w:line="2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Changes in the market prices for gas, oil and NGL directly impact many aspects of QEP's business, including its financial condition, revenues, results of operations, planned drilling and completion activity and related capital expenditures, liquidity, rate of growth, costs of goods and services required to drill, complete and operate wells, and the carrying value of its oil and natural gas properties. Historically, field-level prices received for QEP's gas, oil and NGL production have been volatile and unpredictable, and that volatility is expected to continue.</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recent years, domestic crude oil and natural gas supplies have grown dramatically, driven by advances in drilling and completion technologies, including horizontal drilling and multi-stage hydraulic fracturing. These changes have allowed producers to extract increased quantities of hydrocarbons from shale, tight sand formations, and other unconventional reservoirs. Increased natural gas supplies, particularly in the eastern portion of the country, have resulted in downward pressure on U.S. natural gas prices and a high degree of pricing variability among different regional natural gas pricing hubs. High natural gas demand in 2014, driven primarily by unusually cold winter weather, resulted in improved natural gas prices in the first half of 2014, but continued growth in production, a more normal winter during the 2014-2015 heating season, and adequate storage levels led to natural gas price declines later in the year, which continued throughout 2015 and into 2016. Similarly, growth in U.S. oil production, global crude oil supplies that exceed global demand, a strong U.S. dollar and the failure of the Organization of Petroleum Exporting Countries (OPEC) countries to cut production, led to a dramatic weakening of global oil prices starting in late 2014, which continued throughout 2015 and into 2016.</w:t>
      </w:r>
    </w:p>
    <w:p>
      <w:pPr>
        <w:spacing w:after="0" w:line="18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NGL prices have also been affected by increased U.S. hydrocarbon production and insufficient domestic demand and export capacity. Prices of heavier NGL components, typically correlated to crude oil prices, have declined consistently with weakening oil prices, while ethane and propane prices have experienced greater declines as a result of growing North American oversupply. In addition, QEP's NGL prices are affected by ethane recovery or rejection. When ethane is recovered as a discrete NGL component instead of being sold as part of the natural gas stream, the average sales price of an NGL barrel decreases as the ethane price is generally lower than the prices of the remaining NGL components. As permitted in some of its processing agreements, QEP recovers ethane when gas processing economics support the recovery of ethane from the natural gas stream. When gas processing economics do not support ethane recovery and processing agreements permit it to do so, QEP rejects ethane from the NGL stream. In instances where QEP can make an election, QEP rejected ethane during the three months ended March 31, 2016, and plans to reject ethane for the remainder of 2016.</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past five years, the posted price for WTI has ranged from a low of $26.19 per barrel in February 2016 to a high of $113.39 per barrel in April 2011. The Henry Hub spot market price of natural gas has ranged from a low of $1.49 per MMBtu in March 2016 to a high of $8.15 per MMBtu in February 2014. Throughout 2015 and into 2016, the prices of crude oil and natural gas decreased dramatically due to over-supplied markets combined with weak and uncertain global demand. If the prices of oil and natural gas continue at current levels or decline further, our operations, financial condition and level of expenditures for the development of our oil and natural gas reserves may be materially and adversely affected.</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Due to increased global economic uncertainty and the corresponding volatility of commodity prices, QEP has built a strong liquidity position to ensure financial flexibility and has reduced drilling and completion activity and planned capital expenditures.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to 75% of its forecasted annual production by the end of the first quarter of each fiscal year. At March 31, 2016, assuming forecasted 2016 annual production of approximately 316 Bcfe, QEP had approximately 76% of its forecasted gas production and 45% of its forecasted oil production covered with fixed-price swaps and collars. The average swap price for the derivative contracts settling in 2016 and 2017 is significantly lower than the average swap price for the derivative contracts settled prior to 2016 and, therefore, QEP's derivative portfolio may not contribute as much to QEP's net realized prices for current and future production. See Part 1, Item 3 – “Quantitative and Qualitative Disclosures about Market Risk—Commodity Price Risk Management” for further details on QEP’s commodity derivatives transactions.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QEP continues to monitor the global economy, including Europe's economic outlook; political unrest in Eastern Europe, the Middle East, and Africa; slowing growth in Asia, particularly in China; the U.S. federal budget deficit; changes in regulatory oversight policy; commodity price volatility; the impact of rising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natural gas, crude oil and NGL supply, demand and prices and the Company's ability to continue its planned drilling programs on federal and Native American lands and could materially impact the Company's financial position, results of operations and cash flow from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Increased oil production in the U.S. over the last five years combined with various other global factors have led to substantially lower oil prices. According to data from the Energy Information Administration (EIA), U.S. oil production has increased by approximately four million barrels per day, or approximately 70%, since 2011. International oil supply disruptions in previous years have prevented oversupply and a corresponding negative price impact, but reduced supply disruptions combined with softening global demand, a stronger U.S. dollar, and other factors have led to substantially lower oil prices starting in late 2014 that continued throughout 2015 and into 2016. As a result, many oil producers around the world are dramatically reducing their drilling activity.</w:t>
      </w:r>
    </w:p>
    <w:p>
      <w:pPr>
        <w:spacing w:after="0" w:line="16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December 2015, the U.S. lifted a 40-year ban on the export of crude oil. U.S. producers now have access to a wider market, and the U.S. could become a significant exporter of oil if the necessary infrastructure is built to support oil exports. QEP anticipates global oil prices will improve in the coming years as supply growth moderates due to lower level of investment and modest demand increases. Disruption to the global oil supply system, political and/or economic instability, fluctuations in currency values, and/or other factors could trigger additional volatility in oil prices.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last five years, the U.S. natural gas directed drilling rig count has decreased as producers reduced drilling activity for dry natural gas in response to lower natural gas prices and directed investment toward oil and liquid-rich projects. Over the same period of time, U.S. natural gas production has continued to grow, particularly in the Marcellus Shale region, due to efficiency gains that have allowed more wells to be drilled and completed per operating rig, higher per-well natural gas production from horizontal wells as a result of investment focused on more prolific resources, and increased amounts of natural gas produced in association with crude oil. As a result, U.S. natural gas production continued to increase throughout 2015 and into 2016, despite the gradually decreasing rig count. Strong natural gas demand from electric power generation, cold winter weather during the 2013-2014 heating season, and other demand sources caused a general firming of natural gas prices during the second half of 2013 and into the first half of 2014. Natural gas prices weakened in the second half of 2014 and continued to decline throughout 2015 and into 2016 due to comparatively mild winter heating demand levels and continued increases in supply. Given the high production and storage inventory levels, QEP expects U.S. natural gas prices to remain range-bound over the near term. Relatively low natural gas prices in recent years caused U.S. exploration and production companies, including QEP, to shift capital investments away from predominantly dry gas areas toward plays that produce crude oil, condensate and liquids-rich gas, but crude oil and liquids-rich gas drilling economics are no longer as compelling due to price declines in crude oil and NGL. Recent dramatic declines in completed well costs in response to lower overall commodity prices have made new well economics in some dry gas areas competitive with liquids-rich gas and crude oil plays, potentially stimulating new capital investment in some gas-prone areas despite current low natural gas prices.</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reallocation of drilling capital to liquids-rich gas and crude oil in response to prolonged depressed natural gas prices has caused domestic NGL production to increase dramatically. Increased NGL production has contributed to a weakening of domestic NGL prices, particularly ethane and propane. QEP expects that ethane prices will continue to be range-bound and ethane processing economics challenged until new ethylene crackers and export facilities are completed, beginning in 2017. Propane prices have also declined as a result of lower crude oil prices and due to crude oil and liquids-rich gas-directed drilling. Increased supply coupled with lower domestic demand as a result of a comparatively mild winter in 2014-2015, resulted in abnormally high inventory levels that further depressed prices. Completion of new propane export capacity in 2014 and 2015 and favorable export economics during the winter of 2015-2016 resulted in a significant decline in propane inventories and firming propane prices despite a mild winter that negatively impacted traditional domestic propane demand. The prices of heavier components of the NGL barrel have weakened as a result of the decline in crude oil prices and also remain challenged.</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transportation, processing, fractionation, cracking, refining, or other infrastructure constraints could introduce significant price differentials between regional markets where QEP sells its production and national (NYMEX HH at Henry Hub or NYMEX WTI at Cushing) and global (ICE Brent) markets. Because of the global and regional price volatility and the uncertainty around the natural gas, crude oil and NGL price environments, QEP continues to manage its capital program and liquidity accordingly and has reduced its capital expenditure budget and drilling and completion activities planned for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carrying value of the Company's properties is sensitive to declines in natural gas, crude oil and NGL prices. The value of these assets are at risk of impairment if future natural gas, crude oil and/or NGL prices decline and/or drilling and completion costs increase. The cash flow model that the Company uses to assess proved properties for impairment includes numerous assumptions, such as management's estimates of future gas, oil and NGL production, market outlook on forward commodity prices, operating and development costs, and discount rates. During the three months ended March 31, 2016, the Company recorded impairments of $1,182.4 million, of which $1,167.9 million was related to impairments of proved properties due to lower future prices, primarily in Pinedale, $10.8 million was related to expiring leaseholds on unproved properties and $3.7 million was related to an impairment of goodwill. During the three months ended March 31, 2015, impairments were $20.0 million, of which $19.4 million was related to proved properties due to lower future prices and $0.6 million was related to expiring leaseholds on unproved properties. If commodity prices decline during 2016, there could be additional impairment charges to our oil and gas assets or other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reduce the costs of well location construction and rig mobilization and demobilization and to obtain other efficiencies, QEP utilizes multi-well pad drilling where practical. In certain of our producing areas, wells drilled on a pad are not brought into production until all wells on the pad are drilled and cased and the drilling rig is moved from the location. As a result, multi-well pad drilling delays the commencement of production. In addition, existing wells that offset new wells being completed by QEP or offset operators may need to be temporarily shut-in during the completion process. Such delays and well shut-ins have caused and may continue to cause volatility in QEP’s quarterly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QEP's significant accounting policies are described in Item 7 of Part II of its 2015 Annual Report on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long-lived assets, asset retirement obligations, revenue recognition, litigation and other contingencies, environmental obligations, derivative contracts, pension and other postretirement benefits, share-based compensation, income taxes and purchase price allocations, among others, may involve a high degree of complexity and judgment on the part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Activity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months ended March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380" w:type="dxa"/>
            <w:vAlign w:val="bottom"/>
            <w:gridSpan w:val="4"/>
          </w:tcPr>
          <w:p>
            <w:pPr>
              <w:ind w:left="640"/>
              <w:spacing w:after="0"/>
              <w:rPr>
                <w:sz w:val="20"/>
                <w:szCs w:val="20"/>
                <w:color w:val="auto"/>
              </w:rPr>
            </w:pPr>
            <w:r>
              <w:rPr>
                <w:rFonts w:ascii="Arial" w:cs="Arial" w:eastAsia="Arial" w:hAnsi="Arial"/>
                <w:sz w:val="18"/>
                <w:szCs w:val="18"/>
                <w:color w:val="auto"/>
                <w:w w:val="95"/>
              </w:rPr>
              <w:t>Operated Completions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3"/>
          </w:tcPr>
          <w:p>
            <w:pPr>
              <w:jc w:val="right"/>
              <w:ind w:right="330"/>
              <w:spacing w:after="0"/>
              <w:rPr>
                <w:sz w:val="20"/>
                <w:szCs w:val="20"/>
                <w:color w:val="auto"/>
              </w:rPr>
            </w:pPr>
            <w:r>
              <w:rPr>
                <w:rFonts w:ascii="Arial" w:cs="Arial" w:eastAsia="Arial" w:hAnsi="Arial"/>
                <w:sz w:val="18"/>
                <w:szCs w:val="18"/>
                <w:color w:val="auto"/>
              </w:rPr>
              <w:t>Non-operated Completions</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Gross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560"/>
              <w:spacing w:after="0"/>
              <w:rPr>
                <w:sz w:val="20"/>
                <w:szCs w:val="20"/>
                <w:color w:val="auto"/>
              </w:rPr>
            </w:pPr>
            <w:r>
              <w:rPr>
                <w:rFonts w:ascii="Arial" w:cs="Arial" w:eastAsia="Arial" w:hAnsi="Arial"/>
                <w:sz w:val="18"/>
                <w:szCs w:val="18"/>
                <w:color w:val="auto"/>
              </w:rPr>
              <w:t>Net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Gross</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6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5260" w:type="dxa"/>
            <w:vAlign w:val="bottom"/>
            <w:tcBorders>
              <w:top w:val="single" w:sz="8" w:color="CCEEFF"/>
            </w:tcBorders>
            <w:gridSpan w:val="2"/>
          </w:tcPr>
          <w:p>
            <w:pPr>
              <w:spacing w:after="0"/>
              <w:rPr>
                <w:sz w:val="21"/>
                <w:szCs w:val="21"/>
                <w:color w:val="auto"/>
              </w:rPr>
            </w:pPr>
          </w:p>
        </w:tc>
        <w:tc>
          <w:tcPr>
            <w:tcW w:w="1400" w:type="dxa"/>
            <w:vAlign w:val="bottom"/>
            <w:tcBorders>
              <w:top w:val="single" w:sz="8" w:color="CCEEFF"/>
            </w:tcBorders>
            <w:gridSpan w:val="3"/>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16.8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r>
      <w:tr>
        <w:trPr>
          <w:trHeight w:val="243"/>
        </w:trPr>
        <w:tc>
          <w:tcPr>
            <w:tcW w:w="40" w:type="dxa"/>
            <w:vAlign w:val="bottom"/>
          </w:tcPr>
          <w:p>
            <w:pPr>
              <w:spacing w:after="0"/>
              <w:rPr>
                <w:sz w:val="21"/>
                <w:szCs w:val="21"/>
                <w:color w:val="auto"/>
              </w:rPr>
            </w:pPr>
          </w:p>
        </w:tc>
        <w:tc>
          <w:tcPr>
            <w:tcW w:w="656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0.0</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400" w:type="dxa"/>
            <w:vAlign w:val="bottom"/>
            <w:tcBorders>
              <w:bottom w:val="single" w:sz="8" w:color="CCEEFF"/>
            </w:tcBorders>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660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4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1400" w:type="dxa"/>
            <w:vAlign w:val="bottom"/>
            <w:tcBorders>
              <w:bottom w:val="single" w:sz="8" w:color="CCEEFF"/>
            </w:tcBorders>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6560" w:type="dxa"/>
            <w:vAlign w:val="bottom"/>
            <w:gridSpan w:val="3"/>
          </w:tcPr>
          <w:p>
            <w:pPr>
              <w:ind w:left="140"/>
              <w:spacing w:after="0"/>
              <w:rPr>
                <w:sz w:val="20"/>
                <w:szCs w:val="20"/>
                <w:color w:val="auto"/>
              </w:rPr>
            </w:pPr>
            <w:r>
              <w:rPr>
                <w:rFonts w:ascii="Arial" w:cs="Arial" w:eastAsia="Arial" w:hAnsi="Arial"/>
                <w:sz w:val="18"/>
                <w:szCs w:val="18"/>
                <w:color w:val="auto"/>
              </w:rPr>
              <w:t>Permian Basin</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1400" w:type="dxa"/>
            <w:vAlign w:val="bottom"/>
            <w:tcBorders>
              <w:bottom w:val="single" w:sz="8" w:color="CCEEFF"/>
            </w:tcBorders>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6600" w:type="dxa"/>
            <w:vAlign w:val="bottom"/>
            <w:gridSpan w:val="4"/>
          </w:tcPr>
          <w:p>
            <w:pPr>
              <w:jc w:val="right"/>
              <w:ind w:right="71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presents operated and non-operated wells drilling or waiting on completion at March 31,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ind w:left="28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820"/>
              <w:spacing w:after="0"/>
              <w:rPr>
                <w:sz w:val="20"/>
                <w:szCs w:val="20"/>
                <w:color w:val="auto"/>
              </w:rPr>
            </w:pPr>
            <w:r>
              <w:rPr>
                <w:rFonts w:ascii="Arial" w:cs="Arial" w:eastAsia="Arial" w:hAnsi="Arial"/>
                <w:sz w:val="18"/>
                <w:szCs w:val="18"/>
                <w:color w:val="auto"/>
              </w:rPr>
              <w:t>Drilling</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Drilling</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260"/>
              <w:spacing w:after="0"/>
              <w:rPr>
                <w:sz w:val="20"/>
                <w:szCs w:val="20"/>
                <w:color w:val="auto"/>
              </w:rPr>
            </w:pPr>
            <w:r>
              <w:rPr>
                <w:rFonts w:ascii="Arial" w:cs="Arial" w:eastAsia="Arial" w:hAnsi="Arial"/>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44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4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Pinedale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Williston Basin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Uinta Basin</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Northern</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4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Haynesville/Cotton Valley</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Permian Basin</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Southern</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typically utilizes multi-well pad drilling where practical. Wells drilled are not brought into production until all wells on the pad are drilled and completed and the drilling rig is moved from the location. QEP sometimes suspends completion activities due to adverse weather conditions, operational factors or other macroeconomic circumstances, such as low commodity prices. As a result, QEP had 55 gross operated wells waiting on completion as of March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QEP generated net loss during the first quarter of 2016 of $863.8 million, or $4.55 per diluted share, compared to net loss of $55.6 million, or $0.32 per diluted share, in the first quarter of 2015. QEP's increase in net loss was primarily due to an increase in impairment expense of $1,162.4 million, a 31% decrease in average field-level prices, a $44.6 million increase in depreciation, depletion and amortization and a $40.0 million decrease in realized derivative gains. These changes were partially offset by a 10% increase in natural gas equivalent production, a $10.0 million decrease in unrealized derivative losses and lower operating expenses in the first quarter of 2016 compared to the first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Management believes Adjusted EBITDA (a non-GAAP measure) is an important measure of the Company's financial and operating performance that allows investors to understand how management evaluates financial performance to make operating decisions and allocate resources.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20" w:type="dxa"/>
            <w:vAlign w:val="bottom"/>
            <w:gridSpan w:val="3"/>
          </w:tcPr>
          <w:p>
            <w:pPr>
              <w:jc w:val="right"/>
              <w:ind w:right="650"/>
              <w:spacing w:after="0"/>
              <w:rPr>
                <w:sz w:val="20"/>
                <w:szCs w:val="20"/>
                <w:color w:val="auto"/>
              </w:rPr>
            </w:pPr>
            <w:r>
              <w:rPr>
                <w:rFonts w:ascii="Arial" w:cs="Arial" w:eastAsia="Arial" w:hAnsi="Arial"/>
                <w:sz w:val="18"/>
                <w:szCs w:val="18"/>
                <w:color w:val="auto"/>
              </w:rPr>
              <w:t>(in millions)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36.7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(498.9)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195.4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Unrealized (gain) loss on derivative contracts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1,182.4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222.8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40" w:hanging="314"/>
        <w:spacing w:after="0" w:line="239" w:lineRule="auto"/>
        <w:tabs>
          <w:tab w:leader="none" w:pos="66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Reflects additional legal expenses that the Company believes do not reflect expected future operating performance or provide meaningful comparisons to past operating performance and therefore they have been excluded from the calculation of Adjusted EBITDA.</w:t>
      </w:r>
    </w:p>
    <w:p>
      <w:pPr>
        <w:spacing w:after="0" w:line="20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Adjusted EBITDA decreased to $115.1 million in the first quarter of 2016 from $222.8 million in the first quarter of 2015, due to a 31% decrease in the average equivalent field-level prices and lower realized gains on derivative contracts, partially offset by a 10% increase in natural gas equivalent production.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shows volume and price related changes for each of QEP’s major revenue categories for the three months ended March 31, 2016, compared to the three months ended March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Three months ended March 31, 2015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(115.8)</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2016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0" w:hanging="314"/>
        <w:spacing w:after="0" w:line="239"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three months ended March 31, 2016, as compared to the three months ended March 31, 2015, by the average field-level price for the three months ended March 31, 2015.</w:t>
      </w:r>
    </w:p>
    <w:p>
      <w:pPr>
        <w:spacing w:after="0" w:line="1" w:lineRule="exact"/>
        <w:rPr>
          <w:rFonts w:ascii="Arial" w:cs="Arial" w:eastAsia="Arial" w:hAnsi="Arial"/>
          <w:sz w:val="22"/>
          <w:szCs w:val="22"/>
          <w:color w:val="auto"/>
          <w:vertAlign w:val="superscript"/>
        </w:rPr>
      </w:pPr>
    </w:p>
    <w:p>
      <w:pPr>
        <w:jc w:val="both"/>
        <w:ind w:left="660" w:right="320" w:hanging="314"/>
        <w:spacing w:after="0" w:line="233"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revenue variance attributed to the change in price is calculated by multiplying the change in average field-level prices from the three months ended March 31, 2016, as compared to the three months ended March 31, 2015, by volumes for the three months ended March 31, 2016. Pricing changes are driven by changes in commodity field-level prices, excluding the impact from commodity derivatives.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 Volumes and Prices</w:t>
            </w:r>
          </w:p>
        </w:tc>
        <w:tc>
          <w:tcPr>
            <w:tcW w:w="2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40" w:type="dxa"/>
            <w:vAlign w:val="bottom"/>
            <w:gridSpan w:val="6"/>
          </w:tcPr>
          <w:p>
            <w:pPr>
              <w:jc w:val="right"/>
              <w:spacing w:after="0"/>
              <w:rPr>
                <w:sz w:val="20"/>
                <w:szCs w:val="20"/>
                <w:color w:val="auto"/>
              </w:rPr>
            </w:pPr>
            <w:r>
              <w:rPr>
                <w:rFonts w:ascii="Arial" w:cs="Arial" w:eastAsia="Arial" w:hAnsi="Arial"/>
                <w:sz w:val="18"/>
                <w:szCs w:val="18"/>
                <w:color w:val="auto"/>
                <w:w w:val="94"/>
              </w:rPr>
              <w:t>Three Months Ended March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2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vMerge w:val="continue"/>
          </w:tcPr>
          <w:p>
            <w:pPr>
              <w:spacing w:after="0"/>
              <w:rPr>
                <w:sz w:val="20"/>
                <w:szCs w:val="20"/>
                <w:color w:val="auto"/>
              </w:rPr>
            </w:pPr>
          </w:p>
        </w:tc>
        <w:tc>
          <w:tcPr>
            <w:tcW w:w="2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color w:val="auto"/>
              </w:rPr>
              <w:t>Northern Region</w:t>
            </w:r>
          </w:p>
        </w:tc>
        <w:tc>
          <w:tcPr>
            <w:tcW w:w="2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7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2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Williston Basin</w:t>
            </w:r>
          </w:p>
        </w:tc>
        <w:tc>
          <w:tcPr>
            <w:tcW w:w="2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29.4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2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2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9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2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2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Other Southern</w:t>
            </w:r>
          </w:p>
        </w:tc>
        <w:tc>
          <w:tcPr>
            <w:tcW w:w="2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9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2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3"/>
            <w:vMerge w:val="continue"/>
          </w:tcPr>
          <w:p>
            <w:pPr>
              <w:spacing w:after="0"/>
              <w:rPr>
                <w:sz w:val="20"/>
                <w:szCs w:val="20"/>
                <w:color w:val="auto"/>
              </w:rPr>
            </w:pPr>
          </w:p>
        </w:tc>
        <w:tc>
          <w:tcPr>
            <w:tcW w:w="2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equivalent field-level price</w:t>
            </w:r>
          </w:p>
        </w:tc>
        <w:tc>
          <w:tcPr>
            <w:tcW w:w="388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0.75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realized equivalent price</w:t>
            </w:r>
          </w:p>
        </w:tc>
        <w:tc>
          <w:tcPr>
            <w:tcW w:w="3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3.68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26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40" w:type="dxa"/>
            <w:vAlign w:val="bottom"/>
            <w:gridSpan w:val="6"/>
          </w:tcPr>
          <w:p>
            <w:pPr>
              <w:jc w:val="right"/>
              <w:spacing w:after="0"/>
              <w:rPr>
                <w:sz w:val="20"/>
                <w:szCs w:val="20"/>
                <w:color w:val="auto"/>
              </w:rPr>
            </w:pPr>
            <w:r>
              <w:rPr>
                <w:rFonts w:ascii="Arial" w:cs="Arial" w:eastAsia="Arial" w:hAnsi="Arial"/>
                <w:sz w:val="18"/>
                <w:szCs w:val="18"/>
                <w:color w:val="auto"/>
                <w:w w:val="94"/>
              </w:rPr>
              <w:t>Three Months Ended March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708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57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6"/>
              </w:rPr>
              <w:t>21.7</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7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0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9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43.4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i w:val="1"/>
                <w:iCs w:val="1"/>
                <w:color w:val="auto"/>
              </w:rPr>
              <w:t>Gas prices (per Mcf)</w:t>
            </w:r>
          </w:p>
        </w:tc>
        <w:tc>
          <w:tcPr>
            <w:tcW w:w="9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920" w:type="dxa"/>
            <w:vAlign w:val="bottom"/>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1.98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Gas revenues decreased $36.9 million, or 30%, in the first quarter of 2016 compared to the first quarter of 2015, due to lower field-level prices, partially offset by higher gas production. Average field-level gas prices decreased 32% in the first quarter of 2016 compared to the first quarter of 2015 driven by a decrease in average NYMEX-HH natural gas prices for the comparable period. The 2% increase in production volumes was primarily driven by comparatively strong well completions in Pinedale and the Uinta, Permian and Williston basins. These production increases were partially offset by a production decrease in Haynesville/Cotton Valley due to the continued suspension of QEP's operated drilling program and the continued divestitures of non-core Other Southern properties.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70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right"/>
              <w:spacing w:after="0"/>
              <w:rPr>
                <w:sz w:val="20"/>
                <w:szCs w:val="20"/>
                <w:color w:val="auto"/>
              </w:rPr>
            </w:pPr>
            <w:r>
              <w:rPr>
                <w:rFonts w:ascii="Arial" w:cs="Arial" w:eastAsia="Arial" w:hAnsi="Arial"/>
                <w:sz w:val="18"/>
                <w:szCs w:val="18"/>
                <w:color w:val="auto"/>
              </w:rPr>
              <w:t>Three Months Ended March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708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57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176.3</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7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1,019.4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0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5,176.4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4,481.4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26.72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Oil revenues decreased $35.0 million, or 20%, in the first quarter of 2016 compared to the first quarter of 2015, due to lower average field-level prices, partially offset by higher volumes. Average field-level oil prices decreased 30% in the first quarter of 2016 compared to the first quarter of 2015 driven by a decrease in average NYMEX-WTI and ICE Brent oil prices for the comparable periods. The 16% increase in production volumes was primarily driven by increases in the Permian and Williston basins due to continued development drilling. These production increases were partially offset by a production decrease in Other Southern due to the continued divestitures of non-core properties.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6"/>
          </w:tcPr>
          <w:p>
            <w:pPr>
              <w:jc w:val="right"/>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54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402.0</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313.0</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67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262.1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1,365.0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4" w:right="239" w:bottom="1440" w:gutter="0" w:footer="0" w:header="0"/>
          <w:type w:val="continuous"/>
        </w:sectPr>
      </w:pPr>
    </w:p>
    <w:bookmarkStart w:id="30" w:name="page31"/>
    <w:bookmarkEnd w:id="30"/>
    <w:p>
      <w:pPr>
        <w:ind w:right="20"/>
        <w:spacing w:after="0" w:line="255" w:lineRule="auto"/>
        <w:rPr>
          <w:sz w:val="20"/>
          <w:szCs w:val="20"/>
          <w:color w:val="auto"/>
        </w:rPr>
      </w:pPr>
      <w:r>
        <w:rPr>
          <w:rFonts w:ascii="Arial" w:cs="Arial" w:eastAsia="Arial" w:hAnsi="Arial"/>
          <w:sz w:val="18"/>
          <w:szCs w:val="18"/>
          <w:color w:val="auto"/>
        </w:rPr>
        <w:t>NGL revenues decreased $5.5 million, or 29%, during the first quarter of 2016 compared to the first quarter of 2015, due to lower average field-level prices, partially offset by increased production volumes. NGL prices decreased 50% during the first quarter of 2016 compared to the first quarter of 2015, which was driven by a significant decrease in the pricing of the NGL components, particularly the heavier components, which have weakened as a result of the decline in crude oil prices. The 44% increase in production volumes was primarily a result of increased development drilling and well completions in the Pinedale and the Williston and Permian basins, partially offset by a decrease in production in the Uinta Basin due to refrigeration processing of gas in the first quarter of 2016 compared to cryogenic processing in the first quarter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Margin</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QEP purchases and resells gas and oil primarily to mitigate losses on unutilized capacity related to firm transportation commitments and storage activities. The difference between the price of products purchased and sold, net of transportation costs, creates a resale margin that represents a gain or loss for the Company. The following table is a summary of QEP's financial results from its resale activities.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0" w:type="dxa"/>
            <w:vAlign w:val="bottom"/>
            <w:gridSpan w:val="6"/>
          </w:tcPr>
          <w:p>
            <w:pPr>
              <w:jc w:val="center"/>
              <w:ind w:left="50"/>
              <w:spacing w:after="0"/>
              <w:rPr>
                <w:sz w:val="20"/>
                <w:szCs w:val="20"/>
                <w:color w:val="auto"/>
              </w:rPr>
            </w:pPr>
            <w:r>
              <w:rPr>
                <w:rFonts w:ascii="Arial" w:cs="Arial" w:eastAsia="Arial" w:hAnsi="Arial"/>
                <w:sz w:val="18"/>
                <w:szCs w:val="18"/>
                <w:color w:val="auto"/>
                <w:w w:val="90"/>
              </w:rPr>
              <w:t>Three Months Ended March 31,</w:t>
            </w: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w w:val="98"/>
              </w:rPr>
              <w:t>Change</w:t>
            </w:r>
          </w:p>
        </w:tc>
      </w:tr>
      <w:tr>
        <w:trPr>
          <w:trHeight w:val="27"/>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and oil sales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Purchased gas and oil expense</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129.0</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storage derivative instruments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a result of the termination of QEP Marketing agreements effective January 1, 2016, QEP is no longer the first purchaser of other working interest owner production. As such, QEP is reporting lower resale revenue and expenses in the first quarter of 2016 than it had in prior periods. For additional details, see Note 1 – Basis of Presentation in Part I, Item 1 of this Quarterly Report on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7080" w:type="dxa"/>
            <w:vAlign w:val="bottom"/>
          </w:tcPr>
          <w:p>
            <w:pPr>
              <w:spacing w:after="0"/>
              <w:rPr>
                <w:sz w:val="20"/>
                <w:szCs w:val="20"/>
                <w:color w:val="auto"/>
              </w:rPr>
            </w:pPr>
            <w:r>
              <w:rPr>
                <w:rFonts w:ascii="Arial" w:cs="Arial" w:eastAsia="Arial" w:hAnsi="Arial"/>
                <w:sz w:val="18"/>
                <w:szCs w:val="18"/>
                <w:color w:val="auto"/>
              </w:rPr>
              <w:t>The following table presents QEP production costs on a per unit of production basis: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40" w:type="dxa"/>
            <w:vAlign w:val="bottom"/>
            <w:gridSpan w:val="6"/>
          </w:tcPr>
          <w:p>
            <w:pPr>
              <w:jc w:val="center"/>
              <w:ind w:left="10"/>
              <w:spacing w:after="0"/>
              <w:rPr>
                <w:sz w:val="20"/>
                <w:szCs w:val="20"/>
                <w:color w:val="auto"/>
              </w:rPr>
            </w:pPr>
            <w:r>
              <w:rPr>
                <w:rFonts w:ascii="Arial" w:cs="Arial" w:eastAsia="Arial" w:hAnsi="Arial"/>
                <w:sz w:val="18"/>
                <w:szCs w:val="18"/>
                <w:color w:val="auto"/>
                <w:w w:val="90"/>
              </w:rPr>
              <w:t>Three Months Ended March 31,</w:t>
            </w:r>
          </w:p>
        </w:tc>
        <w:tc>
          <w:tcPr>
            <w:tcW w:w="98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88"/>
              </w:rPr>
              <w:t>Change</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(per Mcfe)</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operating expense</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Gas, oil and NGL transportation and other handling costs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0.89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property taxes</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0.22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Total production costs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1.84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 (LOE). </w:t>
      </w:r>
      <w:r>
        <w:rPr>
          <w:rFonts w:ascii="Arial" w:cs="Arial" w:eastAsia="Arial" w:hAnsi="Arial"/>
          <w:sz w:val="18"/>
          <w:szCs w:val="18"/>
          <w:color w:val="auto"/>
        </w:rPr>
        <w:t>QEP’s LOE was $60.0 million, a decrease of $1.8 million, or $0.09 per Mcfe, during the first quarter of 2016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quarter of 2015. The decrease was driven by a decrease in the Permian Basin as a result of lower chemical, maintenance, repairs and workover expenses and a decrease in Other Southern as a result of continued divestitures of non-core properties. Partially offsetting the decrease was an increase in the Williston Basin due to increased maintenance, repairs and workover expenses.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Gas, oil and NGL transportation and other handling costs. </w:t>
      </w:r>
      <w:r>
        <w:rPr>
          <w:rFonts w:ascii="Arial" w:cs="Arial" w:eastAsia="Arial" w:hAnsi="Arial"/>
          <w:sz w:val="17"/>
          <w:szCs w:val="17"/>
          <w:color w:val="auto"/>
        </w:rPr>
        <w:t>Gas, oil and NGL transportation and other handling costs were $73.6 million, an increase of $8.5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$0.02 per Mcfe, during the first quarter of 2016 compared to the first quarter of 2015. The $8.5 million increase in expense was primarily attributable to an increase in Pinedale and the Permian and Williston basins due to an increase in production volumes and slightly higher rates. These increases were partially offset by a decrease in Haynesville/Cotton Valley due to declining production volumes and a rate decrease in the Uinta Basin which is a result of refrigeration processing of gas in the first quarter of 2016 compared to cryogenic processing in the first quarter of 2015.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1" w:name="page32"/>
    <w:bookmarkEnd w:id="31"/>
    <w:p>
      <w:pPr>
        <w:spacing w:after="0" w:line="312" w:lineRule="auto"/>
        <w:rPr>
          <w:sz w:val="20"/>
          <w:szCs w:val="20"/>
          <w:color w:val="auto"/>
        </w:rPr>
      </w:pPr>
      <w:r>
        <w:rPr>
          <w:rFonts w:ascii="Arial" w:cs="Arial" w:eastAsia="Arial" w:hAnsi="Arial"/>
          <w:sz w:val="16"/>
          <w:szCs w:val="16"/>
          <w:b w:val="1"/>
          <w:bCs w:val="1"/>
          <w:i w:val="1"/>
          <w:iCs w:val="1"/>
          <w:color w:val="auto"/>
        </w:rPr>
        <w:t xml:space="preserve">Production and property taxes. </w:t>
      </w:r>
      <w:r>
        <w:rPr>
          <w:rFonts w:ascii="Arial" w:cs="Arial" w:eastAsia="Arial" w:hAnsi="Arial"/>
          <w:sz w:val="16"/>
          <w:szCs w:val="16"/>
          <w:color w:val="auto"/>
        </w:rPr>
        <w:t>In most states in which QEP operates, QEP pays production taxes based on a percentage of field-level revenue, except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Louisiana, where severance taxes are volume-based. Production and property taxes were $17.8 million, a decrease of $10.0 million, or $0.15 per Mcfe, during the first quarter of 2016 primarily as a result of decreased gas, oil and NGL revenues from lower field-level prices and production tax refunds.</w:t>
      </w:r>
    </w:p>
    <w:p>
      <w:pPr>
        <w:spacing w:after="0" w:line="14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Depreciation, depletion and amortization (DD&amp;A). </w:t>
      </w:r>
      <w:r>
        <w:rPr>
          <w:rFonts w:ascii="Arial" w:cs="Arial" w:eastAsia="Arial" w:hAnsi="Arial"/>
          <w:sz w:val="16"/>
          <w:szCs w:val="16"/>
          <w:color w:val="auto"/>
        </w:rPr>
        <w:t>DD&amp;A expense was $240.0 million, an increase of $44.6 million in the first quarter of 2016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first quarter of 2015, due to increases in Pinedale and the Permian, Uinta and Williston basins. The increases in Pinedale and the Permian and Uinta basins were primarily due to increased depletion rates from lower year-end 2015 reserves, combined with increased production. The increase in the Williston Basin relates to increased production, partially offset by a decrease in the depletion rate due to an increase in year-end 2015 reserves.</w:t>
      </w:r>
    </w:p>
    <w:p>
      <w:pPr>
        <w:spacing w:after="0" w:line="15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Impairment expense. </w:t>
      </w:r>
      <w:r>
        <w:rPr>
          <w:rFonts w:ascii="Arial" w:cs="Arial" w:eastAsia="Arial" w:hAnsi="Arial"/>
          <w:sz w:val="16"/>
          <w:szCs w:val="16"/>
          <w:color w:val="auto"/>
        </w:rPr>
        <w:t>Impairment expense was $1,182.4 million for the first quarter of 2016, of which $1,167.9 million was related to proved properties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lower future prices, $10.8 million was related to expiring leaseholds on unproved properties and $3.7 million was related to goodwill. Of the $1,167.9 million impairment on proved properties, $1,164.0 million related to Pinedale properties, $3.5 million related to Other Northern properties and $0.4 million related to Other Southern properties. Impairment expense was $20.0 million for the first quarter of 2015, of which $19.4 million was related to proved properties due to lower future prices and $0.6 million was related to expiring leaseholds on unproved properties. Of the $19.4 million impairment on proved properties, $14.5 million related to Other Southern properties and $4.9 million related to Other Northern properties.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 (G&amp;A). </w:t>
      </w:r>
      <w:r>
        <w:rPr>
          <w:rFonts w:ascii="Arial" w:cs="Arial" w:eastAsia="Arial" w:hAnsi="Arial"/>
          <w:sz w:val="18"/>
          <w:szCs w:val="18"/>
          <w:color w:val="auto"/>
        </w:rPr>
        <w:t>During the first quarter of 2016, G&amp;A expense was $48.7 million, an increase of $1.3 million, or 3%,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first quarter of 2015, due to an increase in legal expenses in the first quarter of 2016, partially offset by a decrease in labor, benefits and other employee expenses.</w:t>
      </w:r>
    </w:p>
    <w:p>
      <w:pPr>
        <w:spacing w:after="0" w:line="18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 xml:space="preserve">Net gain (loss) from asset sales. </w:t>
      </w:r>
      <w:r>
        <w:rPr>
          <w:rFonts w:ascii="Arial" w:cs="Arial" w:eastAsia="Arial" w:hAnsi="Arial"/>
          <w:sz w:val="17"/>
          <w:szCs w:val="17"/>
          <w:color w:val="auto"/>
        </w:rPr>
        <w:t>QEP recognized a gain on the sale of assets of $0.5 million during the first quarter of 2016 compared to a loss on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$30.5 million in the first quarter of 2015. The gain on sale of assets in the first quarter of 2016 was primarily related to continued divestitures of non-core Other Southern properties. The loss on sale of assets recognized during the first quarter of 2015 was primarily due to $28.6 million in post-closing adjustments related to QEP Energy's sale of its interest in non-core Other Southern properties in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Realized and unrealized gains (losses) on derivative contracts. </w:t>
      </w:r>
      <w:r>
        <w:rPr>
          <w:rFonts w:ascii="Arial" w:cs="Arial" w:eastAsia="Arial" w:hAnsi="Arial"/>
          <w:sz w:val="18"/>
          <w:szCs w:val="18"/>
          <w:color w:val="auto"/>
        </w:rPr>
        <w:t>Gains and losses on derivative contracts are comprised of both realized and unrealized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losses on QEP’s commodity derivative contracts, which are marked-to-market each quarter. During the first quarter of 2016, gains on commodity derivative contracts were $50.9 million, of which $64.4 million were realized gains and $13.5 million were unrealized losses. During the first quarter of 2015, gains on commodity derivative contracts were $80.9 million, of which $104.4 million were realized gains, partially offset by $23.5 million of unrealized losses.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flat during the three months ended March 31, 2016, compared to the three months ended March 31, 2015,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average outstanding debt levels for the comparable periods.</w:t>
      </w:r>
    </w:p>
    <w:p>
      <w:pPr>
        <w:spacing w:after="0" w:line="17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Income tax benefit was $498.9 million during the first quarter of 2016 compared to $31.5 million of benefit during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2015. The income tax rate was 36.6% during the first quarter of 2016 compared to a rate of 36.2% during the first quarter of 2015. The increase in income tax rate was primarily the result of an increase in the state tax rate due to a change in the composition of income between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plans to fund its development projects by employing a capital structure and financing strategy that will provide sufficient liquidity to withstand commodity price volatility. As a part of this strategy, QEP maintains a commodity price derivative strategy to reduce the financial impact of commodity price volatility and to provide some certainty to QEP's cash flows. In response to the current commodity price environment, QEP reduced drilling and completion activity, slowed production growth and preserved liquidity in 2015 and in the first quarter of 2016 and plan to continue these strategies for the remainder of 2016. In February 2016, the Board of Directors indefinitely suspended the payment of quarterly dividends and authorized issuance of additional shares of QEP common stock.</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Generally, QEP funds its operations, capital expenditures and working capital requirements with cash flow from its operating activities and borrowings under its credit facility. To provide additional liquidity, QEP also periodically accesses debt and equity markets and sells non-core assets. In March 2016, QEP issued 37.95 million additional shares of common stock through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2" w:name="page33"/>
    <w:bookmarkEnd w:id="32"/>
    <w:p>
      <w:pPr>
        <w:ind w:right="120"/>
        <w:spacing w:after="0" w:line="255" w:lineRule="auto"/>
        <w:rPr>
          <w:sz w:val="20"/>
          <w:szCs w:val="20"/>
          <w:color w:val="auto"/>
        </w:rPr>
      </w:pPr>
      <w:r>
        <w:rPr>
          <w:rFonts w:ascii="Arial" w:cs="Arial" w:eastAsia="Arial" w:hAnsi="Arial"/>
          <w:sz w:val="18"/>
          <w:szCs w:val="18"/>
          <w:color w:val="auto"/>
        </w:rPr>
        <w:t>a public equity offering and received net proceeds of approximately $368.6 million. QEP expects to use the proceeds from this offering for general corporate purposes, which may include, among other things, reducing indebtedness, acquiring properties and funding a portion of the Company's exploration and production activities and working capital. The Company expects cash flow from operations, cash on hand and availability under its credit facility will be sufficient to fund the Company’s planned capital expenditures, operating expenses and repayment of maturing debt during the next 12 months and the foreseeable future. To the extent actual operating results or actual commodity prices differ from the Company’s assumptions, QEP's liquidity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QEP’s available liquidity and debt to equity ratio as of March 31, 2016 compared to December 31,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2016</w:t>
            </w:r>
          </w:p>
        </w:tc>
        <w:tc>
          <w:tcPr>
            <w:tcW w:w="260" w:type="dxa"/>
            <w:vAlign w:val="bottom"/>
          </w:tcPr>
          <w:p>
            <w:pPr>
              <w:spacing w:after="0"/>
              <w:rPr>
                <w:sz w:val="20"/>
                <w:szCs w:val="20"/>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color w:val="auto"/>
                <w:w w:val="97"/>
              </w:rPr>
              <w:t>December 31, 2015</w:t>
            </w:r>
          </w:p>
        </w:tc>
      </w:tr>
      <w:tr>
        <w:trPr>
          <w:trHeight w:val="27"/>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4"/>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60" w:type="dxa"/>
            <w:vAlign w:val="bottom"/>
            <w:gridSpan w:val="4"/>
          </w:tcPr>
          <w:p>
            <w:pPr>
              <w:jc w:val="right"/>
              <w:ind w:right="1370"/>
              <w:spacing w:after="0"/>
              <w:rPr>
                <w:sz w:val="20"/>
                <w:szCs w:val="20"/>
                <w:color w:val="auto"/>
              </w:rPr>
            </w:pPr>
            <w:r>
              <w:rPr>
                <w:rFonts w:ascii="Arial" w:cs="Arial" w:eastAsia="Arial" w:hAnsi="Arial"/>
                <w:sz w:val="18"/>
                <w:szCs w:val="18"/>
                <w:color w:val="auto"/>
              </w:rPr>
              <w:t>(in millions, except %)</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376.1</w:t>
            </w:r>
          </w:p>
        </w:tc>
      </w:tr>
      <w:tr>
        <w:trPr>
          <w:trHeight w:val="270"/>
        </w:trPr>
        <w:tc>
          <w:tcPr>
            <w:tcW w:w="6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QEP credit facility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1,797.2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1,796.3</w:t>
            </w:r>
          </w:p>
        </w:tc>
      </w:tr>
      <w:tr>
        <w:trPr>
          <w:trHeight w:val="257"/>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2,413.6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2,172.4</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2,192.9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2,191.5</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3,947.9</w:t>
            </w:r>
          </w:p>
        </w:tc>
      </w:tr>
      <w:tr>
        <w:trPr>
          <w:trHeight w:val="252"/>
        </w:trPr>
        <w:tc>
          <w:tcPr>
            <w:tcW w:w="684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8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ind w:left="660" w:right="160" w:hanging="314"/>
        <w:spacing w:after="0" w:line="211"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See discussion of revolving credit facility below. Availability under QEP's credit facility is reduced by $2.8 million and $3.4 million of outstanding letters of credit as of March 31, 2016 and December 31, 2015, respectively.</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 The credit agreement contains financial covenants (as defined in the credit agreement) that limit the amount of debt the Company may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and 3.75 times thereafter and (iii) a present value coverage ratio under which the present value of the Company’s proved reserves must exceed net funded debt by 1.25 times at any time prior to January 1, 2018, and 1.50 times at any time on or after January 1, 2018.</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March 31, 2016 and December 31, 2015, QEP had no borrowings outstanding under the credit facility, had $2.8 million and $3.4 million, respectively, in letters of credit outstanding under the credit facility, and was in compliance with the covenants under the credit agreement. As of April 22, 2016, QEP had no borrowings outstanding under the credit facility, had $2.8 million of letters of credit outstanding under the credit facility and was in compliance with the covenants under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Company’s senior notes outstanding as of March 31, 2016, totaled $2,221.8 million principal amount and are comprised of six issuances as follows:</w:t>
      </w:r>
    </w:p>
    <w:p>
      <w:pPr>
        <w:spacing w:after="0" w:line="22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$500.0 million 5.375% Senior Notes due October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flows from operations are primarily affected by gas, oil and NGL production volumes and commodity prices (including the effects of settlements of the Company’s derivative contracts) and by changes in working capital. QEP typically enters into commodity derivative transactions covering a substantial, but varying, portion of its anticipated future gas, oil and NGL production for the next 12 to 36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from operating activities is presented below:</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722.5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440.1</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354.4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cash provided by operating activities was $81.7 million during the first three months of 2016, which included a $863.8 million net loss, $998.1 million of non-cash adjustments to the net loss and a $52.6 million decrease in operating assets and liabilities. Non-cash adjustments to the net loss primarily included impairment expense of $1,182.4 million and DD&amp;A expense of $240.0 million, partially offset by a decrease in deferred income taxes of $446.7 million. The decrease in operating assets and liabilities primarily included a decrease in accounts payable and accrued expenses of $119.6 million and an increase in income taxes receivable of $82.8 million, partially offset by a decrease in accounts receivable of $135.0 million.</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Net cash used in operating activities was $272.7 million during the first three months of 2015, which included a $55.6 million net loss, $275.6 million of non-cash adjustments to the net loss and a $492.7 million decrease in operating assets and liabilities. Non-cash adjustments to the net loss primarily included DD&amp;A expense of $195.4 million, net loss from asset sales of $30.5 million, impairment expense of $20.0 million and unrealized loss on derivative contracts of $23.5 million. The decrease in operating assets and liabilities primarily related to a decrease in income taxes payable from the gain on the sale of our midstream assets; the income taxes related to such gain were paid in the first quarter of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capital expenditures for the first three months of 2016 and 2015, are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gridSpan w:val="5"/>
          </w:tcPr>
          <w:p>
            <w:pPr>
              <w:jc w:val="center"/>
              <w:ind w:right="1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20"/>
                <w:szCs w:val="20"/>
                <w:color w:val="auto"/>
              </w:rPr>
            </w:pPr>
          </w:p>
        </w:tc>
      </w:tr>
      <w:tr>
        <w:trPr>
          <w:trHeight w:val="270"/>
        </w:trPr>
        <w:tc>
          <w:tcPr>
            <w:tcW w:w="7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31,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 capital expenditures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157.0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(125.9)</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Change in accruals and other non-cash adjustments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capital expenditures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first three months of 2016, on an accrual basis, the Company invested $157.0 million on property, plant and equipment capital expenditures, a decrease of $125.9 million compared to the first three months of 2015. In the first three months of 2016, QEP's capital expenditures were $83.7 million in the Williston Basin, $42.4 million in the Permian Basin, $10.6 million in the Uinta Basin, $9.9 million in Pinedale and $9.1 million in Haynesville/Cotton Valley. In addition, in the first three months of 2016, QEP acquired various oil and gas properties, in the Williston and Permian basins, primarily to acquire additional interests in QEP's operated wells and the associated leasehold, for a total purchase price of $21.0 million, of which $14.8 million was cash and $6.2 million was related to the settlement of an accounts receivable balance.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4" w:name="page35"/>
    <w:bookmarkEnd w:id="34"/>
    <w:p>
      <w:pPr>
        <w:jc w:val="both"/>
        <w:ind w:right="340"/>
        <w:spacing w:after="0" w:line="264" w:lineRule="auto"/>
        <w:rPr>
          <w:sz w:val="20"/>
          <w:szCs w:val="20"/>
          <w:color w:val="auto"/>
        </w:rPr>
      </w:pPr>
      <w:r>
        <w:rPr>
          <w:rFonts w:ascii="Arial" w:cs="Arial" w:eastAsia="Arial" w:hAnsi="Arial"/>
          <w:sz w:val="18"/>
          <w:szCs w:val="18"/>
          <w:color w:val="auto"/>
        </w:rPr>
        <w:t>In the first three months of 2015, on an accrual basis, the Company invested $282.9 million on property, plant and equipment capital expenditures, which included $150.6 million in the Williston Basin, $56.2 million in the Permian Basin, $34.3 million in Pinedale, $17.7 million in the Uinta Basin, and $17.7 million in Haynesville/Cotton Valley.</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2016, QEP has significantly reduced its planned capital expenditures for 2016 as compared to its capital expenditures in 2015. Due to efficiency gains, strong well performance, and ongoing cost initiatives, QEP expects to see flat or only slightly lower oil production in 2016. The mid-point of our forecasted capital expenditures for 2016, primarily for development and recompletion activities, is $475.0 million. QEP intends to fund capital expenditures with cash flow from operating activities and, if needed, cash on hand and borrowings under its credit facility. The aggregate levels of capital expenditures for 2016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first three months of 2016, net cash provided by financing activities was $336.3 million compared to net cash used in financing activities of $46.5 million in the first three months of 2015. During the first three months of 2016, QEP had net proceeds from the March 2016 equity offering of approximately $368.6 million and had a decrease in checks outstanding in excess of cash balances of $29.8 million. During the first three months of 2015, QEP had a decrease in checks outstanding in excess of cash balances of $38.9 million and $3.5 million of quarterly dividend payments.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2016, the Company did not have any borrowings outstanding under the credit facility and had $2,221.8 million in senior notes outstanding (excluding $28.9 million of net original issue discount and unamortized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QEP’s primary market risks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has long-term contracts for pipeline capacity, and is obligated to pay for transportation services with no guarantee that it also will be able to fully utilize the contractual capacity of these transportation commitments. In addition, additional non-cash impairment expense of the Company’s oil and gas properties may be required if future oil and gas commodity prices experience a significant decline. Furthermore, the Company’s credit facility has a floating interest rate, which exposes QEP to interest rate risk. To partially manage the Company’s exposure to these risks, QEP enters into commodity derivative contracts in the form of fixed-price and basis swaps and collars to manage commodity price risk and periodically enters into interest rate swaps to manage interest rate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price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and basis swaps and collars. The volume of commodity derivative instruments utilized by the Company may vary from year to year based on QEP's forecasted production. The Company's current derivative instruments do not have margin requirements or collateral provisions that would require payments prior to the scheduled cash settlement dates. As of March 31, 2016, QEP held commodity price derivative contracts totaling 297.3 million MMBtu of gas and 10.2 million barrels of oil.</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QEP's derivative positions as of April 22, 2016. See Note 7 – Derivative Contracts in Part 1, Item 1 of this Quarterly Report on Form 10-Q for open derivative positions as of March 31,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740" w:type="dxa"/>
            <w:vAlign w:val="bottom"/>
            <w:gridSpan w:val="4"/>
          </w:tcPr>
          <w:p>
            <w:pPr>
              <w:ind w:left="700"/>
              <w:spacing w:after="0"/>
              <w:rPr>
                <w:sz w:val="20"/>
                <w:szCs w:val="20"/>
                <w:color w:val="auto"/>
              </w:rPr>
            </w:pPr>
            <w:r>
              <w:rPr>
                <w:rFonts w:ascii="Arial" w:cs="Arial" w:eastAsia="Arial" w:hAnsi="Arial"/>
                <w:sz w:val="18"/>
                <w:szCs w:val="18"/>
                <w:b w:val="1"/>
                <w:bCs w:val="1"/>
                <w:color w:val="auto"/>
              </w:rPr>
              <w:t>Production Commodity Derivative Swap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5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30"/>
        </w:trPr>
        <w:tc>
          <w:tcPr>
            <w:tcW w:w="560" w:type="dxa"/>
            <w:vAlign w:val="bottom"/>
          </w:tcPr>
          <w:p>
            <w:pPr>
              <w:ind w:left="40"/>
              <w:spacing w:after="0"/>
              <w:rPr>
                <w:sz w:val="20"/>
                <w:szCs w:val="20"/>
                <w:color w:val="auto"/>
              </w:rPr>
            </w:pPr>
            <w:r>
              <w:rPr>
                <w:rFonts w:ascii="Arial" w:cs="Arial" w:eastAsia="Arial" w:hAnsi="Arial"/>
                <w:sz w:val="18"/>
                <w:szCs w:val="18"/>
                <w:color w:val="auto"/>
              </w:rPr>
              <w:t>Year</w:t>
            </w:r>
          </w:p>
        </w:tc>
        <w:tc>
          <w:tcPr>
            <w:tcW w:w="25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1"/>
              </w:rPr>
              <w:t>Price per Unit</w:t>
            </w:r>
          </w:p>
        </w:tc>
      </w:tr>
      <w:tr>
        <w:trPr>
          <w:trHeight w:val="27"/>
        </w:trPr>
        <w:tc>
          <w:tcPr>
            <w:tcW w:w="5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0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3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2016</w:t>
            </w:r>
          </w:p>
        </w:tc>
        <w:tc>
          <w:tcPr>
            <w:tcW w:w="25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2016</w:t>
            </w:r>
          </w:p>
        </w:tc>
        <w:tc>
          <w:tcPr>
            <w:tcW w:w="25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25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25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25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3080" w:type="dxa"/>
            <w:vAlign w:val="bottom"/>
            <w:gridSpan w:val="2"/>
          </w:tcPr>
          <w:p>
            <w:pPr>
              <w:jc w:val="center"/>
              <w:ind w:right="2230"/>
              <w:spacing w:after="0"/>
              <w:rPr>
                <w:sz w:val="20"/>
                <w:szCs w:val="20"/>
                <w:color w:val="auto"/>
              </w:rPr>
            </w:pPr>
            <w:r>
              <w:rPr>
                <w:rFonts w:ascii="Arial" w:cs="Arial" w:eastAsia="Arial" w:hAnsi="Arial"/>
                <w:sz w:val="18"/>
                <w:szCs w:val="18"/>
                <w:b w:val="1"/>
                <w:bCs w:val="1"/>
                <w:color w:val="auto"/>
                <w:w w:val="89"/>
              </w:rPr>
              <w:t>Oil Sales</w:t>
            </w: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(bbls)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2016</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through June)</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57.09</w:t>
            </w:r>
          </w:p>
        </w:tc>
      </w:tr>
      <w:tr>
        <w:trPr>
          <w:trHeight w:val="243"/>
        </w:trPr>
        <w:tc>
          <w:tcPr>
            <w:tcW w:w="560" w:type="dxa"/>
            <w:vAlign w:val="bottom"/>
          </w:tcPr>
          <w:p>
            <w:pPr>
              <w:jc w:val="center"/>
              <w:ind w:left="70"/>
              <w:spacing w:after="0"/>
              <w:rPr>
                <w:sz w:val="20"/>
                <w:szCs w:val="20"/>
                <w:color w:val="auto"/>
              </w:rPr>
            </w:pPr>
            <w:r>
              <w:rPr>
                <w:rFonts w:ascii="Arial" w:cs="Arial" w:eastAsia="Arial" w:hAnsi="Arial"/>
                <w:sz w:val="18"/>
                <w:szCs w:val="18"/>
                <w:color w:val="auto"/>
                <w:w w:val="89"/>
              </w:rPr>
              <w:t>2016</w:t>
            </w:r>
          </w:p>
        </w:tc>
        <w:tc>
          <w:tcPr>
            <w:tcW w:w="2520" w:type="dxa"/>
            <w:vAlign w:val="bottom"/>
          </w:tcPr>
          <w:p>
            <w:pPr>
              <w:ind w:left="20"/>
              <w:spacing w:after="0"/>
              <w:rPr>
                <w:sz w:val="20"/>
                <w:szCs w:val="20"/>
                <w:color w:val="auto"/>
              </w:rPr>
            </w:pPr>
            <w:r>
              <w:rPr>
                <w:rFonts w:ascii="Arial" w:cs="Arial" w:eastAsia="Arial" w:hAnsi="Arial"/>
                <w:sz w:val="18"/>
                <w:szCs w:val="18"/>
                <w:color w:val="auto"/>
              </w:rPr>
              <w:t>(July through December)</w:t>
            </w: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51.82</w:t>
            </w:r>
          </w:p>
        </w:tc>
      </w:tr>
      <w:tr>
        <w:trPr>
          <w:trHeight w:val="27"/>
        </w:trPr>
        <w:tc>
          <w:tcPr>
            <w:tcW w:w="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2017</w:t>
            </w:r>
          </w:p>
        </w:tc>
        <w:tc>
          <w:tcPr>
            <w:tcW w:w="25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50.18</w:t>
            </w:r>
          </w:p>
        </w:tc>
      </w:tr>
      <w:tr>
        <w:trPr>
          <w:trHeight w:val="27"/>
        </w:trPr>
        <w:tc>
          <w:tcPr>
            <w:tcW w:w="5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5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6"/>
              </w:rPr>
              <w:t>Production Gas Collars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Average Price</w:t>
            </w:r>
          </w:p>
        </w:tc>
        <w:tc>
          <w:tcPr>
            <w:tcW w:w="320" w:type="dxa"/>
            <w:vAlign w:val="bottom"/>
          </w:tcPr>
          <w:p>
            <w:pPr>
              <w:spacing w:after="0"/>
              <w:rPr>
                <w:sz w:val="23"/>
                <w:szCs w:val="23"/>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Average Price</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660" w:type="dxa"/>
            <w:vAlign w:val="bottom"/>
          </w:tcPr>
          <w:p>
            <w:pPr>
              <w:jc w:val="center"/>
              <w:ind w:left="310"/>
              <w:spacing w:after="0"/>
              <w:rPr>
                <w:sz w:val="20"/>
                <w:szCs w:val="20"/>
                <w:color w:val="auto"/>
              </w:rPr>
            </w:pPr>
            <w:r>
              <w:rPr>
                <w:rFonts w:ascii="Arial" w:cs="Arial" w:eastAsia="Arial" w:hAnsi="Arial"/>
                <w:sz w:val="18"/>
                <w:szCs w:val="18"/>
                <w:color w:val="auto"/>
                <w:w w:val="95"/>
              </w:rPr>
              <w:t>Index</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Total Volume</w:t>
            </w: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Floor</w:t>
            </w:r>
          </w:p>
        </w:tc>
        <w:tc>
          <w:tcPr>
            <w:tcW w:w="320" w:type="dxa"/>
            <w:vAlign w:val="bottom"/>
          </w:tcPr>
          <w:p>
            <w:pPr>
              <w:spacing w:after="0"/>
              <w:rPr>
                <w:sz w:val="23"/>
                <w:szCs w:val="23"/>
                <w:color w:val="auto"/>
              </w:rPr>
            </w:pPr>
          </w:p>
        </w:tc>
        <w:tc>
          <w:tcPr>
            <w:tcW w:w="1740" w:type="dxa"/>
            <w:vAlign w:val="bottom"/>
          </w:tcPr>
          <w:p>
            <w:pPr>
              <w:jc w:val="right"/>
              <w:ind w:right="670"/>
              <w:spacing w:after="0"/>
              <w:rPr>
                <w:sz w:val="20"/>
                <w:szCs w:val="20"/>
                <w:color w:val="auto"/>
              </w:rPr>
            </w:pPr>
            <w:r>
              <w:rPr>
                <w:rFonts w:ascii="Arial" w:cs="Arial" w:eastAsia="Arial" w:hAnsi="Arial"/>
                <w:sz w:val="18"/>
                <w:szCs w:val="18"/>
                <w:color w:val="auto"/>
              </w:rPr>
              <w:t>Ceiling</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52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rPr>
              <w:t>NYMEX HH</w:t>
            </w:r>
          </w:p>
        </w:tc>
        <w:tc>
          <w:tcPr>
            <w:tcW w:w="2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660" w:type="dxa"/>
            <w:vAlign w:val="bottom"/>
          </w:tcPr>
          <w:p>
            <w:pPr>
              <w:jc w:val="center"/>
              <w:ind w:left="290"/>
              <w:spacing w:after="0"/>
              <w:rPr>
                <w:sz w:val="20"/>
                <w:szCs w:val="20"/>
                <w:color w:val="auto"/>
              </w:rPr>
            </w:pPr>
            <w:r>
              <w:rPr>
                <w:rFonts w:ascii="Arial" w:cs="Arial" w:eastAsia="Arial" w:hAnsi="Arial"/>
                <w:sz w:val="18"/>
                <w:szCs w:val="18"/>
                <w:color w:val="auto"/>
              </w:rPr>
              <w:t>NYMEX HH</w:t>
            </w:r>
          </w:p>
        </w:tc>
        <w:tc>
          <w:tcPr>
            <w:tcW w:w="2440" w:type="dxa"/>
            <w:vAlign w:val="bottom"/>
            <w:gridSpan w:val="3"/>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3.35</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ind w:left="600"/>
              <w:spacing w:after="0"/>
              <w:rPr>
                <w:sz w:val="20"/>
                <w:szCs w:val="20"/>
                <w:color w:val="auto"/>
              </w:rPr>
            </w:pPr>
            <w:r>
              <w:rPr>
                <w:rFonts w:ascii="Arial" w:cs="Arial" w:eastAsia="Arial" w:hAnsi="Arial"/>
                <w:sz w:val="18"/>
                <w:szCs w:val="18"/>
                <w:b w:val="1"/>
                <w:bCs w:val="1"/>
                <w:color w:val="auto"/>
                <w:w w:val="95"/>
              </w:rPr>
              <w:t>Production Gas Basis Swaps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3000" w:type="dxa"/>
            <w:vAlign w:val="bottom"/>
            <w:gridSpan w:val="3"/>
          </w:tcPr>
          <w:p>
            <w:pPr>
              <w:jc w:val="center"/>
              <w:ind w:right="700"/>
              <w:spacing w:after="0"/>
              <w:rPr>
                <w:sz w:val="20"/>
                <w:szCs w:val="20"/>
                <w:color w:val="auto"/>
              </w:rPr>
            </w:pPr>
            <w:r>
              <w:rPr>
                <w:rFonts w:ascii="Arial" w:cs="Arial" w:eastAsia="Arial" w:hAnsi="Arial"/>
                <w:sz w:val="18"/>
                <w:szCs w:val="18"/>
                <w:color w:val="auto"/>
                <w:w w:val="93"/>
              </w:rPr>
              <w:t>Index Less Differential</w:t>
            </w:r>
          </w:p>
        </w:tc>
        <w:tc>
          <w:tcPr>
            <w:tcW w:w="180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7"/>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NYMEX HH</w:t>
            </w:r>
          </w:p>
        </w:tc>
        <w:tc>
          <w:tcPr>
            <w:tcW w:w="1800" w:type="dxa"/>
            <w:vAlign w:val="bottom"/>
            <w:tcBorders>
              <w:bottom w:val="single" w:sz="8" w:color="CCEEFF"/>
            </w:tcBorders>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000" w:type="dxa"/>
            <w:vAlign w:val="bottom"/>
            <w:gridSpan w:val="3"/>
          </w:tcPr>
          <w:p>
            <w:pPr>
              <w:jc w:val="center"/>
              <w:ind w:right="720"/>
              <w:spacing w:after="0"/>
              <w:rPr>
                <w:sz w:val="20"/>
                <w:szCs w:val="20"/>
                <w:color w:val="auto"/>
              </w:rPr>
            </w:pPr>
            <w:r>
              <w:rPr>
                <w:rFonts w:ascii="Arial" w:cs="Arial" w:eastAsia="Arial" w:hAnsi="Arial"/>
                <w:sz w:val="18"/>
                <w:szCs w:val="18"/>
                <w:color w:val="auto"/>
              </w:rPr>
              <w:t>NYMEX HH</w:t>
            </w:r>
          </w:p>
        </w:tc>
        <w:tc>
          <w:tcPr>
            <w:tcW w:w="1800" w:type="dxa"/>
            <w:vAlign w:val="bottom"/>
            <w:gridSpan w:val="2"/>
          </w:tcPr>
          <w:p>
            <w:pPr>
              <w:jc w:val="center"/>
              <w:ind w:right="7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shd w:val="clear" w:color="auto" w:fill="CCEEFF"/>
          </w:tcPr>
          <w:p>
            <w:pPr>
              <w:jc w:val="right"/>
              <w:ind w:right="327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30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NYMEX HH</w:t>
            </w:r>
          </w:p>
        </w:tc>
        <w:tc>
          <w:tcPr>
            <w:tcW w:w="180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5"/>
              </w:rPr>
              <w:t>IFNPCR</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9"/>
              </w:rPr>
              <w:t>Storage Commodity Derivative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9"/>
              </w:rPr>
              <w:t>Price per</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702"/>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Changes in the fair value of derivative contracts from December 31, 2015 to March 31, 2016, are presented below:</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9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97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derivative contracts</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gas and oil derivative contracts outstanding at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(64.4)</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gas and oil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gas and oil derivative contracts outstanding at March 31, 2016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151.8</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sensitivity of the fair value of gas and oil derivative contracts to changes in the market price of gas, oil and basis differentials: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31, 2016</w:t>
            </w:r>
          </w:p>
        </w:tc>
      </w:tr>
      <w:tr>
        <w:trPr>
          <w:trHeight w:val="27"/>
        </w:trPr>
        <w:tc>
          <w:tcPr>
            <w:tcW w:w="9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gas and oil and basis differentials decline by 10%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166.9</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gas and oil and basis differentials increase by 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136.6</w:t>
            </w:r>
          </w:p>
        </w:tc>
      </w:tr>
      <w:tr>
        <w:trPr>
          <w:trHeight w:val="27"/>
        </w:trPr>
        <w:tc>
          <w:tcPr>
            <w:tcW w:w="9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Utilizing the actual derivative volumes, a 10% increase in underlying commodity prices would reduce the fair value of these instruments by $15.2 million, while a 10% decrease in underlying commodity prices would increase the fair value of these instruments by $15.1 million as of March 31, 2016. However, a gain or loss eventually would be offset by the actual sales value of the physical production covered by the derivative instruments. For additional information regarding the Company’s commodity derivative transactions, see Note 7 – Derivative Contracts in Part I, Item 1 of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and the Company's credit rating, as described in the risk factors in Item 1A of Part I of the Company’s Annual Report on Form 10-K for the year ended December 31, 2015. The Company’s credit facility has a floating interest rate, which exposes QEP to interest rate risk; however, at March 31, 2016, the Company did not have any borrowings outstanding under its credit facility.</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remaining $2,221.8 million of the Company’s debt is senior notes with fixed interest rates; therefore, it is not affected by interest rate movements. For additional information regarding the Company’s debt instruments, see Note 9 – Debt, in Item I of Part I of this Quarterly Report on Form 10-Q.</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quarterly report contains information that includes or is based upon "forward-looking statements" within the meaning of Section 27A of the Securities Act of 1933, as amended (the Securities Act),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growth strategies;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strong liquidity position providing financial flexibility;</w:t>
      </w:r>
    </w:p>
    <w:p>
      <w:pPr>
        <w:spacing w:after="0" w:line="9" w:lineRule="exact"/>
        <w:rPr>
          <w:rFonts w:ascii="Arial" w:cs="Arial" w:eastAsia="Arial" w:hAnsi="Arial"/>
          <w:sz w:val="18"/>
          <w:szCs w:val="18"/>
          <w:color w:val="auto"/>
        </w:rPr>
      </w:pPr>
    </w:p>
    <w:p>
      <w:pPr>
        <w:ind w:left="740" w:right="560" w:hanging="327"/>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liquidity and sufficiency of cash flow from operations, cash-on-hand and availability under our credit facility to fund our planned capital expenditures, operating expenses, repayment of maturing debt and payment of dividends;</w:t>
      </w: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plans and 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inventory of drilling locations;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drilling and completion plans;</w:t>
      </w:r>
    </w:p>
    <w:p>
      <w:pPr>
        <w:spacing w:after="0" w:line="9" w:lineRule="exact"/>
        <w:rPr>
          <w:rFonts w:ascii="Arial" w:cs="Arial" w:eastAsia="Arial" w:hAnsi="Arial"/>
          <w:sz w:val="18"/>
          <w:szCs w:val="18"/>
          <w:color w:val="auto"/>
        </w:rPr>
      </w:pPr>
    </w:p>
    <w:p>
      <w:pPr>
        <w:ind w:left="740" w:hanging="327"/>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on improving operating performance by optimizing reservoir development, enhancing well completion designs and aggressively pursuing cost reductions;</w:t>
      </w: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plans to reduce drilling and completion activities, slow production growth and preserve liquidity;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dividends;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contingencies;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of gas, oil and NGL prices and factors impacting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exports of oil from the U.S.;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plans to enter into derivative contracts and the anticipated benefits from our derivative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divestitures of non-core assets;</w:t>
      </w:r>
    </w:p>
    <w:p>
      <w:pPr>
        <w:spacing w:after="0" w:line="9" w:lineRule="exact"/>
        <w:rPr>
          <w:rFonts w:ascii="Arial" w:cs="Arial" w:eastAsia="Arial" w:hAnsi="Arial"/>
          <w:sz w:val="18"/>
          <w:szCs w:val="18"/>
          <w:color w:val="auto"/>
        </w:rPr>
      </w:pPr>
    </w:p>
    <w:p>
      <w:pPr>
        <w:ind w:left="740" w:right="340" w:hanging="327"/>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operating expenses, repayment of maturing debt and working capital requirements;</w:t>
      </w: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resale revenues and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assumptions regarding equity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settlement of performance share units in cash;</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contributions to our employee benefit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benefit plan gains or losses;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importance of Adjusted EBITDA (a non-GAAP financial measure) as a measure of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caused by transportation, processing, storage and refining capacity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fair values and critical accounting estimates, including estimated asset retirement obligations;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implementation and impact of new accounting pronouncements;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of shutting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impacting our ability to transport oil and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for asset impairments and impact of impairments on financial statements;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estimated costs of reorganizations;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loss of a significant customer or nonpayment of a counterparty;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meet delivery and sales commitments;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value of pension plan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production plans, operating costs and capital expenditures;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proceeds from the March 2016 public offering of common stock.</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8" w:name="page39"/>
    <w:bookmarkEnd w:id="38"/>
    <w:p>
      <w:pPr>
        <w:ind w:left="820" w:hanging="326"/>
        <w:spacing w:after="0" w:line="25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2015, and Part II, Item 1A of this Quarterly Reporting on Form 10-Q;</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geopolitical and macroeconomic factors;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 impairments;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liquidity constraints, including those resulting from the cost and availability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drilling methods and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integrate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obtaining permits and governmental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 and risks inherent in the production of oil and gas;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820" w:right="120" w:hanging="326"/>
        <w:spacing w:after="0" w:line="250"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adoption of and compliance with laws and regulations, including decisions and policies concerning: the environment, climate change, greenhouse gas or other emissions, natural resources, fish and wildlife, hydraulic fracturing, water use and drilling and completion techniques, as well as the risk of legal proceedings arising from such matters, whether involving public or private claimants or regulatory investigative or enforcement measures;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severance and property taxation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actions of, or inaction by federal, state, local or tribal governments, foreign countries and the Organization of Petroleum Exporting Countries;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volumes;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oil and gas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creditworthiness and performance of the Company's counterparties, including financial institutions, operating partners and other parties;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securities, capital and credit markets;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by credit rating agencies;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QEP undertakes no obligation to publicly correct or update the forward-looking statements in this Quarterly Report on Form 10-Q, in other documents, or on the Company's website to reflect future events or circumstances. All such statements are expressly qualified by this cautionary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Chief Executive Officer and Chief Financial Officer have evaluated the effectiveness of the design and operation of the Company’s disclosure controls and procedures (as such term is defined in Rules 13a-15(e) under the Securities Exchange Act of 1934, as amended, the Exchange Act) as of March 31, 2016. Based on such evaluation, such officers have concluded that, as of March 31, 2016,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March 31, 2016,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2015. Below are material changes to such risk factors that have occurred during the three months ended March 31, 2016.</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2B2B2B"/>
        </w:rPr>
        <w:t xml:space="preserve">Renegotiation of gathering, processing and transportation agreements may result in higher costs and/or delays in selling production. </w:t>
      </w:r>
      <w:r>
        <w:rPr>
          <w:rFonts w:ascii="Arial" w:cs="Arial" w:eastAsia="Arial" w:hAnsi="Arial"/>
          <w:sz w:val="17"/>
          <w:szCs w:val="17"/>
          <w:color w:val="2B2B2B"/>
        </w:rPr>
        <w:t>Due to market</w:t>
      </w:r>
      <w:r>
        <w:rPr>
          <w:rFonts w:ascii="Arial" w:cs="Arial" w:eastAsia="Arial" w:hAnsi="Arial"/>
          <w:sz w:val="17"/>
          <w:szCs w:val="17"/>
          <w:b w:val="1"/>
          <w:bCs w:val="1"/>
          <w:i w:val="1"/>
          <w:iCs w:val="1"/>
          <w:color w:val="2B2B2B"/>
        </w:rPr>
        <w:t xml:space="preserve"> </w:t>
      </w:r>
      <w:r>
        <w:rPr>
          <w:rFonts w:ascii="Arial" w:cs="Arial" w:eastAsia="Arial" w:hAnsi="Arial"/>
          <w:sz w:val="17"/>
          <w:szCs w:val="17"/>
          <w:color w:val="2B2B2B"/>
        </w:rPr>
        <w:t>conditions, many midstream companies are attempting to renegotiate their gathering, processing and transportation agreements with their upstream counterparties. If QEP agrees to renegotiate its midstream agreements, the costs QEP pays for midstream services may increase. If QEP and any of its midstream service providers cannot agree on revised terms to these agreements, the midstream service providers may assert that continued performance of their obligations under these contracts is uneconomic and attempt to terminate or alter the agreements, which could hinder QEP's access to gas, oil and NGL markets, increase costs and/or delay production from its wells. Disputes over termination or changes to the agreement could result in arbitration or litigation, causing uncertainty about the status of the agreements and further delays.</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79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share awards withheld for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6"/>
              </w:rPr>
              <w:t>Total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 dollar amount</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purchased as part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that may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shares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w:t>
            </w:r>
          </w:p>
        </w:tc>
        <w:tc>
          <w:tcPr>
            <w:tcW w:w="196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publicly announced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5"/>
                <w:szCs w:val="25"/>
                <w:b w:val="1"/>
                <w:bCs w:val="1"/>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paid per share</w:t>
            </w:r>
          </w:p>
        </w:tc>
        <w:tc>
          <w:tcPr>
            <w:tcW w:w="1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plans or programs</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plans or programs</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2016 - January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February 1, 2016 - February 29, 2016</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ind w:left="168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2016 - March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275,569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212"/>
        </w:trPr>
        <w:tc>
          <w:tcPr>
            <w:tcW w:w="366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ind w:left="660" w:right="320" w:hanging="314"/>
        <w:spacing w:after="0" w:line="222" w:lineRule="auto"/>
        <w:tabs>
          <w:tab w:leader="none" w:pos="66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All of the 280,336 shares purchased during the three-month period ended March 31, 2016, were acquired from employees in connection with the settlement of income tax and related benefit withholding obligations arising from vesting in restricted share grants.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2"/>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Underwriting Agreement dated as of February 29, 2016 by and among QEP Resources, Inc., Deutsche Bank Securities Inc. and</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Goldman, Sachs &amp; Co. (incorporated by reference to Exhibit 1.1 to the Company's Current Report on Form 8-K filed with the</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and Exchange Commission on March 3, 2016)</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Certificate of Incorporation dated May 18, 2010 (incorporated by reference to Exhibit 3.1 to the Company's Current Report on Form</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8-K filed with the Securities and Exchange Commission on May 24, 2010)</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Amended and Restated Bylaws, deemed effective October 27, 2014 (incorporated by reference to Exhibit 3.1 to the Company's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Report on Form 8-K filed with the Securities and Exchange Commission on October 29, 2014)</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Pr>
          <w:p>
            <w:pPr>
              <w:ind w:left="40"/>
              <w:spacing w:after="0"/>
              <w:rPr>
                <w:sz w:val="20"/>
                <w:szCs w:val="20"/>
                <w:color w:val="auto"/>
              </w:rPr>
            </w:pPr>
            <w:r>
              <w:rPr>
                <w:rFonts w:ascii="Arial" w:cs="Arial" w:eastAsia="Arial" w:hAnsi="Arial"/>
                <w:sz w:val="18"/>
                <w:szCs w:val="18"/>
                <w:color w:val="auto"/>
              </w:rPr>
              <w:t>XBRL Schema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w:t>
      </w:r>
    </w:p>
    <w:p>
      <w:pPr>
        <w:spacing w:after="0" w:line="27" w:lineRule="exact"/>
        <w:rPr>
          <w:sz w:val="20"/>
          <w:szCs w:val="20"/>
          <w:color w:val="auto"/>
        </w:rPr>
      </w:pPr>
    </w:p>
    <w:p>
      <w:pPr>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interactive data files are furnished and deemed not filed or part of a registration statement or prospectus for purposes of Sections 11 or 12 of the Securities Act of 1933, as amended, are deemed not filed for purposes of Section 18 of the Securities Act of 1934, as amended, and otherwise are not subject to liability under those sections.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0"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320" w:type="dxa"/>
            <w:vAlign w:val="bottom"/>
            <w:gridSpan w:val="2"/>
          </w:tcPr>
          <w:p>
            <w:pPr>
              <w:spacing w:after="0"/>
              <w:rPr>
                <w:sz w:val="20"/>
                <w:szCs w:val="20"/>
                <w:color w:val="auto"/>
              </w:rPr>
            </w:pPr>
            <w:r>
              <w:rPr>
                <w:rFonts w:ascii="Arial" w:cs="Arial" w:eastAsia="Arial" w:hAnsi="Arial"/>
                <w:sz w:val="18"/>
                <w:szCs w:val="18"/>
                <w:color w:val="auto"/>
              </w:rPr>
              <w:t>April 27, 2016</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8"/>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320" w:type="dxa"/>
            <w:vAlign w:val="bottom"/>
            <w:gridSpan w:val="2"/>
          </w:tcPr>
          <w:p>
            <w:pPr>
              <w:spacing w:after="0"/>
              <w:rPr>
                <w:sz w:val="20"/>
                <w:szCs w:val="20"/>
                <w:color w:val="auto"/>
              </w:rPr>
            </w:pPr>
            <w:r>
              <w:rPr>
                <w:rFonts w:ascii="Arial" w:cs="Arial" w:eastAsia="Arial" w:hAnsi="Arial"/>
                <w:sz w:val="18"/>
                <w:szCs w:val="18"/>
                <w:color w:val="auto"/>
              </w:rPr>
              <w:t>April 27, 2016</w:t>
            </w:r>
          </w:p>
        </w:tc>
        <w:tc>
          <w:tcPr>
            <w:tcW w:w="26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10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60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0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56"/>
        </w:trPr>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27, 2016</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27, 2016</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March 31, 2016,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April 27, 2016</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April 27, 2016</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2019-12-29T13:40:47Z</dcterms:created>
  <dcterms:modified xsi:type="dcterms:W3CDTF">2019-12-29T13:40:47Z</dcterms:modified>
</cp:coreProperties>
</file>