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26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333" w:lineRule="exact"/>
        <w:rPr>
          <w:sz w:val="24"/>
          <w:szCs w:val="24"/>
          <w:color w:val="auto"/>
        </w:rPr>
      </w:pPr>
    </w:p>
    <w:p>
      <w:pPr>
        <w:ind w:left="700" w:right="224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00"/>
          </w:cols>
          <w:pgMar w:left="240" w:top="927" w:right="25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16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560"/>
          </w:cols>
          <w:pgMar w:left="240" w:top="927" w:right="25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500, Denver, Colorado 80265</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400"/>
          </w:cols>
          <w:pgMar w:left="240" w:top="927" w:right="25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927" w:right="25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680"/>
            <w:col w:w="4860" w:space="720"/>
            <w:col w:w="2660" w:space="720"/>
            <w:col w:w="100"/>
          </w:cols>
          <w:pgMar w:left="240" w:top="927"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620" w:space="720"/>
            <w:col w:w="4860" w:space="720"/>
            <w:col w:w="2660" w:space="720"/>
            <w:col w:w="100"/>
          </w:cols>
          <w:pgMar w:left="240" w:top="927" w:right="259" w:bottom="1440" w:gutter="0" w:footer="0" w:header="0"/>
          <w:type w:val="continuous"/>
        </w:sectPr>
      </w:pPr>
    </w:p>
    <w:p>
      <w:pPr>
        <w:spacing w:after="0" w:line="31" w:lineRule="exact"/>
        <w:rPr>
          <w:sz w:val="24"/>
          <w:szCs w:val="24"/>
          <w:color w:val="auto"/>
        </w:rPr>
      </w:pPr>
    </w:p>
    <w:p>
      <w:pPr>
        <w:spacing w:after="0" w:line="207" w:lineRule="exact"/>
        <w:tabs>
          <w:tab w:leader="none" w:pos="8340" w:val="left"/>
          <w:tab w:leader="none" w:pos="89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At June 30, 2013, there were 179,289,624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2013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4"/>
          </w:tcPr>
          <w:p>
            <w:pPr>
              <w:ind w:left="24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420" w:type="dxa"/>
            <w:vAlign w:val="bottom"/>
            <w:gridSpan w:val="26"/>
            <w:shd w:val="clear" w:color="auto" w:fill="CCEEFF"/>
          </w:tcPr>
          <w:p>
            <w:pPr>
              <w:ind w:left="4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6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95"/>
              </w:rPr>
            </w:pPr>
            <w:hyperlink w:anchor="page3">
              <w:r>
                <w:rPr>
                  <w:rFonts w:ascii="Arial" w:cs="Arial" w:eastAsia="Arial" w:hAnsi="Arial"/>
                  <w:sz w:val="18"/>
                  <w:szCs w:val="18"/>
                  <w:color w:val="0000FF"/>
                  <w:w w:val="95"/>
                </w:rPr>
                <w:t>UNAUDITED CONDENSED CONSOLIDATED STATEMENTS OF OPERATIONS FOR THE THREE AND</w:t>
              </w:r>
            </w:hyperlink>
          </w:p>
        </w:tc>
        <w:tc>
          <w:tcPr>
            <w:tcW w:w="360" w:type="dxa"/>
            <w:vAlign w:val="bottom"/>
            <w:tcBorders>
              <w:bottom w:val="single" w:sz="8" w:color="CCEEFF"/>
            </w:tcBorders>
            <w:gridSpan w:val="3"/>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3"/>
            <w:shd w:val="clear" w:color="auto" w:fill="CCEEFF"/>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SIX MONTHS ENDED JUNE 30, 2013 AND 2012</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160" w:type="dxa"/>
            <w:vAlign w:val="bottom"/>
            <w:tcBorders>
              <w:bottom w:val="single" w:sz="8" w:color="0000FF"/>
            </w:tcBorders>
            <w:gridSpan w:val="22"/>
            <w:shd w:val="clear" w:color="auto" w:fill="CCEEFF"/>
          </w:tcPr>
          <w:p>
            <w:pPr>
              <w:spacing w:after="0" w:line="202" w:lineRule="exact"/>
              <w:rPr>
                <w:rFonts w:ascii="Arial" w:cs="Arial" w:eastAsia="Arial" w:hAnsi="Arial"/>
                <w:sz w:val="18"/>
                <w:szCs w:val="18"/>
                <w:color w:val="0000FF"/>
                <w:w w:val="95"/>
              </w:rPr>
            </w:pPr>
            <w:hyperlink w:anchor="page3">
              <w:r>
                <w:rPr>
                  <w:rFonts w:ascii="Arial" w:cs="Arial" w:eastAsia="Arial" w:hAnsi="Arial"/>
                  <w:sz w:val="18"/>
                  <w:szCs w:val="18"/>
                  <w:color w:val="0000FF"/>
                  <w:w w:val="95"/>
                </w:rPr>
                <w:t>UNAUDITED CONDENSED CONSOLIDATED STATEMENTS OF COMPREHENSIVE INCOME FOR THE</w:t>
              </w:r>
            </w:hyperlink>
          </w:p>
        </w:tc>
        <w:tc>
          <w:tcPr>
            <w:tcW w:w="2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3"/>
            <w:shd w:val="clear" w:color="auto" w:fill="CCEEFF"/>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THREE AND SIX MONTHS ENDED JUNE 30, 2013 AND 2012</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060" w:type="dxa"/>
            <w:vAlign w:val="bottom"/>
            <w:tcBorders>
              <w:top w:val="single" w:sz="8" w:color="0000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20" w:type="dxa"/>
            <w:vAlign w:val="bottom"/>
            <w:gridSpan w:val="23"/>
            <w:shd w:val="clear" w:color="auto" w:fill="CCEEFF"/>
          </w:tcPr>
          <w:p>
            <w:pPr>
              <w:spacing w:after="0" w:line="202"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UNAUDITED CONDENSED CONSOLIDATED BALANCE SHEETS AT JUNE 30, 2013 AND DECEMBER</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31, 2012</w:t>
              </w:r>
            </w:hyperlink>
          </w:p>
        </w:tc>
        <w:tc>
          <w:tcPr>
            <w:tcW w:w="100" w:type="dxa"/>
            <w:vAlign w:val="bottom"/>
            <w:tcBorders>
              <w:top w:val="single" w:sz="8" w:color="0000FF"/>
            </w:tcBorders>
            <w:shd w:val="clear" w:color="auto" w:fill="CCEEFF"/>
          </w:tcPr>
          <w:p>
            <w:pPr>
              <w:spacing w:after="0"/>
              <w:rPr>
                <w:sz w:val="21"/>
                <w:szCs w:val="21"/>
                <w:color w:val="auto"/>
              </w:rPr>
            </w:pPr>
          </w:p>
        </w:tc>
        <w:tc>
          <w:tcPr>
            <w:tcW w:w="180" w:type="dxa"/>
            <w:vAlign w:val="bottom"/>
            <w:tcBorders>
              <w:top w:val="single" w:sz="8" w:color="0000FF"/>
            </w:tcBorders>
            <w:shd w:val="clear" w:color="auto" w:fill="CCEEFF"/>
          </w:tcPr>
          <w:p>
            <w:pPr>
              <w:spacing w:after="0"/>
              <w:rPr>
                <w:sz w:val="21"/>
                <w:szCs w:val="21"/>
                <w:color w:val="auto"/>
              </w:rPr>
            </w:pPr>
          </w:p>
        </w:tc>
        <w:tc>
          <w:tcPr>
            <w:tcW w:w="20" w:type="dxa"/>
            <w:vAlign w:val="bottom"/>
            <w:tcBorders>
              <w:top w:val="single" w:sz="8" w:color="0000FF"/>
            </w:tcBorders>
            <w:shd w:val="clear" w:color="auto" w:fill="CCEEFF"/>
          </w:tcPr>
          <w:p>
            <w:pPr>
              <w:spacing w:after="0"/>
              <w:rPr>
                <w:sz w:val="21"/>
                <w:szCs w:val="21"/>
                <w:color w:val="auto"/>
              </w:rPr>
            </w:pPr>
          </w:p>
        </w:tc>
        <w:tc>
          <w:tcPr>
            <w:tcW w:w="120" w:type="dxa"/>
            <w:vAlign w:val="bottom"/>
            <w:tcBorders>
              <w:top w:val="single" w:sz="8" w:color="0000FF"/>
            </w:tcBorders>
            <w:shd w:val="clear" w:color="auto" w:fill="CCEEFF"/>
          </w:tcPr>
          <w:p>
            <w:pPr>
              <w:spacing w:after="0"/>
              <w:rPr>
                <w:sz w:val="21"/>
                <w:szCs w:val="21"/>
                <w:color w:val="auto"/>
              </w:rPr>
            </w:pPr>
          </w:p>
        </w:tc>
        <w:tc>
          <w:tcPr>
            <w:tcW w:w="620" w:type="dxa"/>
            <w:vAlign w:val="bottom"/>
            <w:tcBorders>
              <w:top w:val="single" w:sz="8" w:color="0000FF"/>
            </w:tcBorders>
            <w:shd w:val="clear" w:color="auto" w:fill="CCEEFF"/>
          </w:tcPr>
          <w:p>
            <w:pPr>
              <w:spacing w:after="0"/>
              <w:rPr>
                <w:sz w:val="21"/>
                <w:szCs w:val="21"/>
                <w:color w:val="auto"/>
              </w:rPr>
            </w:pPr>
          </w:p>
        </w:tc>
        <w:tc>
          <w:tcPr>
            <w:tcW w:w="20" w:type="dxa"/>
            <w:vAlign w:val="bottom"/>
            <w:tcBorders>
              <w:top w:val="single" w:sz="8" w:color="0000FF"/>
            </w:tcBorders>
            <w:shd w:val="clear" w:color="auto" w:fill="CCEEFF"/>
          </w:tcPr>
          <w:p>
            <w:pPr>
              <w:spacing w:after="0"/>
              <w:rPr>
                <w:sz w:val="21"/>
                <w:szCs w:val="21"/>
                <w:color w:val="auto"/>
              </w:rPr>
            </w:pPr>
          </w:p>
        </w:tc>
        <w:tc>
          <w:tcPr>
            <w:tcW w:w="260" w:type="dxa"/>
            <w:vAlign w:val="bottom"/>
            <w:tcBorders>
              <w:top w:val="single" w:sz="8" w:color="0000FF"/>
            </w:tcBorders>
            <w:shd w:val="clear" w:color="auto" w:fill="CCEEFF"/>
          </w:tcPr>
          <w:p>
            <w:pPr>
              <w:spacing w:after="0"/>
              <w:rPr>
                <w:sz w:val="21"/>
                <w:szCs w:val="21"/>
                <w:color w:val="auto"/>
              </w:rPr>
            </w:pPr>
          </w:p>
        </w:tc>
        <w:tc>
          <w:tcPr>
            <w:tcW w:w="300" w:type="dxa"/>
            <w:vAlign w:val="bottom"/>
            <w:tcBorders>
              <w:top w:val="single" w:sz="8" w:color="0000FF"/>
            </w:tcBorders>
            <w:shd w:val="clear" w:color="auto" w:fill="CCEEFF"/>
          </w:tcPr>
          <w:p>
            <w:pPr>
              <w:spacing w:after="0"/>
              <w:rPr>
                <w:sz w:val="21"/>
                <w:szCs w:val="21"/>
                <w:color w:val="auto"/>
              </w:rPr>
            </w:pPr>
          </w:p>
        </w:tc>
        <w:tc>
          <w:tcPr>
            <w:tcW w:w="160" w:type="dxa"/>
            <w:vAlign w:val="bottom"/>
            <w:tcBorders>
              <w:top w:val="single" w:sz="8" w:color="0000FF"/>
            </w:tcBorders>
            <w:shd w:val="clear" w:color="auto" w:fill="CCEEFF"/>
          </w:tcPr>
          <w:p>
            <w:pPr>
              <w:spacing w:after="0"/>
              <w:rPr>
                <w:sz w:val="21"/>
                <w:szCs w:val="21"/>
                <w:color w:val="auto"/>
              </w:rPr>
            </w:pPr>
          </w:p>
        </w:tc>
        <w:tc>
          <w:tcPr>
            <w:tcW w:w="580" w:type="dxa"/>
            <w:vAlign w:val="bottom"/>
            <w:tcBorders>
              <w:top w:val="single" w:sz="8" w:color="0000FF"/>
            </w:tcBorders>
            <w:shd w:val="clear" w:color="auto" w:fill="CCEEFF"/>
          </w:tcPr>
          <w:p>
            <w:pPr>
              <w:spacing w:after="0"/>
              <w:rPr>
                <w:sz w:val="21"/>
                <w:szCs w:val="21"/>
                <w:color w:val="auto"/>
              </w:rPr>
            </w:pPr>
          </w:p>
        </w:tc>
        <w:tc>
          <w:tcPr>
            <w:tcW w:w="560" w:type="dxa"/>
            <w:vAlign w:val="bottom"/>
            <w:tcBorders>
              <w:top w:val="single" w:sz="8" w:color="0000FF"/>
            </w:tcBorders>
            <w:shd w:val="clear" w:color="auto" w:fill="CCEEFF"/>
          </w:tcPr>
          <w:p>
            <w:pPr>
              <w:spacing w:after="0"/>
              <w:rPr>
                <w:sz w:val="21"/>
                <w:szCs w:val="21"/>
                <w:color w:val="auto"/>
              </w:rPr>
            </w:pPr>
          </w:p>
        </w:tc>
        <w:tc>
          <w:tcPr>
            <w:tcW w:w="1060" w:type="dxa"/>
            <w:vAlign w:val="bottom"/>
            <w:tcBorders>
              <w:top w:val="single" w:sz="8" w:color="0000FF"/>
            </w:tcBorders>
            <w:shd w:val="clear" w:color="auto" w:fill="CCEEFF"/>
          </w:tcPr>
          <w:p>
            <w:pPr>
              <w:spacing w:after="0"/>
              <w:rPr>
                <w:sz w:val="21"/>
                <w:szCs w:val="21"/>
                <w:color w:val="auto"/>
              </w:rPr>
            </w:pPr>
          </w:p>
        </w:tc>
        <w:tc>
          <w:tcPr>
            <w:tcW w:w="1260" w:type="dxa"/>
            <w:vAlign w:val="bottom"/>
            <w:tcBorders>
              <w:top w:val="single" w:sz="8" w:color="0000FF"/>
            </w:tcBorders>
            <w:shd w:val="clear" w:color="auto" w:fill="CCEEFF"/>
          </w:tcPr>
          <w:p>
            <w:pPr>
              <w:spacing w:after="0"/>
              <w:rPr>
                <w:sz w:val="21"/>
                <w:szCs w:val="21"/>
                <w:color w:val="auto"/>
              </w:rPr>
            </w:pPr>
          </w:p>
        </w:tc>
        <w:tc>
          <w:tcPr>
            <w:tcW w:w="80" w:type="dxa"/>
            <w:vAlign w:val="bottom"/>
            <w:tcBorders>
              <w:top w:val="single" w:sz="8" w:color="0000FF"/>
            </w:tcBorders>
            <w:shd w:val="clear" w:color="auto" w:fill="CCEEFF"/>
          </w:tcPr>
          <w:p>
            <w:pPr>
              <w:spacing w:after="0"/>
              <w:rPr>
                <w:sz w:val="21"/>
                <w:szCs w:val="21"/>
                <w:color w:val="auto"/>
              </w:rPr>
            </w:pPr>
          </w:p>
        </w:tc>
        <w:tc>
          <w:tcPr>
            <w:tcW w:w="1000" w:type="dxa"/>
            <w:vAlign w:val="bottom"/>
            <w:tcBorders>
              <w:top w:val="single" w:sz="8" w:color="0000FF"/>
            </w:tcBorders>
            <w:shd w:val="clear" w:color="auto" w:fill="CCEEFF"/>
          </w:tcPr>
          <w:p>
            <w:pPr>
              <w:spacing w:after="0"/>
              <w:rPr>
                <w:sz w:val="21"/>
                <w:szCs w:val="21"/>
                <w:color w:val="auto"/>
              </w:rPr>
            </w:pPr>
          </w:p>
        </w:tc>
        <w:tc>
          <w:tcPr>
            <w:tcW w:w="620" w:type="dxa"/>
            <w:vAlign w:val="bottom"/>
            <w:tcBorders>
              <w:top w:val="single" w:sz="8" w:color="0000FF"/>
            </w:tcBorders>
            <w:shd w:val="clear" w:color="auto" w:fill="CCEEFF"/>
          </w:tcPr>
          <w:p>
            <w:pPr>
              <w:spacing w:after="0"/>
              <w:rPr>
                <w:sz w:val="21"/>
                <w:szCs w:val="21"/>
                <w:color w:val="auto"/>
              </w:rPr>
            </w:pPr>
          </w:p>
        </w:tc>
        <w:tc>
          <w:tcPr>
            <w:tcW w:w="300" w:type="dxa"/>
            <w:vAlign w:val="bottom"/>
            <w:tcBorders>
              <w:top w:val="single" w:sz="8" w:color="0000FF"/>
            </w:tcBorders>
            <w:shd w:val="clear" w:color="auto" w:fill="CCEEFF"/>
          </w:tcPr>
          <w:p>
            <w:pPr>
              <w:spacing w:after="0"/>
              <w:rPr>
                <w:sz w:val="21"/>
                <w:szCs w:val="21"/>
                <w:color w:val="auto"/>
              </w:rPr>
            </w:pPr>
          </w:p>
        </w:tc>
        <w:tc>
          <w:tcPr>
            <w:tcW w:w="20" w:type="dxa"/>
            <w:vAlign w:val="bottom"/>
            <w:tcBorders>
              <w:top w:val="single" w:sz="8" w:color="0000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20" w:type="dxa"/>
            <w:vAlign w:val="bottom"/>
            <w:gridSpan w:val="23"/>
            <w:shd w:val="clear" w:color="auto" w:fill="CCEEFF"/>
          </w:tcPr>
          <w:p>
            <w:pPr>
              <w:spacing w:after="0" w:line="202" w:lineRule="exact"/>
              <w:rPr>
                <w:rFonts w:ascii="Arial" w:cs="Arial" w:eastAsia="Arial" w:hAnsi="Arial"/>
                <w:sz w:val="18"/>
                <w:szCs w:val="18"/>
                <w:color w:val="0000FF"/>
                <w:w w:val="98"/>
              </w:rPr>
            </w:pPr>
            <w:hyperlink w:anchor="page6">
              <w:r>
                <w:rPr>
                  <w:rFonts w:ascii="Arial" w:cs="Arial" w:eastAsia="Arial" w:hAnsi="Arial"/>
                  <w:sz w:val="18"/>
                  <w:szCs w:val="18"/>
                  <w:color w:val="0000FF"/>
                  <w:w w:val="98"/>
                </w:rPr>
                <w:t>UNAUDITED CONDENSED CONSOLIDATED STATEMENTS OF CASH FLOWS FOR THE SIX MONTHS</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8160" w:type="dxa"/>
            <w:vAlign w:val="bottom"/>
            <w:tcBorders>
              <w:top w:val="single" w:sz="8" w:color="0000FF"/>
            </w:tcBorders>
            <w:gridSpan w:val="22"/>
            <w:shd w:val="clear" w:color="auto" w:fill="CCEEFF"/>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ENDED JUNE 30, 2013 AND 2012</w:t>
              </w:r>
            </w:hyperlink>
          </w:p>
        </w:tc>
        <w:tc>
          <w:tcPr>
            <w:tcW w:w="26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714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97"/>
              </w:rPr>
            </w:pPr>
            <w:hyperlink w:anchor="page7">
              <w:r>
                <w:rPr>
                  <w:rFonts w:ascii="Arial" w:cs="Arial" w:eastAsia="Arial" w:hAnsi="Arial"/>
                  <w:sz w:val="18"/>
                  <w:szCs w:val="18"/>
                  <w:color w:val="0000FF"/>
                  <w:w w:val="97"/>
                </w:rPr>
                <w:t>UNAUDITED NOTES ACCOMPANYING THE CONDENSED CONSOLIDATED FINANCIAL</w:t>
              </w:r>
            </w:hyperlink>
          </w:p>
        </w:tc>
        <w:tc>
          <w:tcPr>
            <w:tcW w:w="1280" w:type="dxa"/>
            <w:vAlign w:val="bottom"/>
            <w:tcBorders>
              <w:bottom w:val="single" w:sz="8" w:color="CCEEFF"/>
            </w:tcBorders>
            <w:gridSpan w:val="5"/>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20" w:type="dxa"/>
            <w:vAlign w:val="bottom"/>
            <w:gridSpan w:val="23"/>
            <w:shd w:val="clear" w:color="auto" w:fill="CCEEFF"/>
          </w:tcPr>
          <w:p>
            <w:pPr>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STATEMENTS</w:t>
              </w:r>
            </w:hyperlink>
          </w:p>
        </w:tc>
        <w:tc>
          <w:tcPr>
            <w:tcW w:w="100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2.</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w:t>
              </w:r>
            </w:hyperlink>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776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w:anchor="page26">
              <w:r>
                <w:rPr>
                  <w:rFonts w:ascii="Arial" w:cs="Arial" w:eastAsia="Arial" w:hAnsi="Arial"/>
                  <w:sz w:val="18"/>
                  <w:szCs w:val="18"/>
                  <w:color w:val="0000FF"/>
                </w:rPr>
                <w:t>OPERATIONS</w:t>
              </w:r>
            </w:hyperlink>
          </w:p>
        </w:tc>
        <w:tc>
          <w:tcPr>
            <w:tcW w:w="660" w:type="dxa"/>
            <w:vAlign w:val="bottom"/>
            <w:tcBorders>
              <w:top w:val="single" w:sz="8" w:color="CCEEFF"/>
            </w:tcBorders>
            <w:gridSpan w:val="4"/>
            <w:shd w:val="clear" w:color="auto" w:fill="CCEEFF"/>
          </w:tcPr>
          <w:p>
            <w:pPr>
              <w:spacing w:after="0"/>
              <w:rPr>
                <w:sz w:val="21"/>
                <w:szCs w:val="21"/>
                <w:color w:val="auto"/>
              </w:rPr>
            </w:pPr>
          </w:p>
        </w:tc>
        <w:tc>
          <w:tcPr>
            <w:tcW w:w="100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3.</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QUANTITATIVE AND QUALITATIVE DISCLOSURES ABOUT MARKET RISK</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47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06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4.</w:t>
            </w:r>
          </w:p>
        </w:tc>
        <w:tc>
          <w:tcPr>
            <w:tcW w:w="2600" w:type="dxa"/>
            <w:vAlign w:val="bottom"/>
            <w:gridSpan w:val="12"/>
            <w:shd w:val="clear" w:color="auto" w:fill="CCEEFF"/>
          </w:tcPr>
          <w:p>
            <w:pPr>
              <w:spacing w:after="0" w:line="202" w:lineRule="exact"/>
              <w:rPr>
                <w:rFonts w:ascii="Arial" w:cs="Arial" w:eastAsia="Arial" w:hAnsi="Arial"/>
                <w:sz w:val="18"/>
                <w:szCs w:val="18"/>
                <w:color w:val="0000FF"/>
                <w:w w:val="93"/>
              </w:rPr>
            </w:pPr>
            <w:hyperlink w:anchor="page53">
              <w:r>
                <w:rPr>
                  <w:rFonts w:ascii="Arial" w:cs="Arial" w:eastAsia="Arial" w:hAnsi="Arial"/>
                  <w:sz w:val="18"/>
                  <w:szCs w:val="18"/>
                  <w:color w:val="0000FF"/>
                  <w:w w:val="93"/>
                </w:rPr>
                <w:t>CONTROLS AND PROCEDURES</w:t>
              </w:r>
            </w:hyperlink>
          </w:p>
        </w:tc>
        <w:tc>
          <w:tcPr>
            <w:tcW w:w="5820" w:type="dxa"/>
            <w:vAlign w:val="bottom"/>
            <w:gridSpan w:val="11"/>
            <w:shd w:val="clear" w:color="auto" w:fill="CCEEFF"/>
          </w:tcPr>
          <w:p>
            <w:pPr>
              <w:spacing w:after="0"/>
              <w:rPr>
                <w:sz w:val="21"/>
                <w:szCs w:val="21"/>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0420" w:type="dxa"/>
            <w:vAlign w:val="bottom"/>
            <w:gridSpan w:val="26"/>
            <w:shd w:val="clear" w:color="auto" w:fill="CCEEFF"/>
          </w:tcPr>
          <w:p>
            <w:pPr>
              <w:ind w:left="4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PART II. 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LEGAL PROCEEDINGS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1A.</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RISK FACTORS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2.</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UNREGISTERED SALES OF EQUITY SECURITIES AND USE OF PROCEEDS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060" w:type="dxa"/>
            <w:vAlign w:val="bottom"/>
            <w:tcBorders>
              <w:top w:val="single" w:sz="8" w:color="0000FF"/>
            </w:tcBorders>
          </w:tcPr>
          <w:p>
            <w:pPr>
              <w:spacing w:after="0"/>
              <w:rPr>
                <w:sz w:val="23"/>
                <w:szCs w:val="23"/>
                <w:color w:val="auto"/>
              </w:rPr>
            </w:pPr>
          </w:p>
        </w:tc>
        <w:tc>
          <w:tcPr>
            <w:tcW w:w="1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3.</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DEFAULTS UPON SENIOR SECURITIES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4.</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MINE SAFETY DISCLOSURES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5.</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OTHER INFORMATION</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ITEM 6.</w:t>
            </w:r>
          </w:p>
        </w:tc>
        <w:tc>
          <w:tcPr>
            <w:tcW w:w="8420" w:type="dxa"/>
            <w:vAlign w:val="bottom"/>
            <w:gridSpan w:val="23"/>
            <w:shd w:val="clear" w:color="auto" w:fill="CCEEFF"/>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EXHIBITS</w:t>
              </w:r>
            </w:hyperlink>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60" w:type="dxa"/>
            <w:vAlign w:val="bottom"/>
            <w:tcBorders>
              <w:top w:val="single" w:sz="8" w:color="CCEEFF"/>
            </w:tcBorders>
          </w:tcPr>
          <w:p>
            <w:pPr>
              <w:spacing w:after="0"/>
              <w:rPr>
                <w:sz w:val="23"/>
                <w:szCs w:val="23"/>
                <w:color w:val="auto"/>
              </w:rPr>
            </w:pPr>
          </w:p>
        </w:tc>
        <w:tc>
          <w:tcPr>
            <w:tcW w:w="1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00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SIGNATURES</w:t>
              </w:r>
            </w:hyperlink>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4"/>
        </w:trPr>
        <w:tc>
          <w:tcPr>
            <w:tcW w:w="60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3"/>
                <w:szCs w:val="23"/>
                <w:color w:val="auto"/>
              </w:rPr>
            </w:pPr>
          </w:p>
        </w:tc>
      </w:tr>
      <w:tr>
        <w:trPr>
          <w:trHeight w:val="34"/>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2012</w:t>
            </w:r>
          </w:p>
        </w:tc>
      </w:tr>
      <w:tr>
        <w:trPr>
          <w:trHeight w:val="34"/>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7"/>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40" w:type="dxa"/>
            <w:vAlign w:val="bottom"/>
            <w:gridSpan w:val="7"/>
          </w:tcPr>
          <w:p>
            <w:pPr>
              <w:ind w:left="20"/>
              <w:spacing w:after="0"/>
              <w:rPr>
                <w:sz w:val="20"/>
                <w:szCs w:val="20"/>
                <w:color w:val="auto"/>
              </w:rPr>
            </w:pPr>
            <w:r>
              <w:rPr>
                <w:rFonts w:ascii="Arial" w:cs="Arial" w:eastAsia="Arial" w:hAnsi="Arial"/>
                <w:sz w:val="18"/>
                <w:szCs w:val="18"/>
                <w:color w:val="auto"/>
                <w:w w:val="90"/>
              </w:rPr>
              <w:t>(in millions, except per share amounts)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Natural gas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218.1</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402.5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218.0</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95.6</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206.7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397.4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309.3</w:t>
            </w:r>
          </w:p>
        </w:tc>
      </w:tr>
      <w:tr>
        <w:trPr>
          <w:trHeight w:val="284"/>
        </w:trPr>
        <w:tc>
          <w:tcPr>
            <w:tcW w:w="6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751.0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499.3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1,447.5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1,102.5</w:t>
            </w: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Purchased gas, oil and NGL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403.8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313.3</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Natural gas, oil and NGL transportation and other handling costs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75.2</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processing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72.8</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249.8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504.0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413.7</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8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w:t>
            </w: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1,110.0</w:t>
            </w:r>
          </w:p>
        </w:tc>
      </w:tr>
      <w:tr>
        <w:trPr>
          <w:trHeight w:val="284"/>
        </w:trPr>
        <w:tc>
          <w:tcPr>
            <w:tcW w:w="6060" w:type="dxa"/>
            <w:vAlign w:val="bottom"/>
          </w:tcPr>
          <w:p>
            <w:pPr>
              <w:ind w:left="40"/>
              <w:spacing w:after="0"/>
              <w:rPr>
                <w:sz w:val="20"/>
                <w:szCs w:val="20"/>
                <w:color w:val="auto"/>
              </w:rPr>
            </w:pPr>
            <w:r>
              <w:rPr>
                <w:rFonts w:ascii="Arial" w:cs="Arial" w:eastAsia="Arial" w:hAnsi="Arial"/>
                <w:sz w:val="18"/>
                <w:szCs w:val="18"/>
                <w:color w:val="auto"/>
              </w:rPr>
              <w:t>Net gain from asset sales</w:t>
            </w:r>
          </w:p>
        </w:tc>
        <w:tc>
          <w:tcPr>
            <w:tcW w:w="2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100.4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100.2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44"/>
        </w:trPr>
        <w:tc>
          <w:tcPr>
            <w:tcW w:w="60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Realized and unrealized gains on derivative contracts (See Note 7)</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114.0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298.6</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245.0</w:t>
            </w: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w:t>
            </w: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QEP</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 QEP</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Basic total</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0.99</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0.87</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0.99</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r>
      <w:tr>
        <w:trPr>
          <w:trHeight w:val="284"/>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Used in basic calculation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179.3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177.6</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Used in diluted calculation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Dividends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0.02</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0.04</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4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21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8"/>
              </w:rPr>
              <w:t>Six Months Ended</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4"/>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Reclassification of previously deferred derivative gains</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Amortization of net actuarial loss </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7"/>
        </w:trPr>
        <w:tc>
          <w:tcPr>
            <w:tcW w:w="5820" w:type="dxa"/>
            <w:vAlign w:val="bottom"/>
            <w:tcBorders>
              <w:bottom w:val="single" w:sz="8" w:color="CCEEFF"/>
            </w:tcBorders>
          </w:tcPr>
          <w:p>
            <w:pPr>
              <w:ind w:left="360"/>
              <w:spacing w:after="0" w:line="270" w:lineRule="exact"/>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25"/>
                <w:szCs w:val="25"/>
                <w:color w:val="auto"/>
                <w:vertAlign w:val="superscript"/>
              </w:rPr>
              <w:t>(3)</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7"/>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pension and other postretirement plans adjustments</w:t>
            </w:r>
          </w:p>
        </w:tc>
        <w:tc>
          <w:tcPr>
            <w:tcW w:w="2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8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8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QEP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8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60" w:hanging="314"/>
        <w:spacing w:after="0" w:line="209"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benefit of $12.2 million and $24.1 million during the three and six months ended June 30, 2013 and $26.5 million and $54.3 million during the three and six months ended June 30, 2012, respectively.</w:t>
      </w:r>
    </w:p>
    <w:p>
      <w:pPr>
        <w:spacing w:after="0" w:line="1" w:lineRule="exact"/>
        <w:rPr>
          <w:rFonts w:ascii="Arial" w:cs="Arial" w:eastAsia="Arial" w:hAnsi="Arial"/>
          <w:sz w:val="25"/>
          <w:szCs w:val="25"/>
          <w:color w:val="auto"/>
          <w:vertAlign w:val="superscript"/>
        </w:rPr>
      </w:pPr>
    </w:p>
    <w:p>
      <w:pPr>
        <w:ind w:left="660" w:hanging="314"/>
        <w:spacing w:after="0" w:line="209"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$0.3 million and $0.5 million during the three and six months ended June 30, 2013 and $0.1 million and $0.2 million during the three and six months ended June 30, 2012, respectively.</w:t>
      </w:r>
    </w:p>
    <w:p>
      <w:pPr>
        <w:spacing w:after="0" w:line="1" w:lineRule="exact"/>
        <w:rPr>
          <w:rFonts w:ascii="Arial" w:cs="Arial" w:eastAsia="Arial" w:hAnsi="Arial"/>
          <w:sz w:val="25"/>
          <w:szCs w:val="25"/>
          <w:color w:val="auto"/>
          <w:vertAlign w:val="superscript"/>
        </w:rPr>
      </w:pPr>
    </w:p>
    <w:p>
      <w:pPr>
        <w:ind w:left="660" w:right="60" w:hanging="314"/>
        <w:spacing w:after="0" w:line="211"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$0.5 million and $1.0 million and during the three and six months ended June 30, 2013 and $0.5 million and $1.1 million during the three and six months ended June 30, 2012, respectively.</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2013</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89"/>
              </w:rPr>
              <w:t>December 31, 2012</w:t>
            </w:r>
          </w:p>
        </w:tc>
        <w:tc>
          <w:tcPr>
            <w:tcW w:w="0" w:type="dxa"/>
            <w:vAlign w:val="bottom"/>
          </w:tcPr>
          <w:p>
            <w:pPr>
              <w:spacing w:after="0"/>
              <w:rPr>
                <w:sz w:val="1"/>
                <w:szCs w:val="1"/>
                <w:color w:val="auto"/>
              </w:rPr>
            </w:pPr>
          </w:p>
        </w:tc>
      </w:tr>
      <w:tr>
        <w:trPr>
          <w:trHeight w:val="34"/>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3"/>
          </w:tcPr>
          <w:p>
            <w:pPr>
              <w:ind w:left="920"/>
              <w:spacing w:after="0"/>
              <w:rPr>
                <w:sz w:val="20"/>
                <w:szCs w:val="20"/>
                <w:color w:val="auto"/>
              </w:rPr>
            </w:pPr>
            <w:r>
              <w:rPr>
                <w:rFonts w:ascii="Arial" w:cs="Arial" w:eastAsia="Arial" w:hAnsi="Arial"/>
                <w:sz w:val="18"/>
                <w:szCs w:val="18"/>
                <w:color w:val="auto"/>
              </w:rPr>
              <w:t>(in millions)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139.7</w:t>
            </w:r>
          </w:p>
        </w:tc>
        <w:tc>
          <w:tcPr>
            <w:tcW w:w="10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489.8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104.1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inventories, at lower of average cost or market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49.3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793.1</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(successful efforts method for gas and oil properties)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10,802.2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919.8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Midstream field services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1,650.5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1,634.9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resources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Material and supplies</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62.3</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13,511.8</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12,933.6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and production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4,624.8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4,258.1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Midstream field services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382.1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resources</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5,027.9</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4,634.1</w:t>
            </w:r>
          </w:p>
        </w:tc>
        <w:tc>
          <w:tcPr>
            <w:tcW w:w="0" w:type="dxa"/>
            <w:vAlign w:val="bottom"/>
          </w:tcPr>
          <w:p>
            <w:pPr>
              <w:spacing w:after="0"/>
              <w:rPr>
                <w:sz w:val="1"/>
                <w:szCs w:val="1"/>
                <w:color w:val="auto"/>
              </w:rPr>
            </w:pPr>
          </w:p>
        </w:tc>
      </w:tr>
      <w:tr>
        <w:trPr>
          <w:trHeight w:val="271"/>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8,483.9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8,299.5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51.7</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9,447.1</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9,108.5</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496.7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4"/>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1"/>
        </w:trPr>
        <w:tc>
          <w:tcPr>
            <w:tcW w:w="83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683.4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8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3,405.7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3,206.9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1,603.3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179.9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123.7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 par value $0.01 per share; 500.0 million shares authorized;</w:t>
            </w:r>
          </w:p>
        </w:tc>
        <w:tc>
          <w:tcPr>
            <w:tcW w:w="18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179.6 million and 178.5 million shares issued,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Treasury stock - 0.3 million and 0.1 million shares, respectively</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2,940.0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2,773.0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Total Common Shareholders' Equity</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3,404.6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3,266.0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46.5</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3,451.1</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3,313.7</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9,447.1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9,108.5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6"/>
          <w:szCs w:val="16"/>
          <w:color w:val="auto"/>
        </w:rPr>
        <w:t>See notes accompanying the condensed consolidated financial statements.</w:t>
      </w:r>
    </w:p>
    <w:p>
      <w:pPr>
        <w:sectPr>
          <w:pgSz w:w="11900" w:h="16838" w:orient="portrait"/>
          <w:cols w:equalWidth="0" w:num="1">
            <w:col w:w="9019"/>
          </w:cols>
          <w:pgMar w:left="1440" w:top="341"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41"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8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Pr>
          <w:p>
            <w:pPr>
              <w:spacing w:after="0"/>
              <w:rPr>
                <w:sz w:val="23"/>
                <w:szCs w:val="23"/>
                <w:color w:val="auto"/>
              </w:rPr>
            </w:pPr>
          </w:p>
        </w:tc>
      </w:tr>
      <w:tr>
        <w:trPr>
          <w:trHeight w:val="34"/>
        </w:trPr>
        <w:tc>
          <w:tcPr>
            <w:tcW w:w="8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8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2012</w:t>
            </w:r>
          </w:p>
        </w:tc>
      </w:tr>
      <w:tr>
        <w:trPr>
          <w:trHeight w:val="34"/>
        </w:trPr>
        <w:tc>
          <w:tcPr>
            <w:tcW w:w="8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8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jc w:val="center"/>
              <w:ind w:left="470"/>
              <w:spacing w:after="0"/>
              <w:rPr>
                <w:sz w:val="20"/>
                <w:szCs w:val="20"/>
                <w:color w:val="auto"/>
              </w:rPr>
            </w:pPr>
            <w:r>
              <w:rPr>
                <w:rFonts w:ascii="Arial" w:cs="Arial" w:eastAsia="Arial" w:hAnsi="Arial"/>
                <w:sz w:val="18"/>
                <w:szCs w:val="18"/>
                <w:color w:val="auto"/>
                <w:w w:val="96"/>
              </w:rPr>
              <w:t>(in millions)</w:t>
            </w:r>
          </w:p>
        </w:tc>
        <w:tc>
          <w:tcPr>
            <w:tcW w:w="820" w:type="dxa"/>
            <w:vAlign w:val="bottom"/>
          </w:tcPr>
          <w:p>
            <w:pPr>
              <w:spacing w:after="0"/>
              <w:rPr>
                <w:sz w:val="21"/>
                <w:szCs w:val="21"/>
                <w:color w:val="auto"/>
              </w:rPr>
            </w:pPr>
          </w:p>
        </w:tc>
      </w:tr>
      <w:tr>
        <w:trPr>
          <w:trHeight w:val="270"/>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413.7</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121.0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77.1</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12.3</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Dry exploratory well expense</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from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from unconsolidated affiliates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r>
      <w:tr>
        <w:trPr>
          <w:trHeight w:val="243"/>
        </w:trPr>
        <w:tc>
          <w:tcPr>
            <w:tcW w:w="8620" w:type="dxa"/>
            <w:vAlign w:val="bottom"/>
          </w:tcPr>
          <w:p>
            <w:pPr>
              <w:ind w:left="180"/>
              <w:spacing w:after="0"/>
              <w:rPr>
                <w:sz w:val="20"/>
                <w:szCs w:val="20"/>
                <w:color w:val="auto"/>
              </w:rPr>
            </w:pPr>
            <w:r>
              <w:rPr>
                <w:rFonts w:ascii="Arial" w:cs="Arial" w:eastAsia="Arial" w:hAnsi="Arial"/>
                <w:sz w:val="18"/>
                <w:szCs w:val="18"/>
                <w:color w:val="auto"/>
              </w:rPr>
              <w:t>Non-cash loss on early extinguishment of debt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 (gain) on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8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61.7</w:t>
            </w:r>
          </w:p>
        </w:tc>
      </w:tr>
      <w:tr>
        <w:trPr>
          <w:trHeight w:val="277"/>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497.9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694.3</w:t>
            </w:r>
          </w:p>
        </w:tc>
      </w:tr>
      <w:tr>
        <w:trPr>
          <w:trHeight w:val="237"/>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(719.9)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(681.5)</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84"/>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77"/>
        </w:trPr>
        <w:tc>
          <w:tcPr>
            <w:tcW w:w="8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(681.9)</w:t>
            </w:r>
          </w:p>
        </w:tc>
      </w:tr>
      <w:tr>
        <w:trPr>
          <w:trHeight w:val="244"/>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55.8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issued</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Long-term debt issuance costs paid</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repaid</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Proceeds from credit facility</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898.5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194.5</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(801.0)</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capital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 on 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84"/>
        </w:trPr>
        <w:tc>
          <w:tcPr>
            <w:tcW w:w="8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71"/>
        </w:trPr>
        <w:tc>
          <w:tcPr>
            <w:tcW w:w="8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134.0</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139.7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146.4</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7"/>
        </w:trPr>
        <w:tc>
          <w:tcPr>
            <w:tcW w:w="8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cash and cash equivalents</w:t>
            </w: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4"/>
        </w:trPr>
        <w:tc>
          <w:tcPr>
            <w:tcW w:w="86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8"/>
                <w:szCs w:val="18"/>
                <w:color w:val="auto"/>
              </w:rPr>
              <w:t>Ending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139.7</w:t>
            </w:r>
          </w:p>
        </w:tc>
        <w:tc>
          <w:tcPr>
            <w:tcW w:w="100" w:type="dxa"/>
            <w:vAlign w:val="bottom"/>
            <w:tcBorders>
              <w:top w:val="single" w:sz="8" w:color="CCEEFF"/>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146.4</w:t>
            </w:r>
          </w:p>
        </w:tc>
      </w:tr>
      <w:tr>
        <w:trPr>
          <w:trHeight w:val="271"/>
        </w:trPr>
        <w:tc>
          <w:tcPr>
            <w:tcW w:w="8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41.5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8.0</w:t>
            </w:r>
          </w:p>
        </w:tc>
      </w:tr>
      <w:tr>
        <w:trPr>
          <w:trHeight w:val="27"/>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color w:val="auto"/>
              </w:rPr>
              <w:t>Change in capital expenditure accrual balance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45.3</w:t>
            </w:r>
          </w:p>
        </w:tc>
      </w:tr>
    </w:tbl>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200"/>
          </w:cols>
          <w:pgMar w:left="240" w:top="580" w:right="459" w:bottom="1043" w:gutter="0" w:footer="0" w:header="0"/>
        </w:sectPr>
      </w:pP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00"/>
          </w:cols>
          <w:pgMar w:left="240" w:top="580" w:right="459" w:bottom="1043"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82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QEP Resources, Inc. (QEP or the Company) is a holding company with three major lines of business: natural gas and crude oil exploration and production; midstream field services; and energy marketing. These businesses are conducted through the Company’s three principal subsidiaries:</w:t>
      </w:r>
    </w:p>
    <w:p>
      <w:pPr>
        <w:spacing w:after="0" w:line="14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oil, and natural gas liquids (NGL);</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including natural gas gathering, processing, compression, and treating services, for affiliates and third parties;</w:t>
      </w:r>
    </w:p>
    <w:p>
      <w:pPr>
        <w:ind w:lef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and owns and operates an underground gas-storage reservoir.</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QEP's operations are focused in two major regions: the Northern Region (primarily in North Dakota, Wyoming and Utah) and the Southern Region (primarily in Oklahoma, Louisiana and the Texas Panhandle) of the United States. QEP’s corporate headquarters are located in Denver, Colorado.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Shares of QEP Resources’ common stock trade on the New York Stock Exchange under the ticker symbol “QEP”.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of Interim Consolidated Financial Statements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 for the year ended December 31, 2012.</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six months ended June 30, 2013, are not necessarily indicative of the results that may be expected for the year ending December 31,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February of 2013, the FASB issued ASU 2013-02, </w:t>
      </w:r>
      <w:r>
        <w:rPr>
          <w:rFonts w:ascii="Arial" w:cs="Arial" w:eastAsia="Arial" w:hAnsi="Arial"/>
          <w:sz w:val="17"/>
          <w:szCs w:val="17"/>
          <w:i w:val="1"/>
          <w:iCs w:val="1"/>
          <w:color w:val="auto"/>
        </w:rPr>
        <w:t>Other Comprehensive Income (Topic 220: Reporting of Amounts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Income), </w:t>
      </w:r>
      <w:r>
        <w:rPr>
          <w:rFonts w:ascii="Arial" w:cs="Arial" w:eastAsia="Arial" w:hAnsi="Arial"/>
          <w:sz w:val="17"/>
          <w:szCs w:val="17"/>
          <w:color w:val="auto"/>
        </w:rPr>
        <w:t>which seeks to improve the reporting of entities by requiring an entity to report the effect of significant reclassifications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The amendments are effective prospectively for reporting periods beginning on or after December 15, 2012. The Company adopted this standard in the first quarter of 2013 and noted that it did not have a significant impact on the Company's consolidated financial statements.</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In December of 2011, the FASB issued ASU 2011-11, </w:t>
      </w:r>
      <w:r>
        <w:rPr>
          <w:rFonts w:ascii="Arial" w:cs="Arial" w:eastAsia="Arial" w:hAnsi="Arial"/>
          <w:sz w:val="18"/>
          <w:szCs w:val="18"/>
          <w:i w:val="1"/>
          <w:iCs w:val="1"/>
          <w:color w:val="auto"/>
        </w:rPr>
        <w:t>Disclosures about Offsetting Assets and Liabilities,</w:t>
      </w:r>
      <w:r>
        <w:rPr>
          <w:rFonts w:ascii="Arial" w:cs="Arial" w:eastAsia="Arial" w:hAnsi="Arial"/>
          <w:sz w:val="18"/>
          <w:szCs w:val="18"/>
          <w:color w:val="auto"/>
        </w:rPr>
        <w:t xml:space="preserve"> which enhances disclosure requirements regarding an entity’s financial instruments and derivative instruments that are offset or subject to a master netting arrangement. This information about offsetting and related netting arrangements will enable users of financial statements to understand the effect of those arrangements on the entity’s financial position, including the effect of rights of setoff. Additionally, the FASB issued ASU 2013-01, </w:t>
      </w:r>
      <w:r>
        <w:rPr>
          <w:rFonts w:ascii="Arial" w:cs="Arial" w:eastAsia="Arial" w:hAnsi="Arial"/>
          <w:sz w:val="18"/>
          <w:szCs w:val="18"/>
          <w:i w:val="1"/>
          <w:iCs w:val="1"/>
          <w:color w:val="auto"/>
        </w:rPr>
        <w:t>Clarifying the Scope of Disclosures about Offsetting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8" w:name="page9"/>
    <w:bookmarkEnd w:id="8"/>
    <w:p>
      <w:pPr>
        <w:ind w:right="140"/>
        <w:spacing w:after="0" w:line="264" w:lineRule="auto"/>
        <w:rPr>
          <w:sz w:val="20"/>
          <w:szCs w:val="20"/>
          <w:color w:val="auto"/>
        </w:rPr>
      </w:pPr>
      <w:r>
        <w:rPr>
          <w:rFonts w:ascii="Arial" w:cs="Arial" w:eastAsia="Arial" w:hAnsi="Arial"/>
          <w:sz w:val="18"/>
          <w:szCs w:val="18"/>
          <w:color w:val="auto"/>
        </w:rPr>
        <w:t>which clarifies the implementation of ASU 2011-01. The amendments are required for annual reporting periods beginning after January 1, 2013, and interim periods within those annual periods. The Company adopted this standard effective January 1, 2013. It did not have a significant impact on the Company's consolidated financial statements.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July of 2012, the FASB issued ASU 2012-02, </w:t>
      </w:r>
      <w:r>
        <w:rPr>
          <w:rFonts w:ascii="Arial" w:cs="Arial" w:eastAsia="Arial" w:hAnsi="Arial"/>
          <w:sz w:val="17"/>
          <w:szCs w:val="17"/>
          <w:i w:val="1"/>
          <w:iCs w:val="1"/>
          <w:color w:val="auto"/>
        </w:rPr>
        <w:t>Intangibles - Goodwill and Other: Testing Indefinite-Lived Intangible Assets for Impairment</w:t>
      </w:r>
      <w:r>
        <w:rPr>
          <w:rFonts w:ascii="Arial" w:cs="Arial" w:eastAsia="Arial" w:hAnsi="Arial"/>
          <w:sz w:val="17"/>
          <w:szCs w:val="17"/>
          <w:color w:val="auto"/>
        </w:rPr>
        <w:t>, which revises the way an entity can test indefinite-lived intangible assets for impairment by allowing an entity to first assess qualitative factors to determine whether the existence of events and circumstances indicates that it is more likely than not that the indefinite-lived intangible asset is impaired. If there is no indication of impairment from the qualitative impairment test, the entity is not required to complete a quantitative impairment test of determining and comparing the fair value with the carrying amount of the indefinite-lived asset. Under the guidance in this ASU, an entity also has the option to bypass the qualitative assessment in any period and proceed directly to performing the quantitative impairment test, while retaining the ability to resume performing the qualitative assessment in any subsequent period. The amendments are effective for annual and interim impairment tests performed for fiscal years beginning after September 15, 2012. The Company adopted this standard January 1, 2013, which has allowed the Company to more efficiently complete the annual goodwill impairment test but has not had a significant impact on the Company's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3"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On September 27, 2012, QEP Energy completed an acquisition of oil and gas properties in the Williston Basin for an aggregate purchase price of approximately $1.4 billion, subject to post-closing adjustments (the 2012 Acquisition). The properties are located in Williams and McKenzie counties of North Dakota, approximately 12 miles west of QEP's then-existing core acreage in the Williston Basin.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2012 Acquisition meets the definition of a business combination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 it included proved properties. QEP allocated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cost of the 2012 Acquisition to assets acquired and liabilities assumed based on fair values as of the acquisition date. Revenues of $56.5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$114.1 million and net income of $10.3 million and $23.4 million were generated from the acquired properties during the three and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2013, respectively, and are included in QEP's Condensed Consolidated Statements of Operations.</w:t>
      </w:r>
    </w:p>
    <w:p>
      <w:pPr>
        <w:spacing w:after="0" w:line="21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QEP Energy recorded the 2012 Acquisition on its Condensed Consolidated Balance Sheet; however, the final purchase price is subject to revision based on the settlement of post-closing adjustments. The following table presents a summary of the Company's preliminary purchase accounting entries:</w:t>
      </w:r>
    </w:p>
    <w:p>
      <w:pPr>
        <w:spacing w:after="0" w:line="66" w:lineRule="exact"/>
        <w:rPr>
          <w:sz w:val="20"/>
          <w:szCs w:val="20"/>
          <w:color w:val="auto"/>
        </w:rPr>
      </w:pPr>
    </w:p>
    <w:p>
      <w:pPr>
        <w:jc w:val="center"/>
        <w:ind w:left="8920"/>
        <w:spacing w:after="0"/>
        <w:rPr>
          <w:sz w:val="20"/>
          <w:szCs w:val="20"/>
          <w:color w:val="auto"/>
        </w:rPr>
      </w:pPr>
      <w:r>
        <w:rPr>
          <w:rFonts w:ascii="Arial" w:cs="Arial" w:eastAsia="Arial" w:hAnsi="Arial"/>
          <w:sz w:val="18"/>
          <w:szCs w:val="18"/>
          <w:b w:val="1"/>
          <w:bCs w:val="1"/>
          <w:color w:val="auto"/>
        </w:rPr>
        <w:t>As of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34290</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61" w:lineRule="exact"/>
        <w:rPr>
          <w:sz w:val="20"/>
          <w:szCs w:val="20"/>
          <w:color w:val="auto"/>
        </w:rPr>
      </w:pPr>
    </w:p>
    <w:p>
      <w:pPr>
        <w:jc w:val="center"/>
        <w:ind w:left="8920"/>
        <w:spacing w:after="0"/>
        <w:rPr>
          <w:sz w:val="20"/>
          <w:szCs w:val="20"/>
          <w:color w:val="auto"/>
        </w:rPr>
      </w:pPr>
      <w:r>
        <w:rPr>
          <w:rFonts w:ascii="Arial" w:cs="Arial" w:eastAsia="Arial" w:hAnsi="Arial"/>
          <w:sz w:val="18"/>
          <w:szCs w:val="18"/>
          <w:color w:val="auto"/>
        </w:rPr>
        <w:t>(in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Consideration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tabs>
          <w:tab w:leader="none" w:pos="8920" w:val="left"/>
          <w:tab w:leader="none" w:pos="10760" w:val="left"/>
        </w:tabs>
        <w:rPr>
          <w:sz w:val="20"/>
          <w:szCs w:val="20"/>
          <w:color w:val="auto"/>
        </w:rPr>
      </w:pPr>
      <w:r>
        <w:rPr>
          <w:rFonts w:ascii="Arial" w:cs="Arial" w:eastAsia="Arial" w:hAnsi="Arial"/>
          <w:sz w:val="18"/>
          <w:szCs w:val="18"/>
          <w:color w:val="auto"/>
        </w:rPr>
        <w:t>Cash consideration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1,392.3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Amounts recognized for preliminary fair value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Proved properties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Unproved properties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Asset retirement obligations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Liabilities assumed</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fair value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713.8</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683.1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34290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(0.9)</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15951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57"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1,392.3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41910</wp:posOffset>
            </wp:positionV>
            <wp:extent cx="15951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51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59055</wp:posOffset>
            </wp:positionV>
            <wp:extent cx="15951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8220" w:space="720"/>
            <w:col w:w="2480"/>
          </w:cols>
          <w:pgMar w:left="240" w:top="584" w:right="239" w:bottom="1440" w:gutter="0" w:footer="0" w:header="0"/>
          <w:type w:val="continuous"/>
        </w:sectPr>
      </w:pPr>
    </w:p>
    <w:p>
      <w:pPr>
        <w:spacing w:after="0" w:line="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unaudited, pro forma results of operations are provided for the three and six months ended June 30, 2012. These supplemental pro forma results of operations are provided for illustrative purposes only and may not be indicative of the actual results that would have been achieved by the acquired properties for the period presented or that may be achieved by such properties in the future. Future results may vary significantly from the results reflected in this pro forma financial information because of future events and transactions, as well as other factors. The pro forma information is based on QEP's consolidated results of operations for the three and six months ended June 30, 2012, on the acquired properties' historical results of operations and on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preliminary purchase price allocation. The pro forma results of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type w:val="continuous"/>
        </w:sectPr>
      </w:pPr>
    </w:p>
    <w:bookmarkStart w:id="9" w:name="page10"/>
    <w:bookmarkEnd w:id="9"/>
    <w:p>
      <w:pPr>
        <w:ind w:right="500"/>
        <w:spacing w:after="0" w:line="277" w:lineRule="auto"/>
        <w:rPr>
          <w:sz w:val="20"/>
          <w:szCs w:val="20"/>
          <w:color w:val="auto"/>
        </w:rPr>
      </w:pPr>
      <w:r>
        <w:rPr>
          <w:rFonts w:ascii="Arial" w:cs="Arial" w:eastAsia="Arial" w:hAnsi="Arial"/>
          <w:sz w:val="18"/>
          <w:szCs w:val="18"/>
          <w:color w:val="auto"/>
        </w:rPr>
        <w:t>operations do not include any cost savings or other synergies that may result from the 2012 Acquisition or any estimated costs that have been or will be incurred by the Company to integrate the acquired properties.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3440" w:type="dxa"/>
            <w:vAlign w:val="bottom"/>
            <w:gridSpan w:val="5"/>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380" w:type="dxa"/>
            <w:vAlign w:val="bottom"/>
          </w:tcPr>
          <w:p>
            <w:pPr>
              <w:spacing w:after="0"/>
              <w:rPr>
                <w:sz w:val="20"/>
                <w:szCs w:val="20"/>
                <w:color w:val="auto"/>
              </w:rPr>
            </w:pPr>
          </w:p>
        </w:tc>
        <w:tc>
          <w:tcPr>
            <w:tcW w:w="3140" w:type="dxa"/>
            <w:vAlign w:val="bottom"/>
            <w:gridSpan w:val="3"/>
          </w:tcPr>
          <w:p>
            <w:pPr>
              <w:jc w:val="right"/>
              <w:ind w:right="990"/>
              <w:spacing w:after="0"/>
              <w:rPr>
                <w:sz w:val="20"/>
                <w:szCs w:val="20"/>
                <w:color w:val="auto"/>
              </w:rPr>
            </w:pPr>
            <w:r>
              <w:rPr>
                <w:rFonts w:ascii="Arial" w:cs="Arial" w:eastAsia="Arial" w:hAnsi="Arial"/>
                <w:sz w:val="18"/>
                <w:szCs w:val="18"/>
                <w:color w:val="auto"/>
              </w:rPr>
              <w:t>Six Months Ended</w:t>
            </w:r>
          </w:p>
        </w:tc>
      </w:tr>
      <w:tr>
        <w:trPr>
          <w:trHeight w:val="270"/>
        </w:trPr>
        <w:tc>
          <w:tcPr>
            <w:tcW w:w="44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60" w:type="dxa"/>
            <w:vAlign w:val="bottom"/>
            <w:gridSpan w:val="4"/>
          </w:tcPr>
          <w:p>
            <w:pPr>
              <w:jc w:val="center"/>
              <w:ind w:right="1160"/>
              <w:spacing w:after="0"/>
              <w:rPr>
                <w:sz w:val="20"/>
                <w:szCs w:val="20"/>
                <w:color w:val="auto"/>
              </w:rPr>
            </w:pPr>
            <w:r>
              <w:rPr>
                <w:rFonts w:ascii="Arial" w:cs="Arial" w:eastAsia="Arial" w:hAnsi="Arial"/>
                <w:sz w:val="18"/>
                <w:szCs w:val="18"/>
                <w:color w:val="auto"/>
                <w:w w:val="87"/>
              </w:rPr>
              <w:t>June 30, 2012</w:t>
            </w:r>
          </w:p>
        </w:tc>
        <w:tc>
          <w:tcPr>
            <w:tcW w:w="380" w:type="dxa"/>
            <w:vAlign w:val="bottom"/>
          </w:tcPr>
          <w:p>
            <w:pPr>
              <w:spacing w:after="0"/>
              <w:rPr>
                <w:sz w:val="23"/>
                <w:szCs w:val="23"/>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June 30, 2012</w:t>
            </w:r>
          </w:p>
        </w:tc>
        <w:tc>
          <w:tcPr>
            <w:tcW w:w="1220" w:type="dxa"/>
            <w:vAlign w:val="bottom"/>
          </w:tcPr>
          <w:p>
            <w:pPr>
              <w:spacing w:after="0"/>
              <w:rPr>
                <w:sz w:val="23"/>
                <w:szCs w:val="23"/>
                <w:color w:val="auto"/>
              </w:rPr>
            </w:pPr>
          </w:p>
        </w:tc>
      </w:tr>
      <w:tr>
        <w:trPr>
          <w:trHeight w:val="27"/>
        </w:trPr>
        <w:tc>
          <w:tcPr>
            <w:tcW w:w="44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Actual</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Pro forma</w:t>
            </w:r>
          </w:p>
        </w:tc>
        <w:tc>
          <w:tcPr>
            <w:tcW w:w="38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color w:val="auto"/>
              </w:rPr>
              <w:t>Actual</w:t>
            </w:r>
          </w:p>
        </w:tc>
        <w:tc>
          <w:tcPr>
            <w:tcW w:w="58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w w:val="91"/>
              </w:rPr>
              <w:t>Pro forma</w:t>
            </w:r>
          </w:p>
        </w:tc>
      </w:tr>
      <w:tr>
        <w:trPr>
          <w:trHeight w:val="27"/>
        </w:trPr>
        <w:tc>
          <w:tcPr>
            <w:tcW w:w="44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4"/>
          </w:tcPr>
          <w:p>
            <w:pPr>
              <w:jc w:val="right"/>
              <w:ind w:right="330"/>
              <w:spacing w:after="0"/>
              <w:rPr>
                <w:sz w:val="20"/>
                <w:szCs w:val="20"/>
                <w:color w:val="auto"/>
              </w:rPr>
            </w:pPr>
            <w:r>
              <w:rPr>
                <w:rFonts w:ascii="Arial" w:cs="Arial" w:eastAsia="Arial" w:hAnsi="Arial"/>
                <w:sz w:val="18"/>
                <w:szCs w:val="18"/>
                <w:color w:val="auto"/>
                <w:w w:val="98"/>
              </w:rPr>
              <w:t>(in millions, except per share data)</w:t>
            </w:r>
          </w:p>
        </w:tc>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1"/>
        </w:trPr>
        <w:tc>
          <w:tcPr>
            <w:tcW w:w="4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499.3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1,102.5</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Net income attributable to QEP</w:t>
            </w:r>
          </w:p>
        </w:tc>
        <w:tc>
          <w:tcPr>
            <w:tcW w:w="10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154.5</w:t>
            </w:r>
          </w:p>
        </w:tc>
        <w:tc>
          <w:tcPr>
            <w:tcW w:w="5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160.1</w:t>
            </w:r>
          </w:p>
        </w:tc>
      </w:tr>
      <w:tr>
        <w:trPr>
          <w:trHeight w:val="27"/>
        </w:trPr>
        <w:tc>
          <w:tcPr>
            <w:tcW w:w="4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 attributable to QEP</w:t>
            </w: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Basic</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0.87</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0.90</w:t>
            </w:r>
          </w:p>
        </w:tc>
      </w:tr>
      <w:tr>
        <w:trPr>
          <w:trHeight w:val="27"/>
        </w:trPr>
        <w:tc>
          <w:tcPr>
            <w:tcW w:w="4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0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0.87</w:t>
            </w:r>
          </w:p>
        </w:tc>
        <w:tc>
          <w:tcPr>
            <w:tcW w:w="5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0.90</w:t>
            </w:r>
          </w:p>
        </w:tc>
      </w:tr>
      <w:tr>
        <w:trPr>
          <w:trHeight w:val="27"/>
        </w:trPr>
        <w:tc>
          <w:tcPr>
            <w:tcW w:w="4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2013, QEP Energy sold its interests in several non-core oil and gas properties located in the Northern Region for total cash proceeds of $139.7 million and recorded a pre-tax gain on sale of $102.5 million, both of which are subject to post-closing adjustments. During the quarter ended June 30, 2013, QEP Energy recorded the gain on its Condensed Consolidated Statement of Operation in "Net gain from asset sales".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29"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Basic earnings per share (EPS) are computed by dividing net income attributable to QEP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receive dividends.</w:t>
      </w:r>
    </w:p>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There were no anti-dilutive shares during the three and six months ended June 30, 2013, or during the six months ended June 30, 2012. During the three months ended June 30, 2012, 0.9 million shares were not included in diluted common shares outstanding as they were anti-dilutive due to QEP's net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18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21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176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3"/>
          </w:tcPr>
          <w:p>
            <w:pPr>
              <w:ind w:left="480"/>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91"/>
              </w:rPr>
              <w:t>Potential number of shares issuable upon exercise of in-the-money stock options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under the Long-term Stock Incentive Plan</w:t>
            </w: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3"/>
            <w:vMerge w:val="restart"/>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common shares 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 Asset Retirement Obligations</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QEP records asset retirement obligations (ARO) when there are legal obligations associated with the retirement of tangible long-lived assets. The Company’s ARO liability applies primarily to abandonment costs associated with oil and gas wells, production facilities, midstream assets and certain other properties. The fair values of such costs are estimated by Company personnel based on abandonment costs of similar assets and depreciated over the life of the related assets. Revisions to ARO estimates result from changes in expected cash flows or material changes in estimated asset retirement costs. The ARO liability is adjusted to present value each period through an accretion calculation using a credit-adjusted risk-free interest 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changes in the Company's asset retirement obligation from January 1, 2013, to June 30, 2013: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Asset Retirement Obligations</w:t>
            </w: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1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b w:val="1"/>
                <w:bCs w:val="1"/>
                <w:color w:val="auto"/>
              </w:rPr>
              <w:t>7.7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incurred</w:t>
            </w:r>
          </w:p>
        </w:tc>
        <w:tc>
          <w:tcPr>
            <w:tcW w:w="1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1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(16.5)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settled</w:t>
            </w:r>
          </w:p>
        </w:tc>
        <w:tc>
          <w:tcPr>
            <w:tcW w:w="14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ARO liability at June 30,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181.4</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QEP measures and discloses fair values in accordance with the provisions of ASC 820 “Fair Value Measurements and Disclosures”. This guidance defines fair value in applying GAAP, establishes a framework for measuring fair value and expands disclosures about fair-value measurements, but does not change existing guidance as to whether or not an instrument is carried at fair value.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QEP has determined its commodity derivative instruments are Level 2. The Level 2 fair value of commodity derivative contracts (see Note 7 - Derivative Contracts) is based on market prices posted on the respective commodity exchanges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However, 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QEP has interest rate swaps that it has determined are Level 2 financial instruments. The fair values of the interest rate swaps are determined using the market standard methodology of discounting the future expected cash flows that would occur under the contractual terms of the swap. The variable interest rates used in the calculation of projected cash flows are based on an expectation of future interest rates derived from observable market interest rate curves. QEP incorporates credit valuation adjustments to reflect both its nonperformance risk and the respective counterparty’s nonperformance risk in the fair value measurements. While the credit valuation adjustments are not observable inputs, they are not significant to the overall valuation and the other inputs used to value the interest rate swaps are observable Level 2 inputs.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fair value of financial assets and liabilities at June 30, 2013, is shown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1"/>
              </w:rPr>
              <w:t>Fair Value Measurements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center"/>
              <w:ind w:right="1020"/>
              <w:spacing w:after="0"/>
              <w:rPr>
                <w:sz w:val="20"/>
                <w:szCs w:val="20"/>
                <w:color w:val="auto"/>
              </w:rPr>
            </w:pPr>
            <w:r>
              <w:rPr>
                <w:rFonts w:ascii="Arial" w:cs="Arial" w:eastAsia="Arial" w:hAnsi="Arial"/>
                <w:sz w:val="18"/>
                <w:szCs w:val="18"/>
                <w:b w:val="1"/>
                <w:bCs w:val="1"/>
                <w:color w:val="auto"/>
                <w:w w:val="88"/>
              </w:rPr>
              <w:t>June 30, 2013</w:t>
            </w: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right"/>
              <w:ind w:right="400"/>
              <w:spacing w:after="0"/>
              <w:rPr>
                <w:sz w:val="20"/>
                <w:szCs w:val="20"/>
                <w:color w:val="auto"/>
              </w:rPr>
            </w:pPr>
            <w:r>
              <w:rPr>
                <w:rFonts w:ascii="Arial" w:cs="Arial" w:eastAsia="Arial" w:hAnsi="Arial"/>
                <w:sz w:val="18"/>
                <w:szCs w:val="18"/>
                <w:b w:val="1"/>
                <w:bCs w:val="1"/>
                <w:color w:val="auto"/>
                <w:w w:val="97"/>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Presented on the</w:t>
            </w:r>
          </w:p>
        </w:tc>
        <w:tc>
          <w:tcPr>
            <w:tcW w:w="0" w:type="dxa"/>
            <w:vAlign w:val="bottom"/>
          </w:tcPr>
          <w:p>
            <w:pPr>
              <w:spacing w:after="0"/>
              <w:rPr>
                <w:sz w:val="1"/>
                <w:szCs w:val="1"/>
                <w:color w:val="auto"/>
              </w:rPr>
            </w:pPr>
          </w:p>
        </w:tc>
      </w:tr>
      <w:tr>
        <w:trPr>
          <w:trHeight w:val="86"/>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Netting</w:t>
            </w: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68"/>
        </w:trPr>
        <w:tc>
          <w:tcPr>
            <w:tcW w:w="424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25"/>
                <w:szCs w:val="25"/>
                <w:b w:val="1"/>
                <w:bCs w:val="1"/>
                <w:color w:val="auto"/>
                <w:w w:val="86"/>
                <w:vertAlign w:val="superscript"/>
              </w:rPr>
              <w:t>(1)</w:t>
            </w: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Balance Sheet</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17.6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long-term</w:t>
            </w:r>
          </w:p>
        </w:tc>
        <w:tc>
          <w:tcPr>
            <w:tcW w:w="8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304"/>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124.7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123.0</w:t>
            </w:r>
          </w:p>
        </w:tc>
        <w:tc>
          <w:tcPr>
            <w:tcW w:w="0" w:type="dxa"/>
            <w:vAlign w:val="bottom"/>
          </w:tcPr>
          <w:p>
            <w:pPr>
              <w:spacing w:after="0"/>
              <w:rPr>
                <w:sz w:val="1"/>
                <w:szCs w:val="1"/>
                <w:color w:val="auto"/>
              </w:rPr>
            </w:pPr>
          </w:p>
        </w:tc>
      </w:tr>
      <w:tr>
        <w:trPr>
          <w:trHeight w:val="311"/>
        </w:trPr>
        <w:tc>
          <w:tcPr>
            <w:tcW w:w="424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4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5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swaps - short-term</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40" w:firstLine="8"/>
        <w:spacing w:after="0" w:line="287" w:lineRule="auto"/>
        <w:tabs>
          <w:tab w:leader="none" w:pos="178"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The Company nets its derivative contract assets and liabilities outstanding with the same counterparty on the Condensed Consolidated Balance Sheet as the contracts contain netting provisions. Refer to Note 7 - Derivative Contracts, for additional information regarding the Company's derivative contracts.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and liabilities at December 31, 2012, is shown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9"/>
              </w:rPr>
              <w:t>Fair Value Measurements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88"/>
              </w:rPr>
              <w:t>December 31, 2012</w:t>
            </w: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4"/>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center"/>
              <w:ind w:right="100"/>
              <w:spacing w:after="0"/>
              <w:rPr>
                <w:sz w:val="20"/>
                <w:szCs w:val="20"/>
                <w:color w:val="auto"/>
              </w:rPr>
            </w:pPr>
            <w:r>
              <w:rPr>
                <w:rFonts w:ascii="Arial" w:cs="Arial" w:eastAsia="Arial" w:hAnsi="Arial"/>
                <w:sz w:val="18"/>
                <w:szCs w:val="18"/>
                <w:color w:val="auto"/>
                <w:w w:val="92"/>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86"/>
              </w:rPr>
              <w:t>Presented on the</w:t>
            </w:r>
          </w:p>
        </w:tc>
        <w:tc>
          <w:tcPr>
            <w:tcW w:w="0" w:type="dxa"/>
            <w:vAlign w:val="bottom"/>
          </w:tcPr>
          <w:p>
            <w:pPr>
              <w:spacing w:after="0"/>
              <w:rPr>
                <w:sz w:val="1"/>
                <w:szCs w:val="1"/>
                <w:color w:val="auto"/>
              </w:rPr>
            </w:pPr>
          </w:p>
        </w:tc>
      </w:tr>
      <w:tr>
        <w:trPr>
          <w:trHeight w:val="82"/>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restart"/>
          </w:tcPr>
          <w:p>
            <w:pPr>
              <w:jc w:val="center"/>
              <w:ind w:right="110"/>
              <w:spacing w:after="0"/>
              <w:rPr>
                <w:sz w:val="20"/>
                <w:szCs w:val="20"/>
                <w:color w:val="auto"/>
              </w:rPr>
            </w:pPr>
            <w:r>
              <w:rPr>
                <w:rFonts w:ascii="Arial" w:cs="Arial" w:eastAsia="Arial" w:hAnsi="Arial"/>
                <w:sz w:val="18"/>
                <w:szCs w:val="18"/>
                <w:color w:val="auto"/>
                <w:w w:val="86"/>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Netting</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Consolidated Balance</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6"/>
              </w:rPr>
              <w:t>Level 2</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300"/>
              <w:spacing w:after="0" w:line="257" w:lineRule="exact"/>
              <w:rPr>
                <w:sz w:val="20"/>
                <w:szCs w:val="20"/>
                <w:color w:val="auto"/>
              </w:rPr>
            </w:pPr>
            <w:r>
              <w:rPr>
                <w:rFonts w:ascii="Arial" w:cs="Arial" w:eastAsia="Arial" w:hAnsi="Arial"/>
                <w:sz w:val="18"/>
                <w:szCs w:val="18"/>
                <w:color w:val="auto"/>
                <w:w w:val="88"/>
              </w:rPr>
              <w:t>Adjustments</w:t>
            </w:r>
            <w:r>
              <w:rPr>
                <w:rFonts w:ascii="Arial" w:cs="Arial" w:eastAsia="Arial" w:hAnsi="Arial"/>
                <w:sz w:val="25"/>
                <w:szCs w:val="25"/>
                <w:color w:val="auto"/>
                <w:w w:val="88"/>
                <w:vertAlign w:val="superscript"/>
              </w:rPr>
              <w:t>(1)</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Sheet</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5"/>
          </w:tcPr>
          <w:p>
            <w:pPr>
              <w:jc w:val="center"/>
              <w:ind w:right="940"/>
              <w:spacing w:after="0"/>
              <w:rPr>
                <w:sz w:val="20"/>
                <w:szCs w:val="20"/>
                <w:color w:val="auto"/>
              </w:rPr>
            </w:pPr>
            <w:r>
              <w:rPr>
                <w:rFonts w:ascii="Arial" w:cs="Arial" w:eastAsia="Arial" w:hAnsi="Arial"/>
                <w:sz w:val="18"/>
                <w:szCs w:val="18"/>
                <w:color w:val="auto"/>
                <w:w w:val="96"/>
              </w:rPr>
              <w:t>(in millions)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short-term</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 - long-term</w:t>
            </w:r>
          </w:p>
        </w:tc>
        <w:tc>
          <w:tcPr>
            <w:tcW w:w="8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40" w:firstLine="8"/>
        <w:spacing w:after="0" w:line="287"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The Company nets its derivative contract assets and liabilities outstanding with the same counterparty on the Condensed Consolidated Balance Sheet as the contracts contain netting provisions. Refer to Note 7 - Derivative Contracts, for additional information regarding the Company's derivative contracts.</w:t>
      </w:r>
    </w:p>
    <w:p>
      <w:pPr>
        <w:sectPr>
          <w:pgSz w:w="11900" w:h="16838" w:orient="portrait"/>
          <w:cols w:equalWidth="0" w:num="1">
            <w:col w:w="11420"/>
          </w:cols>
          <w:pgMar w:left="240" w:top="800"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800" w:right="239" w:bottom="1440" w:gutter="0" w:footer="0" w:header="0"/>
          <w:type w:val="continuous"/>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The following table discloses the fair value and related carrying amount of certain financial instruments not disclosed in other notes to the condensed consolidated financial statements in this quarterly report on Form 10-Q:</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3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Level 1</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34"/>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40" w:type="dxa"/>
            <w:vAlign w:val="bottom"/>
            <w:gridSpan w:val="4"/>
          </w:tcPr>
          <w:p>
            <w:pPr>
              <w:ind w:left="600"/>
              <w:spacing w:after="0"/>
              <w:rPr>
                <w:sz w:val="20"/>
                <w:szCs w:val="20"/>
                <w:color w:val="auto"/>
              </w:rPr>
            </w:pPr>
            <w:r>
              <w:rPr>
                <w:rFonts w:ascii="Arial" w:cs="Arial" w:eastAsia="Arial" w:hAnsi="Arial"/>
                <w:sz w:val="18"/>
                <w:szCs w:val="18"/>
                <w:b w:val="1"/>
                <w:bCs w:val="1"/>
                <w:color w:val="auto"/>
              </w:rPr>
              <w:t>June 30, 2013</w:t>
            </w:r>
          </w:p>
        </w:tc>
        <w:tc>
          <w:tcPr>
            <w:tcW w:w="220" w:type="dxa"/>
            <w:vAlign w:val="bottom"/>
          </w:tcPr>
          <w:p>
            <w:pPr>
              <w:spacing w:after="0"/>
              <w:rPr>
                <w:sz w:val="21"/>
                <w:szCs w:val="21"/>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2012</w:t>
            </w:r>
          </w:p>
        </w:tc>
      </w:tr>
      <w:tr>
        <w:trPr>
          <w:trHeight w:val="34"/>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3,405.7</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3,465.7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3,206.9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3,420.7</w:t>
            </w:r>
          </w:p>
        </w:tc>
      </w:tr>
    </w:tbl>
    <w:p>
      <w:pPr>
        <w:spacing w:after="0" w:line="2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pacing w:after="0" w:line="16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initial measurement of asset retirement obligations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reserve lives. A reconciliation of the Company’s asset retirement obligations is presented in Note 5 – Asset Retirement Obligations.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Contracts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In addition, QEP may enter into commodity derivative contracts on a portion of its extracted NGL volumes in its midstream business and a portion of its natural gas sales and purchases for marketing transactions. QEP does not enter into commodity derivative instruments for speculative purposes.</w:t>
      </w:r>
    </w:p>
    <w:p>
      <w:pPr>
        <w:spacing w:after="0" w:line="16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QEP uses commodity derivative instruments known as fixed-price swaps to realize a known price for a specific volume of production delivered into a regional sales point. QEP’s commodity derivative instruments do not require the physical delivery of natural gas, crude oil, or NGL between the parties at settlement. Swap transactions are settled in cash with one party paying the other for the net difference in prices, multiplied by the contract volume, for the settlement periods. Natural gas price derivative instruments are typically structured as fixed-price swaps at regional price indices. Oil price derivative instruments are typically structured as NYMEX fixed-price swaps based at Cushing, Oklahoma. QEP also has oil price derivative fixed-price swaps that use Brent crude oil prices as the reference price. Brent crude oil contracts are traded on the IntercontinentalExchange, Inc. (ICE). NGL price derivative instruments are typically structured as Mont Belvieu, Texas fixed-price swaps.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 enters into commodity derivative transactions that do not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18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Effective January 1, 2012, QEP elected to de-designate all of its natural gas, crude oil and NGL derivative contracts that were previously designated as cash flow hedges and discontinue hedge accounting prospectively. As a result of discontinuing hedge accounting, the mark-to-market values at December 31, 2011, were fixed in Accumulated Other Comprehensive Income (AOCI) as of the de-designation date and are being reclassified into the Condensed Consolidated Statement of Operations as the transactions settle and affect earnings. At June 30, 2013, AOCI included $58.7 million ($36.9 million after tax) of unrealized gains. During the six months ended June 30, 2013 and 2012, $40.7 million and $91.7 million, respectively,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spacing w:after="0" w:line="255" w:lineRule="auto"/>
        <w:rPr>
          <w:sz w:val="20"/>
          <w:szCs w:val="20"/>
          <w:color w:val="auto"/>
        </w:rPr>
      </w:pPr>
      <w:r>
        <w:rPr>
          <w:rFonts w:ascii="Arial" w:cs="Arial" w:eastAsia="Arial" w:hAnsi="Arial"/>
          <w:sz w:val="18"/>
          <w:szCs w:val="18"/>
          <w:color w:val="auto"/>
        </w:rPr>
        <w:t>unrealized gains, after tax, were reclassified from AOCI into the Condensed Consolidated Statement of Operations in "Realized and unrealized gains on derivative contracts" as the transactions settled. QEP expects to reclassify into earnings from AOCI the fixed value related to de-designated natural gas, oil and NGL derivatives over the remainder of 2013. Currently, QEP recognizes all gains and losses from changes in the fair value of natural gas, oil and NGL derivative contracts immediately in earnings rather than deferring any such amounts in AOCI. All commodity derivative instruments are recorded on the Condensed Consolidated Balance Sheets as either assets or liabilities measured at their fair values and all realized and unrealized gains and losses from derivative instruments incurred after January 1, 2012, are presented in the Condensed Consolidated Statement of Operations in “Realized and unrealized gains on derivative contracts” below operating income.</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QEP also uses interest rate swaps to mitigate a portion of its exposure to interest rate volatility risk. During the second quarter of 2012, QEP entered into variable-to-fixed interest rate swap agreements having a combined notional principal amount of $300.0 million to minimize the interest rate volatility risk associated with its $300.0 million senior, unsecured term loan. QEP locked in a fixed interest rate of 1.07% in exchange for a variable interest rate indexed to the one-month LIBOR rate. The interest rate swaps settle monthly and will mature in March of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quantities and average prices for its commodity derivative contracts as of June 30, 2013:</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Swaps</w:t>
            </w:r>
          </w:p>
        </w:tc>
      </w:tr>
      <w:tr>
        <w:trPr>
          <w:trHeight w:val="34"/>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5"/>
        </w:trPr>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9"/>
                <w:szCs w:val="19"/>
                <w:color w:val="auto"/>
              </w:rPr>
            </w:pPr>
          </w:p>
        </w:tc>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Average price per</w:t>
            </w:r>
          </w:p>
        </w:tc>
      </w:tr>
      <w:tr>
        <w:trPr>
          <w:trHeight w:val="234"/>
        </w:trPr>
        <w:tc>
          <w:tcPr>
            <w:tcW w:w="2580" w:type="dxa"/>
            <w:vAlign w:val="bottom"/>
            <w:gridSpan w:val="3"/>
          </w:tcPr>
          <w:p>
            <w:pPr>
              <w:ind w:left="800"/>
              <w:spacing w:after="0"/>
              <w:rPr>
                <w:sz w:val="20"/>
                <w:szCs w:val="20"/>
                <w:color w:val="auto"/>
              </w:rPr>
            </w:pPr>
            <w:r>
              <w:rPr>
                <w:rFonts w:ascii="Arial" w:cs="Arial" w:eastAsia="Arial" w:hAnsi="Arial"/>
                <w:sz w:val="18"/>
                <w:szCs w:val="18"/>
                <w:b w:val="1"/>
                <w:bCs w:val="1"/>
                <w:color w:val="auto"/>
              </w:rPr>
              <w:t>Year</w:t>
            </w:r>
          </w:p>
        </w:tc>
        <w:tc>
          <w:tcPr>
            <w:tcW w:w="20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Type of Contract</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Index</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Volumes</w:t>
            </w:r>
          </w:p>
        </w:tc>
        <w:tc>
          <w:tcPr>
            <w:tcW w:w="140" w:type="dxa"/>
            <w:vAlign w:val="bottom"/>
          </w:tcPr>
          <w:p>
            <w:pPr>
              <w:spacing w:after="0"/>
              <w:rPr>
                <w:sz w:val="20"/>
                <w:szCs w:val="20"/>
                <w:color w:val="auto"/>
              </w:rPr>
            </w:pPr>
          </w:p>
        </w:tc>
        <w:tc>
          <w:tcPr>
            <w:tcW w:w="150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unit</w:t>
            </w:r>
          </w:p>
        </w:tc>
      </w:tr>
      <w:tr>
        <w:trPr>
          <w:trHeight w:val="34"/>
        </w:trPr>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0"/>
        </w:trPr>
        <w:tc>
          <w:tcPr>
            <w:tcW w:w="2580" w:type="dxa"/>
            <w:vAlign w:val="bottom"/>
            <w:gridSpan w:val="3"/>
          </w:tcPr>
          <w:p>
            <w:pPr>
              <w:ind w:left="40"/>
              <w:spacing w:after="0"/>
              <w:rPr>
                <w:sz w:val="20"/>
                <w:szCs w:val="20"/>
                <w:color w:val="auto"/>
              </w:rPr>
            </w:pPr>
            <w:r>
              <w:rPr>
                <w:rFonts w:ascii="Arial" w:cs="Arial" w:eastAsia="Arial" w:hAnsi="Arial"/>
                <w:sz w:val="18"/>
                <w:szCs w:val="18"/>
                <w:b w:val="1"/>
                <w:bCs w:val="1"/>
                <w:color w:val="auto"/>
              </w:rPr>
              <w:t>Natural gas</w:t>
            </w:r>
          </w:p>
        </w:tc>
        <w:tc>
          <w:tcPr>
            <w:tcW w:w="1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IFNPCR (1)</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r>
      <w:tr>
        <w:trPr>
          <w:trHeight w:val="243"/>
        </w:trPr>
        <w:tc>
          <w:tcPr>
            <w:tcW w:w="1960" w:type="dxa"/>
            <w:vAlign w:val="bottom"/>
          </w:tcPr>
          <w:p>
            <w:pPr>
              <w:jc w:val="right"/>
              <w:ind w:right="13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rPr>
              <w:t>NYMEX</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IFNPCR (1)</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43"/>
        </w:trPr>
        <w:tc>
          <w:tcPr>
            <w:tcW w:w="1960" w:type="dxa"/>
            <w:vAlign w:val="bottom"/>
          </w:tcPr>
          <w:p>
            <w:pPr>
              <w:jc w:val="right"/>
              <w:ind w:right="13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rPr>
              <w:t>NYMEX</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Crude oil</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(Bbls)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1960" w:type="dxa"/>
            <w:vAlign w:val="bottom"/>
          </w:tcPr>
          <w:p>
            <w:pPr>
              <w:jc w:val="right"/>
              <w:ind w:right="13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98.33</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BRENT ICE</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107.80</w:t>
            </w:r>
          </w:p>
        </w:tc>
      </w:tr>
      <w:tr>
        <w:trPr>
          <w:trHeight w:val="243"/>
        </w:trPr>
        <w:tc>
          <w:tcPr>
            <w:tcW w:w="1960" w:type="dxa"/>
            <w:vAlign w:val="bottom"/>
          </w:tcPr>
          <w:p>
            <w:pPr>
              <w:jc w:val="right"/>
              <w:ind w:right="13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Swap</w:t>
            </w: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WTI</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92.59</w:t>
            </w:r>
          </w:p>
        </w:tc>
      </w:tr>
      <w:tr>
        <w:trPr>
          <w:trHeight w:val="239"/>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w w:val="91"/>
              </w:rPr>
              <w:t>____________________________</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ind w:left="500" w:hanging="316"/>
        <w:spacing w:after="0" w:line="183" w:lineRule="auto"/>
        <w:tabs>
          <w:tab w:leader="none" w:pos="50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Inside FERC monthly settlement index for the Northwest Pipeline Corp. Rocky Mountains.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Marketing Derivative Contracts</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Marketing enters into commodity derivative transactions to lock in a margin on natural gas volumes placed into storage and for marketing transactions in which QEP Marketing sells gas volumes at a fixed price. The following table sets forth QEP Marketing’s volumes and swap prices for its commodity derivative contracts as of June 30, 2013:</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Average Swap</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price</w:t>
            </w:r>
          </w:p>
        </w:tc>
      </w:tr>
      <w:tr>
        <w:trPr>
          <w:trHeight w:val="234"/>
        </w:trPr>
        <w:tc>
          <w:tcPr>
            <w:tcW w:w="4020" w:type="dxa"/>
            <w:vAlign w:val="bottom"/>
            <w:gridSpan w:val="2"/>
          </w:tcPr>
          <w:p>
            <w:pPr>
              <w:ind w:left="1780"/>
              <w:spacing w:after="0"/>
              <w:rPr>
                <w:sz w:val="20"/>
                <w:szCs w:val="20"/>
                <w:color w:val="auto"/>
              </w:rPr>
            </w:pPr>
            <w:r>
              <w:rPr>
                <w:rFonts w:ascii="Arial" w:cs="Arial" w:eastAsia="Arial" w:hAnsi="Arial"/>
                <w:sz w:val="18"/>
                <w:szCs w:val="18"/>
                <w:b w:val="1"/>
                <w:bCs w:val="1"/>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Volumes</w:t>
            </w:r>
          </w:p>
        </w:tc>
        <w:tc>
          <w:tcPr>
            <w:tcW w:w="14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rPr>
              <w:t>per MMBtu</w:t>
            </w:r>
          </w:p>
        </w:tc>
      </w:tr>
      <w:tr>
        <w:trPr>
          <w:trHeight w:val="34"/>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Natural 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Natural gas purchases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3.83</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675"/>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QEP Resources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Resources’ notional amount and interest rate for its interest rate swaps outstanding as of June 30,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Fixed Rate</w:t>
            </w:r>
          </w:p>
        </w:tc>
        <w:tc>
          <w:tcPr>
            <w:tcW w:w="2060" w:type="dxa"/>
            <w:vAlign w:val="bottom"/>
          </w:tcPr>
          <w:p>
            <w:pPr>
              <w:spacing w:after="0"/>
              <w:rPr>
                <w:sz w:val="18"/>
                <w:szCs w:val="18"/>
                <w:color w:val="auto"/>
              </w:rPr>
            </w:pPr>
          </w:p>
        </w:tc>
      </w:tr>
      <w:tr>
        <w:trPr>
          <w:trHeight w:val="234"/>
        </w:trPr>
        <w:tc>
          <w:tcPr>
            <w:tcW w:w="3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Notional amount</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Type of Contract</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Paid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0"/>
              </w:rPr>
              <w:t>Variable Rate Received</w:t>
            </w:r>
          </w:p>
        </w:tc>
      </w:tr>
      <w:tr>
        <w:trPr>
          <w:trHeight w:val="34"/>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43"/>
        </w:trPr>
        <w:tc>
          <w:tcPr>
            <w:tcW w:w="3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120" w:type="dxa"/>
            <w:vAlign w:val="bottom"/>
            <w:shd w:val="clear" w:color="auto" w:fill="CCEEFF"/>
          </w:tcPr>
          <w:p>
            <w:pPr>
              <w:spacing w:after="0"/>
              <w:rPr>
                <w:sz w:val="21"/>
                <w:szCs w:val="21"/>
                <w:color w:val="auto"/>
              </w:rPr>
            </w:pP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Swap</w:t>
            </w:r>
          </w:p>
        </w:tc>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March 2017</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1.07%</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One month LIBOR</w:t>
            </w:r>
          </w:p>
        </w:tc>
      </w:tr>
      <w:tr>
        <w:trPr>
          <w:trHeight w:val="27"/>
        </w:trPr>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identifies the balance sheet location of QEP’s outstanding derivative contracts on a gross contract basis as opposed to the net contract basis presentation in the Condensed Consolidated Balance Sheets and the related fair values at the balance sheet dates: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7"/>
              </w:rPr>
              <w:t>Gross asset derivative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1"/>
              </w:rPr>
              <w:t>Gross liability derivative</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instruments fair value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0"/>
              </w:rPr>
              <w:t>instruments fair value</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2860" w:type="dxa"/>
            <w:vAlign w:val="bottom"/>
            <w:gridSpan w:val="2"/>
            <w:vMerge w:val="restart"/>
          </w:tcPr>
          <w:p>
            <w:pPr>
              <w:ind w:left="840"/>
              <w:spacing w:after="0"/>
              <w:rPr>
                <w:sz w:val="20"/>
                <w:szCs w:val="20"/>
                <w:color w:val="auto"/>
              </w:rPr>
            </w:pPr>
            <w:r>
              <w:rPr>
                <w:rFonts w:ascii="Arial" w:cs="Arial" w:eastAsia="Arial" w:hAnsi="Arial"/>
                <w:sz w:val="18"/>
                <w:szCs w:val="18"/>
                <w:b w:val="1"/>
                <w:bCs w:val="1"/>
                <w:color w:val="auto"/>
              </w:rPr>
              <w:t>Balance Sheet</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84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ind w:left="1040"/>
              <w:spacing w:after="0"/>
              <w:rPr>
                <w:sz w:val="20"/>
                <w:szCs w:val="20"/>
                <w:color w:val="auto"/>
              </w:rPr>
            </w:pPr>
            <w:r>
              <w:rPr>
                <w:rFonts w:ascii="Arial" w:cs="Arial" w:eastAsia="Arial" w:hAnsi="Arial"/>
                <w:sz w:val="18"/>
                <w:szCs w:val="18"/>
                <w:b w:val="1"/>
                <w:bCs w:val="1"/>
                <w:color w:val="auto"/>
              </w:rPr>
              <w:t>line item</w:t>
            </w:r>
          </w:p>
        </w:tc>
        <w:tc>
          <w:tcPr>
            <w:tcW w:w="20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2013</w:t>
            </w: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w w:val="99"/>
              </w:rPr>
              <w:t>December 31, 2012</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2012</w:t>
            </w:r>
          </w:p>
        </w:tc>
        <w:tc>
          <w:tcPr>
            <w:tcW w:w="0" w:type="dxa"/>
            <w:vAlign w:val="bottom"/>
          </w:tcPr>
          <w:p>
            <w:pPr>
              <w:spacing w:after="0"/>
              <w:rPr>
                <w:sz w:val="1"/>
                <w:szCs w:val="1"/>
                <w:color w:val="auto"/>
              </w:rPr>
            </w:pPr>
          </w:p>
        </w:tc>
      </w:tr>
      <w:tr>
        <w:trPr>
          <w:trHeight w:val="34"/>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60" w:type="dxa"/>
            <w:vAlign w:val="bottom"/>
            <w:gridSpan w:val="3"/>
          </w:tcPr>
          <w:p>
            <w:pPr>
              <w:jc w:val="center"/>
              <w:ind w:left="390"/>
              <w:spacing w:after="0"/>
              <w:rPr>
                <w:sz w:val="20"/>
                <w:szCs w:val="20"/>
                <w:color w:val="auto"/>
              </w:rPr>
            </w:pPr>
            <w:r>
              <w:rPr>
                <w:rFonts w:ascii="Arial" w:cs="Arial" w:eastAsia="Arial" w:hAnsi="Arial"/>
                <w:sz w:val="18"/>
                <w:szCs w:val="18"/>
                <w:color w:val="auto"/>
                <w:w w:val="98"/>
              </w:rPr>
              <w:t>(in millions)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gridSpan w:val="3"/>
          </w:tcPr>
          <w:p>
            <w:pPr>
              <w:jc w:val="center"/>
              <w:ind w:left="250"/>
              <w:spacing w:after="0"/>
              <w:rPr>
                <w:sz w:val="20"/>
                <w:szCs w:val="20"/>
                <w:color w:val="auto"/>
              </w:rPr>
            </w:pPr>
            <w:r>
              <w:rPr>
                <w:rFonts w:ascii="Arial" w:cs="Arial" w:eastAsia="Arial" w:hAnsi="Arial"/>
                <w:sz w:val="18"/>
                <w:szCs w:val="18"/>
                <w:color w:val="auto"/>
                <w:w w:val="98"/>
              </w:rPr>
              <w:t>(in millions)</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2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gridSpan w:val="2"/>
          </w:tcPr>
          <w:p>
            <w:pPr>
              <w:ind w:left="40"/>
              <w:spacing w:after="0"/>
              <w:rPr>
                <w:sz w:val="20"/>
                <w:szCs w:val="20"/>
                <w:color w:val="auto"/>
              </w:rPr>
            </w:pPr>
            <w:r>
              <w:rPr>
                <w:rFonts w:ascii="Arial" w:cs="Arial" w:eastAsia="Arial" w:hAnsi="Arial"/>
                <w:sz w:val="18"/>
                <w:szCs w:val="18"/>
                <w:color w:val="auto"/>
              </w:rPr>
              <w:t>Fair value of derivative contracts</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4"/>
        </w:trPr>
        <w:tc>
          <w:tcPr>
            <w:tcW w:w="470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124.7</w:t>
            </w:r>
          </w:p>
        </w:tc>
        <w:tc>
          <w:tcPr>
            <w:tcW w:w="100" w:type="dxa"/>
            <w:vAlign w:val="bottom"/>
            <w:tcBorders>
              <w:top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193.9</w:t>
            </w: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top w:val="single" w:sz="8" w:color="CCEEFF"/>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effects of the change in fair value and settlement of QEP's derivative contracts recorded in "Realized and unrealized gains on derivative contracts"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are summarized in the following tables: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0"/>
                <w:szCs w:val="20"/>
                <w:color w:val="auto"/>
              </w:rPr>
            </w:pPr>
          </w:p>
        </w:tc>
        <w:tc>
          <w:tcPr>
            <w:tcW w:w="22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r>
      <w:tr>
        <w:trPr>
          <w:trHeight w:val="34"/>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Derivative instruments not designated as cash flow hedges</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Energy</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 derivative contracts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197.6</w:t>
            </w: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Oil derivative contracts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NGL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Field Services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NGL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Marketing</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7"/>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 derivative contracts</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84"/>
        </w:trPr>
        <w:tc>
          <w:tcPr>
            <w:tcW w:w="60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realized gains on commodity derivative contracts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82.1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208.7</w:t>
            </w:r>
          </w:p>
        </w:tc>
      </w:tr>
      <w:tr>
        <w:trPr>
          <w:trHeight w:val="23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Energy</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Oil derivative contracts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27.1</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NGL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Field Services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NGL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Marketing</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7"/>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Natural gas derivative contracts</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84"/>
        </w:trPr>
        <w:tc>
          <w:tcPr>
            <w:tcW w:w="608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unrealized (losses) gains on commodity derivative contracts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79.4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94.2</w:t>
            </w: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realized and unrealized gains on commodity derivative contracts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302.9</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Realized losses on interest rate swaps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84"/>
        </w:trPr>
        <w:tc>
          <w:tcPr>
            <w:tcW w:w="60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Unrealized gains (losses) on interest rate swaps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57"/>
        </w:trPr>
        <w:tc>
          <w:tcPr>
            <w:tcW w:w="60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realized and unrealized gains (losses) on interest rate swaps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0"/>
        </w:trPr>
        <w:tc>
          <w:tcPr>
            <w:tcW w:w="6080" w:type="dxa"/>
            <w:vAlign w:val="bottom"/>
            <w:gridSpan w:val="2"/>
          </w:tcPr>
          <w:p>
            <w:pPr>
              <w:ind w:left="280"/>
              <w:spacing w:after="0"/>
              <w:rPr>
                <w:sz w:val="20"/>
                <w:szCs w:val="20"/>
                <w:color w:val="auto"/>
              </w:rPr>
            </w:pPr>
            <w:r>
              <w:rPr>
                <w:rFonts w:ascii="Arial" w:cs="Arial" w:eastAsia="Arial" w:hAnsi="Arial"/>
                <w:sz w:val="18"/>
                <w:szCs w:val="18"/>
                <w:color w:val="auto"/>
              </w:rPr>
              <w:t>Total net realized gains on derivative contracts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30.1</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80.8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208.7</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unrealized (losses) gains on derivative contracts</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Grand 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114.0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298.6</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The Company expects that the remaining derivative contracts that were outstanding in AOCI at June 30, 2013, having a fixed fair value of $36.9 million after tax, will be settled and reclassified from AOCI to the Condensed Consolidated Statements of Operations during the remainder of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Restructuring Costs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first quarter of 2012, QEP began incurring costs related to the closure of its Oklahoma City office and the subsequent consolidation of its Southern Region operations into a single regional office located in Tulsa. During the second half of 2012, QEP incurred additional restructuring and reorganization costs related to consolidating various corporate and accounting functions to the Denver corporate headquarters. The creation of one office for QEP’s Southern Region as well as the consolidation of corporate and accounting functions is intended to increase efficiency, team-based collaboration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ind w:right="200"/>
        <w:spacing w:after="0" w:line="259" w:lineRule="auto"/>
        <w:rPr>
          <w:sz w:val="20"/>
          <w:szCs w:val="20"/>
          <w:color w:val="auto"/>
        </w:rPr>
      </w:pPr>
      <w:r>
        <w:rPr>
          <w:rFonts w:ascii="Arial" w:cs="Arial" w:eastAsia="Arial" w:hAnsi="Arial"/>
          <w:sz w:val="18"/>
          <w:szCs w:val="18"/>
          <w:color w:val="auto"/>
        </w:rPr>
        <w:t>organizational productivity over the long term. As part of the reorganization, QEP incurred and will continue to incur costs associated with the severance, retention and relocation of employees, additional pension expenses, exit costs associated with the termination of operating leases arising from office space that will no longer be utilized by the Company and other expenses. The Company currently estimates that the remaining restructuring costs will be incurred during the remainder of 2013.</w:t>
      </w:r>
    </w:p>
    <w:p>
      <w:pPr>
        <w:spacing w:after="0" w:line="187"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following tables summarize, by line of business, each major type of cost expected to be incurred and the total amounts recorded in "General and administrative" expense on the Condensed Consolidated Statement of Operations for the respective periods indicated: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10"/>
          </w:tcPr>
          <w:p>
            <w:pPr>
              <w:ind w:left="1200"/>
              <w:spacing w:after="0"/>
              <w:rPr>
                <w:sz w:val="20"/>
                <w:szCs w:val="20"/>
                <w:color w:val="auto"/>
              </w:rPr>
            </w:pPr>
            <w:r>
              <w:rPr>
                <w:rFonts w:ascii="Arial" w:cs="Arial" w:eastAsia="Arial" w:hAnsi="Arial"/>
                <w:sz w:val="18"/>
                <w:szCs w:val="18"/>
                <w:b w:val="1"/>
                <w:bCs w:val="1"/>
                <w:color w:val="auto"/>
              </w:rPr>
              <w:t>Total Restructuring Costs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4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7"/>
          </w:tcPr>
          <w:p>
            <w:pPr>
              <w:ind w:left="360"/>
              <w:spacing w:after="0"/>
              <w:rPr>
                <w:sz w:val="20"/>
                <w:szCs w:val="20"/>
                <w:color w:val="auto"/>
              </w:rPr>
            </w:pPr>
            <w:r>
              <w:rPr>
                <w:rFonts w:ascii="Arial" w:cs="Arial" w:eastAsia="Arial" w:hAnsi="Arial"/>
                <w:sz w:val="18"/>
                <w:szCs w:val="18"/>
                <w:b w:val="1"/>
                <w:bCs w:val="1"/>
                <w:color w:val="auto"/>
                <w:w w:val="88"/>
              </w:rPr>
              <w:t>Recognized in Income</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34"/>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80" w:type="dxa"/>
            <w:vAlign w:val="bottom"/>
            <w:tcBorders>
              <w:bottom w:val="single" w:sz="8" w:color="auto"/>
            </w:tcBorders>
            <w:gridSpan w:val="8"/>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22"/>
                <w:szCs w:val="22"/>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Period from</w:t>
            </w:r>
          </w:p>
        </w:tc>
        <w:tc>
          <w:tcPr>
            <w:tcW w:w="2280" w:type="dxa"/>
            <w:vAlign w:val="bottom"/>
            <w:gridSpan w:val="8"/>
          </w:tcPr>
          <w:p>
            <w:pPr>
              <w:ind w:left="60"/>
              <w:spacing w:after="0"/>
              <w:rPr>
                <w:sz w:val="20"/>
                <w:szCs w:val="20"/>
                <w:color w:val="auto"/>
              </w:rPr>
            </w:pPr>
            <w:r>
              <w:rPr>
                <w:rFonts w:ascii="Arial" w:cs="Arial" w:eastAsia="Arial" w:hAnsi="Arial"/>
                <w:sz w:val="18"/>
                <w:szCs w:val="18"/>
                <w:b w:val="1"/>
                <w:bCs w:val="1"/>
                <w:color w:val="auto"/>
                <w:w w:val="97"/>
              </w:rPr>
              <w:t>Three Months Ended June</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0"/>
        </w:trPr>
        <w:tc>
          <w:tcPr>
            <w:tcW w:w="4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Expected to</w:t>
            </w: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Inception to June</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5"/>
              </w:rPr>
              <w:t>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37"/>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be Incurred</w:t>
            </w:r>
          </w:p>
        </w:tc>
        <w:tc>
          <w:tcPr>
            <w:tcW w:w="180" w:type="dxa"/>
            <w:vAlign w:val="bottom"/>
          </w:tcPr>
          <w:p>
            <w:pPr>
              <w:spacing w:after="0"/>
              <w:rPr>
                <w:sz w:val="20"/>
                <w:szCs w:val="20"/>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30, 2013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2012</w:t>
            </w:r>
          </w:p>
        </w:tc>
      </w:tr>
      <w:tr>
        <w:trPr>
          <w:trHeight w:val="34"/>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Energy</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(in millions)</w:t>
            </w: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Field Services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Marketing</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QEP Resources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One-time termination benefits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Retention &amp; relocation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Lease termination costs</w:t>
            </w: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restructuring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restructuring liability, by line of business, which is included within “Accounts payable and accrued expenses”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QEP Field</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QEP</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QEP Energy</w:t>
            </w:r>
          </w:p>
        </w:tc>
        <w:tc>
          <w:tcPr>
            <w:tcW w:w="160" w:type="dxa"/>
            <w:vAlign w:val="bottom"/>
          </w:tcPr>
          <w:p>
            <w:pPr>
              <w:spacing w:after="0"/>
              <w:rPr>
                <w:sz w:val="20"/>
                <w:szCs w:val="20"/>
                <w:color w:val="auto"/>
              </w:rPr>
            </w:pPr>
          </w:p>
        </w:tc>
        <w:tc>
          <w:tcPr>
            <w:tcW w:w="1360" w:type="dxa"/>
            <w:vAlign w:val="bottom"/>
            <w:gridSpan w:val="3"/>
          </w:tcPr>
          <w:p>
            <w:pPr>
              <w:ind w:left="140"/>
              <w:spacing w:after="0"/>
              <w:rPr>
                <w:sz w:val="20"/>
                <w:szCs w:val="20"/>
                <w:color w:val="auto"/>
              </w:rPr>
            </w:pPr>
            <w:r>
              <w:rPr>
                <w:rFonts w:ascii="Arial" w:cs="Arial" w:eastAsia="Arial" w:hAnsi="Arial"/>
                <w:sz w:val="18"/>
                <w:szCs w:val="18"/>
                <w:b w:val="1"/>
                <w:bCs w:val="1"/>
                <w:color w:val="auto"/>
              </w:rPr>
              <w:t>Services</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Marketing</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34"/>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700"/>
              <w:spacing w:after="0"/>
              <w:rPr>
                <w:sz w:val="20"/>
                <w:szCs w:val="20"/>
                <w:color w:val="auto"/>
              </w:rPr>
            </w:pPr>
            <w:r>
              <w:rPr>
                <w:rFonts w:ascii="Arial" w:cs="Arial" w:eastAsia="Arial" w:hAnsi="Arial"/>
                <w:sz w:val="18"/>
                <w:szCs w:val="18"/>
                <w:color w:val="auto"/>
              </w:rPr>
              <w:t>(in millions)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Costs incurred and charged to expense</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3"/>
          </w:tcPr>
          <w:p>
            <w:pPr>
              <w:ind w:left="8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0.6</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paid or otherwise settled</w:t>
            </w: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r>
      <w:tr>
        <w:trPr>
          <w:trHeight w:val="264"/>
        </w:trPr>
        <w:tc>
          <w:tcPr>
            <w:tcW w:w="6060" w:type="dxa"/>
            <w:vAlign w:val="bottom"/>
          </w:tcPr>
          <w:p>
            <w:pPr>
              <w:ind w:left="40"/>
              <w:spacing w:after="0"/>
              <w:rPr>
                <w:sz w:val="20"/>
                <w:szCs w:val="20"/>
                <w:color w:val="auto"/>
              </w:rPr>
            </w:pPr>
            <w:r>
              <w:rPr>
                <w:rFonts w:ascii="Arial" w:cs="Arial" w:eastAsia="Arial" w:hAnsi="Arial"/>
                <w:sz w:val="18"/>
                <w:szCs w:val="18"/>
                <w:color w:val="auto"/>
              </w:rPr>
              <w:t>Balance at June 30, 2013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3"/>
          </w:tcPr>
          <w:p>
            <w:pPr>
              <w:ind w:left="80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0.3</w:t>
            </w:r>
          </w:p>
        </w:tc>
      </w:tr>
      <w:tr>
        <w:trPr>
          <w:trHeight w:val="20"/>
        </w:trPr>
        <w:tc>
          <w:tcPr>
            <w:tcW w:w="6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4"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 Debt</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the indicated dates, the principal amount of QEP’s debt, including amounts outstanding under its revolving credit facility, term loan and senior notes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2012</w:t>
            </w:r>
          </w:p>
        </w:tc>
      </w:tr>
      <w:tr>
        <w:trPr>
          <w:trHeight w:val="34"/>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3"/>
          </w:tcPr>
          <w:p>
            <w:pPr>
              <w:jc w:val="right"/>
              <w:ind w:right="190"/>
              <w:spacing w:after="0"/>
              <w:rPr>
                <w:sz w:val="20"/>
                <w:szCs w:val="20"/>
                <w:color w:val="auto"/>
              </w:rPr>
            </w:pPr>
            <w:r>
              <w:rPr>
                <w:rFonts w:ascii="Arial" w:cs="Arial" w:eastAsia="Arial" w:hAnsi="Arial"/>
                <w:sz w:val="18"/>
                <w:szCs w:val="18"/>
                <w:color w:val="auto"/>
              </w:rPr>
              <w:t>(in millions)</w:t>
            </w:r>
          </w:p>
        </w:tc>
        <w:tc>
          <w:tcPr>
            <w:tcW w:w="9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due 2016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888.5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Term loan due 2017</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300.0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6.05% Senior Notes due 2016</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6.80% Senior Notes due 2018</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134.0</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 Senior Notes due 2020</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6.875% Senior Notes due 2021</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625.0</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5.375% Senior Notes due 2022</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5.25% Senior Notes due 2023</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650.0</w:t>
            </w:r>
          </w:p>
        </w:tc>
      </w:tr>
      <w:tr>
        <w:trPr>
          <w:trHeight w:val="271"/>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principal amount of debt</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3,410.3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3,211.8</w:t>
            </w:r>
          </w:p>
        </w:tc>
      </w:tr>
      <w:tr>
        <w:trPr>
          <w:trHeight w:val="28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unamortized discount</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 outstanding</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3,405.7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3,206.9</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Of the total debt outstanding on June 30, 2013, amounts outstanding under the revolving credit facility due August 25, 2016, the term loan due April 18, 2017, the 6.05% Senior Notes due September 1, 2016, and the 6.80% Senior Notes due April 1, 2018, will mature within the next five years.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QEP’s revolving credit facility, which matures in August 2016, provides for loan commitments of $1.5 billion from a group of financial institutions. The credit facility provides for borrowing at short-term interest rates and contains customary covenants and restrictions. The credit facility also contains an accordion provision that would allow for the amount of the facility to be increased to $2.0 billion and for the maturity to be extended for up to two additional one-year periods, with the agreement of the lenders.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six months ended June 30, 2013 and 2012, QEP’s weighted-average interest rate on borrowings from its credit facility was 2.33% and 2.05%, respectively. At June 30, 2013 and December 31, 2012, QEP was in compliance with the covenants under the credit agreement. At June 30, 2013, there was $888.5 million outstanding and $3.7 million of letters of credit issued under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QEP's $300.0 million term loan facility provides for borrowings at short-term interest rates and contains covenants, restrictions and interest rates that are substantially the same as the Company’s revolving credit facility. The term loan matures in April 2017, and the maturity date may be extended one year with the agreement of the lenders. The proceeds from the term loan were used to pay down the credit facility and for general corporate purposes. During the six months ended June 30, 2013 and 2012, QEP’s weighted-average interest rate on borrowings from the term loan was 2.23% and 2.02%. At June 30, 2013 and December 31, 2012, QEP was in compliance with the covenants under the term loan credit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June 30, 2013,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some or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 Contingencies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QEP is involved in various commercial and regulatory claims, litigation and other legal proceedings that arise in the ordinary course of its business. QEP assesses these claims in an effort to determine the degree of probability and range of possible loss for potential accrual in its consolidated financial statements.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an accrual is recorded for a loss contingency when its occurrence is probable and damages can be reasonably estimated based on the anticipated most likely outcome or the minimum amount within a range of possible outcomes. Because legal proceedings are inherently unpredictable and unfavorable resolutions could occur, assessing contingencies is highly subjective and requires judgments about uncertain future events. When evaluating contingencies, QEP may be unable to provide a meaningful estimate due to a number of factors, including the procedural status of the matter in question, the presence of complex or novel legal theories, and/or the ongoing discovery and development of information important to the matters. QEP's litigation loss contingencies are discussed below. QEP is unable to estimate reasonably possible losses in excess of recorded accruals for these contingencies for the reasons set forth above. QEP believes, however, that the resolution of pending proceedings will not have a material effect on QEP's consolidated financial position, results of operations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Claims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October 2009, QEP received a cease and desist order from the U.S. Army Corps of Engineers (COE) to refrain from unpermitted work resulting in the discharge of dredged and/or fill material into waters of the United States at three sites located in Caddo and Red River Parishes, Louisiana. EPA Region 6 has assumed lead responsibility for enforcement of the cease and desist order and any possible future orders for the removal of unauthorized fills and/or civil penalties under the Clean Water Act. On June 28, 2013, EPA issued to QEP an Administrative Complaint for the alleged violations. QEP and EPA have reached an agreement to settle the alleged violations through an Administrative Order. In accordance with the terms of the settlement, QEP will pay an administrative penalty of $0.2 million. The Company and EPA are in the process of finalizing the settlement documents, and anticipate that a final order resolving the matter will be entered in the third quarter of 2013. In 2012, QEP completed a field audit, which identified 112 additional instances affecting approximately 90 acres where work may have been conducted in violation of the Clean Water Act. QEP has disclosed each of these instances to the EPA under the EPA's Audit Policy (to reduce penalties) and to the COE. QEP is working with the EPA and the COE to resolve these matters, which will require the Company to undertake certain mitigation and permitting activities, and may require QEP to pay a monetary penalty.</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July 2010, QEP received a Notice of Potential Penalty (NOPP) from the Louisiana Department of Environmental Quality (LDEQ) regarding the assumption of ownership and operatorship of a single facility in Louisiana prior to transferring the facility's air quality permit. In 2011, QEP completed an internal audit, which identified 424 facilities in Louisiana for which QEP both failed to submit a complete permit application and to receive approval from the department prior to construction, modification, or operation. QEP has corrected and disclosed all instances of non-compliance to the LDEQ and is working with the department to resolve the NOPP. LDEQ has assumed lead responsibility for enforcement of the NOPP and may require the Company to pay a monetary penalty.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43" w:lineRule="exact"/>
        <w:rPr>
          <w:sz w:val="20"/>
          <w:szCs w:val="20"/>
          <w:color w:val="auto"/>
        </w:rPr>
      </w:pPr>
    </w:p>
    <w:p>
      <w:pPr>
        <w:ind w:right="40"/>
        <w:spacing w:after="0" w:line="305" w:lineRule="auto"/>
        <w:rPr>
          <w:sz w:val="20"/>
          <w:szCs w:val="20"/>
          <w:color w:val="auto"/>
        </w:rPr>
      </w:pPr>
      <w:r>
        <w:rPr>
          <w:rFonts w:ascii="Arial" w:cs="Arial" w:eastAsia="Arial" w:hAnsi="Arial"/>
          <w:sz w:val="16"/>
          <w:szCs w:val="16"/>
          <w:i w:val="1"/>
          <w:iCs w:val="1"/>
          <w:color w:val="auto"/>
        </w:rPr>
        <w:t>Chieftain Royalty Company v. QEP Energy Company</w:t>
      </w:r>
      <w:r>
        <w:rPr>
          <w:rFonts w:ascii="Arial" w:cs="Arial" w:eastAsia="Arial" w:hAnsi="Arial"/>
          <w:sz w:val="16"/>
          <w:szCs w:val="16"/>
          <w:color w:val="auto"/>
        </w:rPr>
        <w:t>, Case No CIV-11-0212-R, U. S. District Court for the Western District of Oklahoma. This statewide</w:t>
      </w:r>
      <w:r>
        <w:rPr>
          <w:rFonts w:ascii="Arial" w:cs="Arial" w:eastAsia="Arial" w:hAnsi="Arial"/>
          <w:sz w:val="16"/>
          <w:szCs w:val="16"/>
          <w:i w:val="1"/>
          <w:iCs w:val="1"/>
          <w:color w:val="auto"/>
        </w:rPr>
        <w:t xml:space="preserve"> </w:t>
      </w:r>
      <w:r>
        <w:rPr>
          <w:rFonts w:ascii="Arial" w:cs="Arial" w:eastAsia="Arial" w:hAnsi="Arial"/>
          <w:sz w:val="16"/>
          <w:szCs w:val="16"/>
          <w:color w:val="auto"/>
        </w:rPr>
        <w:t>class action was filed in January 2011 on behalf of QEP's Oklahoma royalty owners asserting various claims for damages related to royalty valuation on all of QEP's Oklahoma wells operated by QEP or from which QEP marketed gas. These claims include breach of contract, breach of fiduciary duty, fraud, unjust enrichment, tortious breach of contract, conspiracy, and conversion, based generally on asserted improper deduction of post-production costs. The Court certified the class as to the breach of contract, breach of fiduciary duty and unjust enrichment claims. The parties successfully mediated the case in January 2013. On February 13, 2013, the parties executed a Stipulation and Agreement of Settlement (the Chieftain Settlement Agreement) providing for a cash payment from QEP to the class in the amount of $115.0 million. In consideration for the settlement payment, QEP received a full release of all claims regarding the calculation, reporting and payment of royalties from the sale of natural gas and its constituents for all periods prior to February 28, 2013, and all class members are enjoined from asserting claims related to such royalties. As part of the Chieftain Settlement Agreement, the parties also agreed on the methodology for the calculation and payment of future royalties payable by QEP, or its successors and assigns, under all class leases for the life of such leases. On May 31, 2013, the Court issued a final order approving the settlement, which is subject to appeal.</w:t>
      </w:r>
    </w:p>
    <w:p>
      <w:pPr>
        <w:spacing w:after="0" w:line="1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Questar Gas Company v. QEP Field Services Company</w:t>
      </w:r>
      <w:r>
        <w:rPr>
          <w:rFonts w:ascii="Arial" w:cs="Arial" w:eastAsia="Arial" w:hAnsi="Arial"/>
          <w:sz w:val="18"/>
          <w:szCs w:val="18"/>
          <w:color w:val="auto"/>
        </w:rPr>
        <w:t>, Civil No. 120902969, Third Judicial District Court, State of Utah. QEP Field Services' former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Questar Gas Company (QGC), filed this complaint in state court in Utah on May 1, 2012, asserting claims for (1) breach of contract, (2) breach of implied covenant of good faith and fair dealing, (3) an accounting and (4) declaratory judgment related to a 1993 gathering agreement (1993 Agreement) executed when the parties were affiliates.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9" w:name="page20"/>
    <w:bookmarkEnd w:id="19"/>
    <w:p>
      <w:pPr>
        <w:spacing w:after="0" w:line="255" w:lineRule="auto"/>
        <w:rPr>
          <w:sz w:val="20"/>
          <w:szCs w:val="20"/>
          <w:color w:val="auto"/>
        </w:rPr>
      </w:pPr>
      <w:r>
        <w:rPr>
          <w:rFonts w:ascii="Arial" w:cs="Arial" w:eastAsia="Arial" w:hAnsi="Arial"/>
          <w:sz w:val="18"/>
          <w:szCs w:val="18"/>
          <w:color w:val="auto"/>
        </w:rPr>
        <w:t>Under the 1993 Agreement, QEP Field Services provides gathering services to QGC. QGC is disputing the annual calculation of the gathering rate, which is based on a cost of service concept expressed in the 1993 Agreement and in a 1998 amendment, and is netting this disputed amount from its monthly payments of the gathering fees to QEP Field Services. As of June 30, 2013, QEP has deferred revenue of $5.8 million related to the QGC disputed amount. The annual gathering rate has been calculated in the same manner under the contract since it was amended in 1998, without any prior objection or challenge by QGC. Specific monetary damages are not asserted. QEP Field Services has filed counterclaims seeking damages and a declaratory judgment relating to its gathering services under the same agreement. Management does not believe the litigation will have a material effect on QEP's financial position, results of operations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QEP issues stock options and restricted shares under its Long-Term Stock Incentive Plan (LTSIP) and awards performance-based share units under its Cash Incentive Plan (CIP) to certain officers, employees, and non-employee directors. QEP recognizes expense over time as the stock options, restricted shares, and performance-based share units vest. Deferred share-based compensation is included in additional paid-in capital in the Condensed Consolidated Balance Sheets. There were 12.0 million shares available for future grants under the LTSIP at June 30, 2013. Share-based compensation expense is recognized in “General and administrative” on the Condensed Consolidated Statements of Operations. During the three and six months ended June 30, 2013, QEP recognized $7.1 million and $13.2 million, respectively, in total compensation expense related to share-based compensation compared to $6.6 million and $12.3 million during the three and six months ended June 30, 2012,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QEP uses the Black-Scholes-Merton mathematical model to estimate the fair value of stock option awards at the date of the grant. Fair-value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calculated fair value of options granted and major assumptions used in the model at the date of grant are listed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Stock Option Assumptions</w:t>
            </w:r>
          </w:p>
        </w:tc>
      </w:tr>
      <w:tr>
        <w:trPr>
          <w:trHeight w:val="270"/>
        </w:trPr>
        <w:tc>
          <w:tcPr>
            <w:tcW w:w="5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5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June 30, 2013</w:t>
            </w:r>
          </w:p>
        </w:tc>
      </w:tr>
      <w:tr>
        <w:trPr>
          <w:trHeight w:val="34"/>
        </w:trPr>
        <w:tc>
          <w:tcPr>
            <w:tcW w:w="55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Weighted-average grant-date fair value of awards granted during the period</w:t>
            </w:r>
          </w:p>
        </w:tc>
        <w:tc>
          <w:tcPr>
            <w:tcW w:w="3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15.32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3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0.97%</w:t>
            </w:r>
          </w:p>
        </w:tc>
      </w:tr>
      <w:tr>
        <w:trPr>
          <w:trHeight w:val="27"/>
        </w:trPr>
        <w:tc>
          <w:tcPr>
            <w:tcW w:w="5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3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b w:val="1"/>
                <w:bCs w:val="1"/>
                <w:color w:val="auto"/>
              </w:rPr>
              <w:t>0.27%</w:t>
            </w:r>
          </w:p>
        </w:tc>
      </w:tr>
      <w:tr>
        <w:trPr>
          <w:trHeight w:val="27"/>
        </w:trPr>
        <w:tc>
          <w:tcPr>
            <w:tcW w:w="55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3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5.5</w:t>
            </w:r>
          </w:p>
        </w:tc>
      </w:tr>
      <w:tr>
        <w:trPr>
          <w:trHeight w:val="675"/>
        </w:trPr>
        <w:tc>
          <w:tcPr>
            <w:tcW w:w="5540" w:type="dxa"/>
            <w:vAlign w:val="bottom"/>
          </w:tcPr>
          <w:p>
            <w:pPr>
              <w:spacing w:after="0"/>
              <w:rPr>
                <w:sz w:val="24"/>
                <w:szCs w:val="24"/>
                <w:color w:val="auto"/>
              </w:rPr>
            </w:pPr>
          </w:p>
        </w:tc>
        <w:tc>
          <w:tcPr>
            <w:tcW w:w="3060" w:type="dxa"/>
            <w:vAlign w:val="bottom"/>
          </w:tcPr>
          <w:p>
            <w:pPr>
              <w:jc w:val="right"/>
              <w:ind w:right="271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Weighted-Average</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Average 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b w:val="1"/>
                <w:bCs w:val="1"/>
                <w:color w:val="auto"/>
              </w:rPr>
              <w:t>Outstanding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Contractual Term</w:t>
            </w: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Intrinsic Value</w:t>
            </w:r>
          </w:p>
        </w:tc>
      </w:tr>
      <w:tr>
        <w:trPr>
          <w:trHeight w:val="34"/>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5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140" w:type="dxa"/>
            <w:vAlign w:val="bottom"/>
          </w:tcPr>
          <w:p>
            <w:pPr>
              <w:spacing w:after="0"/>
              <w:rPr>
                <w:sz w:val="21"/>
                <w:szCs w:val="21"/>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8"/>
              </w:rPr>
              <w:t>(in millions)</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1,697,471</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321,048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2013</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1,809,019</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Options Exercisable at June 30, 2013</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1,231,704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26.35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3.7</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Unvested Options at June 30, 2013</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577,315</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31.22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5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60"/>
        <w:spacing w:after="0" w:line="354" w:lineRule="auto"/>
        <w:rPr>
          <w:sz w:val="20"/>
          <w:szCs w:val="20"/>
          <w:color w:val="auto"/>
        </w:rPr>
      </w:pPr>
      <w:r>
        <w:rPr>
          <w:rFonts w:ascii="Arial" w:cs="Arial" w:eastAsia="Arial" w:hAnsi="Arial"/>
          <w:sz w:val="16"/>
          <w:szCs w:val="16"/>
          <w:color w:val="auto"/>
        </w:rPr>
        <w:t>The total intrinsic value (the difference between the market price at the exercise date and the exercise price) of options exercised was $4.2 million and $6.9 million during the six months ended June 30, 2013 and 2012, respectively. The Company realized $1.4 million and $2.1 million of income tax benefit for the six months ended June 30, 2013 and 2012, which increased its Additional Paid-in-Capital (APIC) pool by $1.4 million as of June 30, 2013. As of June 30, 2013, $5.5 million of unrecognized compensation cost related to stock options granted under the LTSIP is expected to be recognized over a weighted-average period of 2.4 years. During the six months ended June 30, 2013, QEP received $0.5 million in cash in relation to the exercise of stock options.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Restricted share grants typically vest in equal installments over a three-year period from the grant date. The grant date fair value is determined based on the closing bid price of the Company's common stock on the grant date. The total fair value of restricted stock that vested during the six months ended June 30, 2013 and 2012, was $15.0 million and $12.6 million, respectively. The Company realized $0.3 million and $0.1 million of income tax expense for the six months ended June 30, 2013 and 2012, respectively, with no impact to the Company's APIC pool as of June 30, 2013. The weighted average grant-date fair value of restricted stock was $30.10 per share and $30.74 per share for the six months ended June 30, 2013 and 2012, respectively. As of June 30, 2013, $28.8 million of unrecognized compensation cost related to restricted shares granted under the LTSIP is expected to be recognized over a weighted-average vesting period of 2.4 years.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restricted shares under the terms of the LTSIP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1"/>
              </w:rPr>
              <w:t>Restricted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Average Grant-</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Date Fair Value</w:t>
            </w:r>
          </w:p>
        </w:tc>
      </w:tr>
      <w:tr>
        <w:trPr>
          <w:trHeight w:val="34"/>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8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8"/>
              </w:rPr>
              <w:t>(per share)</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1,300,588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810,248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30.10</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(499,193)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31.07</w:t>
            </w: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June 30, 2013</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1,568,904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30.94</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performance share units' cash payouts are dependent upon the Company’s total shareholder return compared to a group of its peers over a three-year period. The awards are denominated in share units but delivered in cash at the end of the performance period. The weighted average grant-date fair value of the performance share units was $30.12 per share and $30.90 per share for the six months ended June 30, 2013 and 2012, respectively. As of June 30, 2013, $9.7 million of unrecognized compensation cost, representing the fair market value of performance shares granted under the CIP, is expected to be recognized over a weighted-average vesting period of 2.2 years.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3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Average Grant-</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Units 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34"/>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283,484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217,573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June 30, 2013</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499,894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12 – Employee Benefits</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Company maintains closed, defined-benefit pension and postretirement medical plans. QEP's pension plans include a qualified and a nonqualified retirement plan. The Company's postretirement medical plan is unfunded and provides certain health care and life insurance benefits for certain retired employees. During the six months ended June 30, 2013, the Company made contributions of $5.4 million to its funded pension plan, and $0.9 million to its unfunded pension plan. Contributions to funded plans increase plan assets while contributions to unfunded plans are used to fund current benefit payments. During the remainder of 2013, the Company expects to contribute approximately $2.7 million to its funded pension plans, approximately $2.1 million to its unfunded pension plans and approximately $0.1 million for retiree health care and life insurance benefits.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pension and postretirement benefits net periodic benefit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Pension</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4"/>
        </w:trPr>
        <w:tc>
          <w:tcPr>
            <w:tcW w:w="6060" w:type="dxa"/>
            <w:vAlign w:val="bottom"/>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2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6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8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2012</w:t>
            </w:r>
          </w:p>
        </w:tc>
      </w:tr>
      <w:tr>
        <w:trPr>
          <w:trHeight w:val="34"/>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loss</w:t>
            </w:r>
          </w:p>
        </w:tc>
        <w:tc>
          <w:tcPr>
            <w:tcW w:w="8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64"/>
        </w:trPr>
        <w:tc>
          <w:tcPr>
            <w:tcW w:w="606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65"/>
        </w:trPr>
        <w:tc>
          <w:tcPr>
            <w:tcW w:w="6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Postretirement Benefits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
        </w:trPr>
        <w:tc>
          <w:tcPr>
            <w:tcW w:w="6060" w:type="dxa"/>
            <w:vAlign w:val="bottom"/>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22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6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8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tcPr>
          <w:p>
            <w:pPr>
              <w:spacing w:after="0"/>
              <w:rPr>
                <w:sz w:val="23"/>
                <w:szCs w:val="23"/>
                <w:color w:val="auto"/>
              </w:rPr>
            </w:pPr>
          </w:p>
        </w:tc>
      </w:tr>
      <w:tr>
        <w:trPr>
          <w:trHeight w:val="34"/>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2012</w:t>
            </w:r>
          </w:p>
        </w:tc>
      </w:tr>
      <w:tr>
        <w:trPr>
          <w:trHeight w:val="34"/>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84"/>
        </w:trPr>
        <w:tc>
          <w:tcPr>
            <w:tcW w:w="606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840" w:type="dxa"/>
            <w:vAlign w:val="bottom"/>
          </w:tcPr>
          <w:p>
            <w:pPr>
              <w:spacing w:after="0"/>
              <w:rPr>
                <w:sz w:val="24"/>
                <w:szCs w:val="2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4"/>
                <w:szCs w:val="2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Operations by Line of Business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QEP’s lines of business include natural gas and oil exploration and production (QEP Energy), midstream field services (QEP Field Services) and marketing and corporate (QEP Marketing &amp; Resources). The lines of business are managed separately and therefore the financial information is presented separately due to the distinct differences in the nature of operations of each line of business, among other factors.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8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is a summary of operating results for the three months ended June 30, 2013,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751.0</w:t>
            </w:r>
          </w:p>
        </w:tc>
        <w:tc>
          <w:tcPr>
            <w:tcW w:w="0" w:type="dxa"/>
            <w:vAlign w:val="bottom"/>
          </w:tcPr>
          <w:p>
            <w:pPr>
              <w:spacing w:after="0"/>
              <w:rPr>
                <w:sz w:val="1"/>
                <w:szCs w:val="1"/>
                <w:color w:val="auto"/>
              </w:rPr>
            </w:pP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30.6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221.7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(252.3)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751.0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207.0</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43.5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Natural gas, oil and NGL transportation and other handling</w:t>
            </w:r>
          </w:p>
        </w:tc>
        <w:tc>
          <w:tcPr>
            <w:tcW w:w="1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37.3</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40.9</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39.3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249.8</w:t>
            </w:r>
          </w:p>
        </w:tc>
        <w:tc>
          <w:tcPr>
            <w:tcW w:w="0" w:type="dxa"/>
            <w:vAlign w:val="bottom"/>
          </w:tcPr>
          <w:p>
            <w:pPr>
              <w:spacing w:after="0"/>
              <w:rPr>
                <w:sz w:val="1"/>
                <w:szCs w:val="1"/>
                <w:color w:val="auto"/>
              </w:rPr>
            </w:pP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644.1</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gain (loss) from asset sales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100.4</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207.3</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Realized and unrealized gains on derivative contracts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114.0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224.2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284.6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(104.8)</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142.1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179.8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64"/>
        </w:trPr>
        <w:tc>
          <w:tcPr>
            <w:tcW w:w="4460" w:type="dxa"/>
            <w:vAlign w:val="bottom"/>
          </w:tcPr>
          <w:p>
            <w:pPr>
              <w:ind w:left="20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142.1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26.4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178.4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following table is a summary of operating results for the three months ended June 30, 2012,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34"/>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499.3</w:t>
            </w: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Natural gas, oil and NGL transportation and other handling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w:t>
            </w: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57.5</w:t>
            </w:r>
          </w:p>
        </w:tc>
      </w:tr>
      <w:tr>
        <w:trPr>
          <w:trHeight w:val="271"/>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441.6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554.8</w:t>
            </w: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and unrealized gains (losses) on derivative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64"/>
        </w:trPr>
        <w:tc>
          <w:tcPr>
            <w:tcW w:w="4460" w:type="dxa"/>
            <w:vAlign w:val="bottom"/>
          </w:tcPr>
          <w:p>
            <w:pPr>
              <w:ind w:left="200"/>
              <w:spacing w:after="0"/>
              <w:rPr>
                <w:sz w:val="20"/>
                <w:szCs w:val="20"/>
                <w:color w:val="auto"/>
              </w:rPr>
            </w:pPr>
            <w:r>
              <w:rPr>
                <w:rFonts w:ascii="Arial" w:cs="Arial" w:eastAsia="Arial" w:hAnsi="Arial"/>
                <w:sz w:val="18"/>
                <w:szCs w:val="18"/>
                <w:color w:val="auto"/>
              </w:rPr>
              <w:t>Net (loss) income attributable to QEP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is a summary of operating results for the six months ended June 30, 2013,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1,447.5</w:t>
            </w:r>
          </w:p>
        </w:tc>
        <w:tc>
          <w:tcPr>
            <w:tcW w:w="0" w:type="dxa"/>
            <w:vAlign w:val="bottom"/>
          </w:tcPr>
          <w:p>
            <w:pPr>
              <w:spacing w:after="0"/>
              <w:rPr>
                <w:sz w:val="1"/>
                <w:szCs w:val="1"/>
                <w:color w:val="auto"/>
              </w:rPr>
            </w:pP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58.2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438.9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(497.1)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1,447.5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403.8</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86.7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82.4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Natural gas, oil and NGL transportation and other handling</w:t>
            </w:r>
          </w:p>
        </w:tc>
        <w:tc>
          <w:tcPr>
            <w:tcW w:w="1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71.3</w:t>
            </w: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44.1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86.9</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75.2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504.0</w:t>
            </w:r>
          </w:p>
        </w:tc>
        <w:tc>
          <w:tcPr>
            <w:tcW w:w="0" w:type="dxa"/>
            <w:vAlign w:val="bottom"/>
          </w:tcPr>
          <w:p>
            <w:pPr>
              <w:spacing w:after="0"/>
              <w:rPr>
                <w:sz w:val="1"/>
                <w:szCs w:val="1"/>
                <w:color w:val="auto"/>
              </w:rPr>
            </w:pPr>
          </w:p>
        </w:tc>
      </w:tr>
      <w:tr>
        <w:trPr>
          <w:trHeight w:val="284"/>
        </w:trPr>
        <w:tc>
          <w:tcPr>
            <w:tcW w:w="44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44"/>
        </w:trPr>
        <w:tc>
          <w:tcPr>
            <w:tcW w:w="44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1,275.6</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gain (loss) from asset sales</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100.2</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272.1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Realized and unrealized gains on derivative contracts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79.4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278.7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(102.6)</w:t>
            </w:r>
          </w:p>
        </w:tc>
        <w:tc>
          <w:tcPr>
            <w:tcW w:w="0" w:type="dxa"/>
            <w:vAlign w:val="bottom"/>
          </w:tcPr>
          <w:p>
            <w:pPr>
              <w:spacing w:after="0"/>
              <w:rPr>
                <w:sz w:val="1"/>
                <w:szCs w:val="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176.1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64"/>
        </w:trPr>
        <w:tc>
          <w:tcPr>
            <w:tcW w:w="4460" w:type="dxa"/>
            <w:vAlign w:val="bottom"/>
          </w:tcPr>
          <w:p>
            <w:pPr>
              <w:ind w:left="200"/>
              <w:spacing w:after="0"/>
              <w:rPr>
                <w:sz w:val="20"/>
                <w:szCs w:val="20"/>
                <w:color w:val="auto"/>
              </w:rPr>
            </w:pPr>
            <w:r>
              <w:rPr>
                <w:rFonts w:ascii="Arial" w:cs="Arial" w:eastAsia="Arial" w:hAnsi="Arial"/>
                <w:sz w:val="18"/>
                <w:szCs w:val="18"/>
                <w:color w:val="auto"/>
              </w:rPr>
              <w:t>Net income attributable to QEP</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112.3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48.0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is a summary of operating results for the six months ended June 30, 2012,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QEP Field</w:t>
            </w: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color w:val="auto"/>
              </w:rPr>
              <w:t>QEP Energy</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&amp; Resources</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34"/>
        </w:trPr>
        <w:tc>
          <w:tcPr>
            <w:tcW w:w="4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From unaffiliated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1,102.5</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affiliated customers</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732.3</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233.3</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443.7</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1,102.5</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Purchased gas, oil and NGL expense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313.3</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r>
      <w:tr>
        <w:trPr>
          <w:trHeight w:val="229"/>
        </w:trPr>
        <w:tc>
          <w:tcPr>
            <w:tcW w:w="4460" w:type="dxa"/>
            <w:vAlign w:val="bottom"/>
          </w:tcPr>
          <w:p>
            <w:pPr>
              <w:ind w:left="180"/>
              <w:spacing w:after="0"/>
              <w:rPr>
                <w:sz w:val="20"/>
                <w:szCs w:val="20"/>
                <w:color w:val="auto"/>
              </w:rPr>
            </w:pPr>
            <w:r>
              <w:rPr>
                <w:rFonts w:ascii="Arial" w:cs="Arial" w:eastAsia="Arial" w:hAnsi="Arial"/>
                <w:sz w:val="18"/>
                <w:szCs w:val="18"/>
                <w:color w:val="auto"/>
                <w:w w:val="91"/>
              </w:rPr>
              <w:t>Natural gas, oil and NGL transportation and other handling</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75.2</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processing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72.8</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413.7</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r>
      <w:tr>
        <w:trPr>
          <w:trHeight w:val="243"/>
        </w:trPr>
        <w:tc>
          <w:tcPr>
            <w:tcW w:w="44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852.8</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116.5</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447.5</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1,110.0</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from asset sales</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460" w:type="dxa"/>
            <w:vAlign w:val="bottom"/>
          </w:tcPr>
          <w:p>
            <w:pPr>
              <w:ind w:left="200"/>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gains on derivative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1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245.0</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43"/>
        </w:trPr>
        <w:tc>
          <w:tcPr>
            <w:tcW w:w="44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156.2</w:t>
            </w: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4460" w:type="dxa"/>
            <w:vAlign w:val="bottom"/>
          </w:tcPr>
          <w:p>
            <w:pPr>
              <w:ind w:left="200"/>
              <w:spacing w:after="0"/>
              <w:rPr>
                <w:sz w:val="20"/>
                <w:szCs w:val="20"/>
                <w:color w:val="auto"/>
              </w:rPr>
            </w:pPr>
            <w:r>
              <w:rPr>
                <w:rFonts w:ascii="Arial" w:cs="Arial" w:eastAsia="Arial" w:hAnsi="Arial"/>
                <w:sz w:val="18"/>
                <w:szCs w:val="18"/>
                <w:color w:val="auto"/>
              </w:rPr>
              <w:t>Net income (loss) attributable to QEP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154.5</w:t>
            </w: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July 2013, QEP Energy entered into a Purchase and Sale Agreement related to the disposition of certain of its non-core properties in the Southern Region for a purchase price of $66.8 million before purchase price adjustments. The Company expects to close the transaction in the third quarter of 2013.</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Item 1 of this Quarterly Report on Form 10-Q.</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following information updates the discussion of QEP’s financial condition provided in its 2012 Annual Report on Form 10-K filing and analyzes the changes in the results of operations between the three and six month periods ended June 30, 2013 and 2012. For definitions of commonly used gas and oil terms found in this Quarterly Report on Form 10-Q, please refer to the “Glossary of Commonly Used Terms” provided in QEP’s 2012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QEP Resources, Inc. (QEP or the Company) is a holding company with three major lines of business: natural gas and crude oil exploration and production; midstream field services; and energy marketing. These businesses are conducted through the Company’s three principal subsidiaries:</w:t>
      </w:r>
    </w:p>
    <w:p>
      <w:pPr>
        <w:spacing w:after="0" w:line="14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QEP Energy Company (QEP Energy) acquires, explores for, develops and produces natural gas, crude oil, and natural gas liquids (NGL);</w:t>
      </w:r>
    </w:p>
    <w:p>
      <w:pPr>
        <w:spacing w:after="0" w:line="23" w:lineRule="exact"/>
        <w:rPr>
          <w:rFonts w:ascii="Arial" w:cs="Arial" w:eastAsia="Arial" w:hAnsi="Arial"/>
          <w:sz w:val="18"/>
          <w:szCs w:val="18"/>
          <w:color w:val="auto"/>
        </w:rPr>
      </w:pPr>
    </w:p>
    <w:p>
      <w:pPr>
        <w:ind w:left="340" w:right="38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QEP Field Services Company (QEP Field Services) provides midstream field services, including natural gas gathering, processing, compression and treating services, for affiliates and third parties; and</w:t>
      </w:r>
    </w:p>
    <w:p>
      <w:pPr>
        <w:ind w:left="340" w:right="440" w:hanging="332"/>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QEP Marketing Company (QEP Marketing) markets affiliate and third-party natural gas and oil, and owns and operates an underground gas storage reservoir.</w:t>
      </w:r>
    </w:p>
    <w:p>
      <w:pPr>
        <w:spacing w:after="0" w:line="18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QEP's operations are focused in two major regions: the Northern Region (primarily in North Dakota, Wyoming and Utah) and the Southern Region (primarily in Oklahoma, Louisiana and the Texas Panhandle) of the United States. QEP's corporate headquarters are located in Denver, Colorado.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create value for our shareholders through returns-focused growth, superior execution, and a low cost structure. To achieve these objectives we strive to:</w:t>
      </w:r>
    </w:p>
    <w:p>
      <w:pPr>
        <w:spacing w:after="0" w:line="24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allocate capital to those projects that generate the highest returns;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businesses and assets that complement or expand our current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sustainable, diverse inventory of low-cost, high-margin resource plays;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in the highest-potential areas of the resource plays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contiguous acreage positions that drive operating efficiencies;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own a controlling interest in and operate midstream infrastructure in our core producing areas to capture value downstream of the wellhead;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 gas processing plants to extract liquids from our natural gas streams;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 or control assets to gather, compress and treat our production to drive down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support the growth of our midstream business through the formation of a Master Limited Partnership;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actively market our QEP Energy production to maximize value;</w:t>
      </w:r>
    </w:p>
    <w:p>
      <w:pPr>
        <w:spacing w:after="0" w:line="9" w:lineRule="exact"/>
        <w:rPr>
          <w:rFonts w:ascii="Arial" w:cs="Arial" w:eastAsia="Arial" w:hAnsi="Arial"/>
          <w:sz w:val="18"/>
          <w:szCs w:val="18"/>
          <w:color w:val="auto"/>
        </w:rPr>
      </w:pPr>
    </w:p>
    <w:p>
      <w:pPr>
        <w:ind w:left="340" w:right="7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utilize derivative contracts to mitigate the impact of natural gas, crude oil or NGL price volatility and fluctuating interest rates, while locking in acceptable cash flows required to support future capital expenditures;</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and retain the best people; and</w:t>
      </w:r>
    </w:p>
    <w:p>
      <w:pPr>
        <w:spacing w:after="0" w:line="9" w:lineRule="exact"/>
        <w:rPr>
          <w:rFonts w:ascii="Arial" w:cs="Arial" w:eastAsia="Arial" w:hAnsi="Arial"/>
          <w:sz w:val="18"/>
          <w:szCs w:val="18"/>
          <w:color w:val="auto"/>
        </w:rPr>
      </w:pPr>
    </w:p>
    <w:p>
      <w:pPr>
        <w:ind w:left="340" w:right="100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capital structure that allows us the necessary financial flexibility with which to invest in organic growth and potential acquisition opportunities, as they may arise.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5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has substantial acreage positions and operations in some of the most prolific hydrocarbon resource plays in the continental United States, including the Williston Basin, Pinedale Anticline, Uinta Basin, Woodford "Cana" and Haynesville Shale. These resource plays are characterized by unconventional oil or natural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consistent growth in organic production and reserves. QEP believes that it has one of the lowest cash operating structures among its exploration and production company peers. However, in certain of its resource plays, QEP, along with its peers, has experienced increased drilling and completion costs which could impact future drilling plans.</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While historically a natural gas producer, the Company has increased its focus on growing the relative proportion of crude oil and NGL production in its exploration and production business. As part of the Company's liquids growth strategy, during the third quarter of 2012, QEP Energy acquired oil and gas properties in the Williston Basin for an aggregate purchase price of $1.4 billion, subject to post-closing adjustments (the 2012 Acquisition). During the first half of 2013, QEP Energy increased its crude oil and NGL (natural gas liquids) production by 34% compared to the first half of 2012. During the first half of 2013, crude oil and NGL revenue accounted for approximately 55% of QEP Energy’s field-level production revenues, compared to 51% during the first half of 2012.</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While QEP believes that it can grow production and reserves from its extensive inventory of identified drilling locations, the Company continues to evaluate acquisition opportunities that might create significant long-term value. QEP believes that its experience, expertise, and substantial presence in its core operating areas, combined with its low-cost operating model and financial strength, enhance its ability to pursue acquisition opportunities. In addition, the Company will occasionally divest select non-core portfolio assets to redirect capital towards higher-return projects. In the second quarter of 2013, QEP Energy sold its interest in several non-core oil and gas properties located in the Northern Region for total cash proceeds of $139.7 million and a pre-tax gain on sale of $102.5 million, subject to post-closing adjustments. In July 2013, QEP Energy entered into a Purchase and Sale Agreement related to the disposition of certain non-core properties in the Southern Region for a purchase price of $66.8 million and the Company expects to close this transaction in the third quarter of 2013.</w:t>
      </w:r>
    </w:p>
    <w:p>
      <w:pPr>
        <w:spacing w:after="0" w:line="19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QEP owns and operates gathering and natural gas processing and treatment facilities in the majority of its core producing areas. These assets enable the Company to promptly connect its wells, better control its costs, and generate a significant, consistent revenue stream by providing gathering and processing services to third parties.</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January 2013, QEP announced that its Board of Directors had authorized the formation of a Master Limited Partnership (MLP) to support the growth of QEP's midstream business. The Company filed a registration statement with the SEC in the second quarter of 2013 for an initial public offering of common units of the MLP. QEP plans to contribute a majority of its gathering assets in Wyoming and North Dakota to the MLP. QEP expects to sell a minority interest in the MLP and raise $300 million to $400 million of gross proceeds. QEP plans to use the proceeds from the offering to fund ongoing operations, to repay debt under the Company's revolving credit facility and for general corporate purposes. The registration statement has not yet become effective and the common units in the MLP may not be sold nor may offers to buy be accepted prior to the time the registration statement becomes effective. QEP's announcement of this plan and the filing of the registration statement did not, and this disclosure does not, constitute an offer to sell or the solicitation of an offer to buy any securities and shall not constitute an offer, solicitation or sale in any jurisdiction in which such offer, solicitation or sale would be unlawful prior to registration or qualification under the securities laws of that jurisdiction.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QEP Energy reported total equivalent production of 77.9 Bcfe during the second quarter of 2013 and 155.9 Bcfe in the first half of 2013, a decrease of 2% and an increase of 1%, respectively, over the same periods in 2012. Crude oil and NGL production in the second quarter and first half of 2013 was 3,500.2 Mbbls and 6,747.6 Mbbls, an increase of 34% from the same periods in 2012. The Company's 2012 Acquisition contributed 664.1 Mbbls and 1,300.9 Mbbls of liquids production in the second quarter and first half of 2013.</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580" w:right="259" w:bottom="1440" w:gutter="0" w:footer="0" w:header="0"/>
        </w:sectPr>
      </w:pPr>
    </w:p>
    <w:bookmarkStart w:id="28" w:name="page29"/>
    <w:bookmarkEnd w:id="28"/>
    <w:p>
      <w:pPr>
        <w:ind w:right="140"/>
        <w:spacing w:after="0" w:line="312" w:lineRule="auto"/>
        <w:rPr>
          <w:sz w:val="20"/>
          <w:szCs w:val="20"/>
          <w:color w:val="auto"/>
        </w:rPr>
      </w:pPr>
      <w:r>
        <w:rPr>
          <w:rFonts w:ascii="Arial" w:cs="Arial" w:eastAsia="Arial" w:hAnsi="Arial"/>
          <w:sz w:val="16"/>
          <w:szCs w:val="16"/>
          <w:color w:val="auto"/>
        </w:rPr>
        <w:t>During the second quarter of 2013, QEP Field Services' gathering throughput volumes decreased 16%, and NGL sales volumes decreased 28%, while fee-based processing volumes were 2% higher than the second quarter of 2012. During the first half of 2013, QEP Field Services' gathering throughput volumes decreased 13%, NGL sales volumes decreased 49% and fee-based processing volumes were 4% lower compared to the first half of 2012.</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second quarter and first half of 2013, QEP Energy benefited from increased average realized prices compared to 2012. QEP Energy’s average total net realized equivalent price (including the impact of settled commodity derivatives) increased 26% to $6.47 per Mcfe for the second quarter of 2013 and increased 21% to $6.39 per Mcfe for the first half of 2013 compared to the first half of 2012. As a result of low ethane prices relative to natural gas prices, QEP Field Services' processing plants, in regard to its keep-whole processing activities, continue to operate in ethane rejection mode (where the majority of ethane is left in the production stream and sold as natural gas). When in ethane rejection mode, NGL volumes are lower and average NGL prices are higher as a result of the remaining components of the NGL stream having a higher price than ethane. During the second quarter and first half of 2013, NGL sales volumes declined, the impact of which was partially offset by an increase in average net realized NGL sales prices of 2% and 5%, respectively. During the second quarter and first half of 2013, QEP Field Services' fee-based processing rates increased 11%, while fee-based gathering rates were flat.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Natural Gas, and NGL Prices</w:t>
      </w:r>
    </w:p>
    <w:p>
      <w:pPr>
        <w:spacing w:after="0" w:line="23"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Historically, field-level prices received for QEP's natural gas, NGL, and crude oil production have been volatile and unpredictable, and that volatility is expected to continue. In recent years, domestic natural gas supply has grown faster than natural gas demand, driven by advances in drilling and completion technologies, including horizontal drilling and multi-stage hydraulic fracturing. These changes have allowed producers to extract increased quantities of natural gas from shale, tight sand formations, and other unconventional reservoirs. Increased natural gas supplies have resulted in downward pressure on natural gas prices, while concern about the global economy and other factors has created volatility in the price of crude oil. Changes in the market prices for natural gas, crude oil, and NGL directly impact many aspects of QEP's business, including its financial condition, revenues, results of operations, planned drilling activity and related capital expenditures, liquidity, rate of growth, and costs of goods and services required to drill and complete wells, and may impact the carrying value of its oil and natural gas properties.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QEP uses commodity derivatives to reduce the volatility of the prices QEP receives for a portion of its production and to protect cash flow and returns on invested capital from a drop in commodity prices. Generally, QEP intends to enter into commodity derivative contracts for approximately 50% of its forecasted annual production by the end of the first quarter of each fiscal year. At June 30, 2013, assuming 2013 annual production of 317.5 Bcfe, QEP Energy had approximately 51% of its forecasted natural gas equivalent production covered with fixed-price swaps, including 57% of its forecasted natural gas production and 55% of its forecasted crude oil production covered with fixed-price swaps. See Item 3 “Quantitative and Qualitative Disclosures about Market Risk—Commodity Price Risk Management” for further details concerning QEP’s commodity derivatives transactions. In addition, as a result of the continued spread between oil and natural gas prices, QEP Energy has allocated approximately 98% of its forecasted 2013 drilling and completion capital expenditure budget to oil and liquids-rich natural gas projects in its portfolio.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QEP continues to monitor the outlook of the global economy, including the European debt crisis and its potential impact on global economic growth and the banking and financial sectors, political unrest in the Middle East and Africa, a slowing of growth in Asia, the United States federal budget deficit, changes in regulatory oversight policy and commodity price volatility. A dramatic decline in regional or global economic conditions, a major recession or depression, regional political instability, economic sanctions, war, or other factors beyond the control of QEP could have a significant impact on natural gas, NGL and crude oil supply, demand and prices, and could materially impact the Company's financial position, results of operations and cash flow from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and Other Market Risk Factors</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U.S. natural gas directed drilling rig count decreased during 2012 and continues to decrease in the first half of 2013 as producers have reduced drilling for natural gas in response to lower natural gas prices. A reduction in natural gas production has lagged the downturn in the natural gas rig count, because natural gas producers have a significant inventory of drilled wells waiting on completion and new high-rate horizontal wells continue to be completed. As a result of the lag, U.S. natural gas production did not decline in 2012 and has not yet declined in 2013. The U.S. natural gas market entered the storage injection season with record high inventory levels. However, strong natural gas demand from electric power generation resulted in a general firming of natural gas prices during the last half of 2012 and first half of 2013. Despite increased natural gas prices during the second quarter and first half of 2013, QEP expects U.S. natural gas prices to remain volatile over the near term.</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9" w:name="page30"/>
    <w:bookmarkEnd w:id="29"/>
    <w:p>
      <w:pPr>
        <w:ind w:right="140"/>
        <w:spacing w:after="0" w:line="289" w:lineRule="auto"/>
        <w:rPr>
          <w:sz w:val="20"/>
          <w:szCs w:val="20"/>
          <w:color w:val="auto"/>
        </w:rPr>
      </w:pPr>
      <w:r>
        <w:rPr>
          <w:rFonts w:ascii="Arial" w:cs="Arial" w:eastAsia="Arial" w:hAnsi="Arial"/>
          <w:sz w:val="16"/>
          <w:szCs w:val="16"/>
          <w:color w:val="auto"/>
        </w:rPr>
        <w:t>Relatively low natural gas prices have caused U.S. E&amp;P companies, including QEP, to shift capital investments away from predominantly dry gas areas toward plays that are known to have liquids-rich natural gas and crude oil. This shift in focus has caused domestic NGL production to increase dramatically. Increased NGL production, warmer-than-average winters, and price dislocations from infrastructure bottlenecks in certain regions, have all contributed to a weakening in domestic NGL prices, particularly ethane. QEP expects NGL prices to remain volatile for the foreseeable future. QEP anticipates global crude oil prices to remain near current levels, assuming the global economy and socio-political backdrops remain relatively stable. Disruption to the global oil supply system, political and/or economic instability, and/or other factors could trigger additional volatility in crude oil prices. In addition, transportation, refining, or other infrastructure constraints could introduce significant price differentials between regional markets where QEP sells its crude oil production and national (NYMEX or Cushing) and global (Brent or U.S. Gulf Coast) markets. Because of the global and regional price volatility and the uncertainty around the commodity price environment, QEP continues to manage its capital spending program and financial flexibility accordingly.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carrying value of the Company's properties is sensitive to declines in natural gas, crude oil and NGL prices. These assets are at risk of impairment if future prices for natural gas, crude oil or NGL prices decline. The cash flow model that the Company uses to assess proved properties for impairment includes numerous assumptions, such as management's estimates of future oil, gas and NGL production, market outlook on forward commodity prices, operating and development costs, and discount rates. All inputs to the cash flow model must be evaluated at each date of estimate. However, a decrease in forward natural gas, crude oil and NGL prices alone could result in an impairment of properties. The Company did not record any proved property impairments during the first half of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QEP’s significant accounting policies are described in Item 7 of Part II of its 2012 Annual Report on Form 10-K. The Company’s Condensed Consolidated Financial Statements are prepared in accordance with United States Generally Accepted Accounting Principles (GAAP). The preparation of the Company’s Condensed Consolidated Financial Statements requires management to make assumptions and estimates that affect the reported results of operations and financial position. QEP’s accounting policies on gas and oil reserves, successful efforts accounting for gas and oil operations, impairment of gas and oil properties, asset retirement obligations, accounting for derivative contracts, revenue recognition, environmental obligations, litigation and other contingencies, benefit plan obligations, share-based compensation, income taxes, and purchase price allocations, among others, may involve a high degree of complexity and judgment on the part of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QEP Resources’ net income for the second quarter of 2013 was $178.4 million, or $0.99 per diluted share, compared to a net loss of $0.7 million, or no earnings per diluted share, in the second quarter of 2012. The increase in the second quarter of 2013 was due to a $172.4 million increase in QEP Energy’s net income primarily related to the $100.5 million gain recorded in connection with sales of certain non-core properties, higher realized equivalent prices and increased oil volumes partially offset by higher depreciation, depletion and amortization expenses and lower realized gains on derivative instruments when compared to the second quarter of 2012.</w:t>
      </w:r>
    </w:p>
    <w:p>
      <w:pPr>
        <w:spacing w:after="0" w:line="188"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QEP Resources’ net income for the first half of 2013 was $174.1 million, or $0.97 per diluted share, compared to net income of $154.5 million, or $0.87 per diluted share in 2012. The increase in the first half of 2013 was due to a $34.5 million increase in QEP Energy’s net income and a $15.8 million increase in QEP Marketing and Resources' net income, offset by a $30.7 million decrease in QEP Field Services net income. QEP Energy's net income increased in the first half of 2013 due to its gain from asset sales, an increase in realized equivalent prices, increased oil volumes and a decrease in property impairments, partially offset by an increase in depreciation, depletion and amortization expense and interest expense and a decrease in unrealized gains on commodity derivative contracts. The increase in QEP Marketing and Resources' net income is related to intercompany interest income from interest expense charges to QEP Resources' subsidiaries. QEP Field Services’ decrease in net income during the first half of 2013 was driven by a 52% decrease in the keep-whole processing margin and 13% lower gathering margins.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58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provides a summary of net income (loss) attributable to QEP by line of business: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gridSpan w:val="8"/>
          </w:tcPr>
          <w:p>
            <w:pPr>
              <w:ind w:left="560"/>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0"/>
                <w:szCs w:val="20"/>
                <w:color w:val="auto"/>
              </w:rPr>
            </w:pPr>
          </w:p>
        </w:tc>
        <w:tc>
          <w:tcPr>
            <w:tcW w:w="2640" w:type="dxa"/>
            <w:vAlign w:val="bottom"/>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9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85"/>
              </w:rPr>
              <w:t>Change</w:t>
            </w:r>
          </w:p>
        </w:tc>
      </w:tr>
      <w:tr>
        <w:trPr>
          <w:trHeight w:val="34"/>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QEP Energy</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142.1</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112.3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Field Services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8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QEP Marketing and Resources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w:t>
            </w: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QEP</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Earnings per diluted share</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0.99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0.97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0.10</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diluted shares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179.4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3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Management believes Adjusted EBITDA (a non-GAAP measure) is an important measure of the Company’s cash flow, liquidity, and ability to incur and service debt, fund capital expenditures and make distributions to shareholders. The use of this measure allows investors to understand how management evaluates financial performance to make operating decisions and allocate resources. It is also an important measure for comparing the Company’s financial performance to other gas and oil producing companies. Management defines Adjusted EBITDA as net income before the following items: certain significant accrued litigation loss contingencies, depreciation, depletion and amortization (DD&amp;A), exploration expense, impairment, gains and losses from asset sales, unrealized gains and losses on derivative contracts, interest and other income, interest expense, loss on early extinguishment of debt and income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Adjusted EBITDA by line of business: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gridSpan w:val="8"/>
          </w:tcPr>
          <w:p>
            <w:pPr>
              <w:ind w:left="560"/>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0"/>
                <w:szCs w:val="20"/>
                <w:color w:val="auto"/>
              </w:rPr>
            </w:pPr>
          </w:p>
        </w:tc>
        <w:tc>
          <w:tcPr>
            <w:tcW w:w="2640" w:type="dxa"/>
            <w:vAlign w:val="bottom"/>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9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85"/>
              </w:rPr>
              <w:t>Change</w:t>
            </w:r>
          </w:p>
        </w:tc>
      </w:tr>
      <w:tr>
        <w:trPr>
          <w:trHeight w:val="34"/>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QEP Field Services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 and Resources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33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389.5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336.9</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764.5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687.6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Adjusted EBITDA increased to $389.5 million in the second quarter of 2013 from $336.9 million in 2012, due to 26% increase in average net realized equivalent prices and an 82% increase in oil production at QEP Energy offset in part by decreases in processing and gathering margins at QEP Field Services.</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the first half of 2013, Adjusted EBITDA increased to $764.5 million from $687.6 million in 2012, due to 4% higher net realized natural gas prices, 6% higher net realized crude oil prices, 11% higher realized NGL prices as a result of the rejection of lower value ethane and a 1% increase in total production at QEP Energy offset in part by decreases in processing and gathering margins at QEP Field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tables are reconciliations of Adjusted EBITDA to net income, the most comparable GAAP financial measure:</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QEP Field</w:t>
            </w: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QEP Marketing</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QEP Energy</w:t>
            </w: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1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&amp; Resources</w:t>
            </w:r>
          </w:p>
        </w:tc>
        <w:tc>
          <w:tcPr>
            <w:tcW w:w="1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QEP Resources</w:t>
            </w:r>
          </w:p>
        </w:tc>
      </w:tr>
      <w:tr>
        <w:trPr>
          <w:trHeight w:val="34"/>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Three Months Ended June 30, 2013</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5"/>
          </w:tcPr>
          <w:p>
            <w:pPr>
              <w:ind w:left="84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QEP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178.4</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Unrealized gains on derivative contracts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(83.9)</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 from asset sales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(100.4)</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Interest and other income</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104.8</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48.9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41.4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9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249.5</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Exploration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r>
      <w:tr>
        <w:trPr>
          <w:trHeight w:val="297"/>
        </w:trPr>
        <w:tc>
          <w:tcPr>
            <w:tcW w:w="4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332.1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389.5</w:t>
            </w:r>
          </w:p>
        </w:tc>
      </w:tr>
      <w:tr>
        <w:trPr>
          <w:trHeight w:val="311"/>
        </w:trPr>
        <w:tc>
          <w:tcPr>
            <w:tcW w:w="4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Three Months Ended June 30, 2012</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QEP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Unrealized losses (gains) on derivative contracts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Income tax (benefit) provision</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9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213.7</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55.4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Exploration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97"/>
        </w:trPr>
        <w:tc>
          <w:tcPr>
            <w:tcW w:w="4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336.9</w:t>
            </w:r>
          </w:p>
        </w:tc>
      </w:tr>
      <w:tr>
        <w:trPr>
          <w:trHeight w:val="311"/>
        </w:trPr>
        <w:tc>
          <w:tcPr>
            <w:tcW w:w="4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Six Months Ended June 30, 2013</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QEP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174.1</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Unrealized losses (gains) on derivative contracts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 from asset sales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(100.2)</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Interest and other income</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102.6</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80.8</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9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503.0</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Exploration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w:t>
            </w:r>
          </w:p>
        </w:tc>
      </w:tr>
      <w:tr>
        <w:trPr>
          <w:trHeight w:val="257"/>
        </w:trPr>
        <w:tc>
          <w:tcPr>
            <w:tcW w:w="4940" w:type="dxa"/>
            <w:vAlign w:val="bottom"/>
          </w:tcPr>
          <w:p>
            <w:pPr>
              <w:ind w:left="16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655.8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764.5</w:t>
            </w: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240" w:top="58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20"/>
          </w:cols>
          <w:pgMar w:left="240" w:top="584" w:right="439" w:bottom="1440" w:gutter="0" w:footer="0" w:header="0"/>
          <w:type w:val="continuous"/>
        </w:sectPr>
      </w:pPr>
    </w:p>
    <w:bookmarkStart w:id="32" w:name="page33"/>
    <w:bookmarkEnd w:id="32"/>
    <w:tbl>
      <w:tblPr>
        <w:tblLayout w:type="fixed"/>
        <w:tblInd w:w="22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QEP Field</w:t>
            </w: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QEP Marketing</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QEP Energy</w:t>
            </w: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1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&amp; Resources</w:t>
            </w:r>
          </w:p>
        </w:tc>
        <w:tc>
          <w:tcPr>
            <w:tcW w:w="1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QEP Resources</w:t>
            </w:r>
          </w:p>
        </w:tc>
      </w:tr>
      <w:tr>
        <w:trPr>
          <w:trHeight w:val="34"/>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Six Months Ended June 30, 2012</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Net income (loss) attributable to QEP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154.5</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derivative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Net gain from asset sales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88.8</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r>
      <w:tr>
        <w:trPr>
          <w:trHeight w:val="270"/>
        </w:trPr>
        <w:tc>
          <w:tcPr>
            <w:tcW w:w="4940" w:type="dxa"/>
            <w:vAlign w:val="bottom"/>
          </w:tcPr>
          <w:p>
            <w:pPr>
              <w:ind w:left="20"/>
              <w:spacing w:after="0" w:line="270" w:lineRule="exact"/>
              <w:rPr>
                <w:sz w:val="20"/>
                <w:szCs w:val="20"/>
                <w:color w:val="auto"/>
              </w:rPr>
            </w:pPr>
            <w:r>
              <w:rPr>
                <w:rFonts w:ascii="Arial" w:cs="Arial" w:eastAsia="Arial" w:hAnsi="Arial"/>
                <w:sz w:val="18"/>
                <w:szCs w:val="18"/>
                <w:color w:val="auto"/>
              </w:rPr>
              <w:t>Accrued litigation loss contingency</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r>
      <w:tr>
        <w:trPr>
          <w:trHeight w:val="270"/>
        </w:trPr>
        <w:tc>
          <w:tcPr>
            <w:tcW w:w="4940" w:type="dxa"/>
            <w:vAlign w:val="bottom"/>
          </w:tcPr>
          <w:p>
            <w:pPr>
              <w:ind w:left="20"/>
              <w:spacing w:after="0" w:line="270" w:lineRule="exact"/>
              <w:rPr>
                <w:sz w:val="20"/>
                <w:szCs w:val="20"/>
                <w:color w:val="auto"/>
              </w:rPr>
            </w:pPr>
            <w:r>
              <w:rPr>
                <w:rFonts w:ascii="Arial" w:cs="Arial" w:eastAsia="Arial" w:hAnsi="Arial"/>
                <w:sz w:val="18"/>
                <w:szCs w:val="18"/>
                <w:color w:val="auto"/>
              </w:rPr>
              <w:t>Depreciation, depletion and amortization</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412.3</w:t>
            </w: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Exploration expenses</w:t>
            </w:r>
          </w:p>
        </w:tc>
        <w:tc>
          <w:tcPr>
            <w:tcW w:w="1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687.6</w:t>
            </w: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__________________________</w:t>
      </w:r>
    </w:p>
    <w:p>
      <w:pPr>
        <w:spacing w:after="0" w:line="5" w:lineRule="exact"/>
        <w:rPr>
          <w:sz w:val="20"/>
          <w:szCs w:val="20"/>
          <w:color w:val="auto"/>
        </w:rPr>
      </w:pPr>
    </w:p>
    <w:p>
      <w:pPr>
        <w:ind w:firstLine="8"/>
        <w:spacing w:after="0" w:line="272" w:lineRule="auto"/>
        <w:tabs>
          <w:tab w:leader="none" w:pos="178"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Excludes the noncontrolling interest's 22% share, or $0.3 million and $0.7 million during the three months ended June 30, 2013 and 2012, respectively, and $1.0 million and $1.4 million during the six months ended June 30, 2013 and 2012, respectively, of depreciation, depletion and amortization attributable to Rendezvous Gas Services, L.L.C.</w:t>
      </w:r>
    </w:p>
    <w:p>
      <w:pPr>
        <w:ind w:left="200" w:hanging="192"/>
        <w:spacing w:after="0" w:line="196"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Includes certain significant litigation contingency items for the six months ended June 30, 2012.</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742" w:right="2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QEP ENERGY</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9"/>
          </w:tcPr>
          <w:p>
            <w:pPr>
              <w:spacing w:after="0"/>
              <w:rPr>
                <w:sz w:val="20"/>
                <w:szCs w:val="20"/>
                <w:color w:val="auto"/>
              </w:rPr>
            </w:pPr>
            <w:r>
              <w:rPr>
                <w:rFonts w:ascii="Arial" w:cs="Arial" w:eastAsia="Arial" w:hAnsi="Arial"/>
                <w:sz w:val="18"/>
                <w:szCs w:val="18"/>
                <w:color w:val="auto"/>
                <w:w w:val="92"/>
              </w:rPr>
              <w:t>The following table provides a summary of QEP Energy’s financial and operating results: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44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4"/>
                <w:szCs w:val="24"/>
                <w:color w:val="auto"/>
              </w:rPr>
            </w:pPr>
          </w:p>
        </w:tc>
        <w:tc>
          <w:tcPr>
            <w:tcW w:w="324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80" w:type="dxa"/>
            <w:vAlign w:val="bottom"/>
          </w:tcPr>
          <w:p>
            <w:pPr>
              <w:spacing w:after="0"/>
              <w:rPr>
                <w:sz w:val="21"/>
                <w:szCs w:val="21"/>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34"/>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Natural gas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Oil sales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208.3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402.5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528.5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1,036.7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732.3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120.6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Lease operating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w w:val="96"/>
              </w:rPr>
              <w:t>Natural gas, oil and NGL transportation and other</w:t>
            </w:r>
          </w:p>
        </w:tc>
        <w:tc>
          <w:tcPr>
            <w:tcW w:w="260" w:type="dxa"/>
            <w:vAlign w:val="bottom"/>
          </w:tcPr>
          <w:p>
            <w:pPr>
              <w:spacing w:after="0"/>
              <w:rPr>
                <w:sz w:val="19"/>
                <w:szCs w:val="19"/>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handling costs</w:t>
            </w: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Production and property taxes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72.3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Exploration expenses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Borders>
              <w:bottom w:val="single" w:sz="8" w:color="CCEEFF"/>
            </w:tcBorders>
            <w:shd w:val="clear" w:color="auto" w:fill="CCEEFF"/>
          </w:tcPr>
          <w:p>
            <w:pPr>
              <w:spacing w:after="0"/>
              <w:rPr>
                <w:sz w:val="24"/>
                <w:szCs w:val="24"/>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468.5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946.0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gain from asset sales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6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160.5</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266.6</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191.3</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Realized gains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w w:val="96"/>
              </w:rPr>
              <w:t>Unrealized gains (losses) on derivative instruments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78.1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224.2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177.2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304"/>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 (Loss) Attributable to QEP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142.1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112.3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Production volumes (Bcfe)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23.2</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44.9</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Midcontinent</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Total equivalent prices (per Mcfe)</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equivalent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0.40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0.52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equivalent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80"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Revenue, Volume and Price Variance Analysis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volume and price related changes for each of QEP Energy’s major revenue categories for the three and six months ended June 30, 2013 compared to the three and six months ended June 30,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Natural Gas</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NGL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4"/>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June 30, 2012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Three months ended June 30, 2013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218.1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208.3</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472.5</w:t>
            </w: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Six months ended June 30, 2012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70"/>
        </w:trPr>
        <w:tc>
          <w:tcPr>
            <w:tcW w:w="606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 2013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415.7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402.5</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96.7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914.9</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300" w:hanging="314"/>
        <w:spacing w:after="0" w:line="223"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volume is calculated by multiplying the change in volumes from the three and six months ended June 30, 2013, as compared to the three and six months ended June 30, 2012, by the average field-level price for the three and six months ended June 30, 2012.</w:t>
      </w:r>
    </w:p>
    <w:p>
      <w:pPr>
        <w:ind w:left="660" w:right="80" w:hanging="314"/>
        <w:spacing w:after="0" w:line="221"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price is calculated by multiplying the change in average field-level prices from the three and six months ended June 30, 2013, as compared to the three and six months ended June 30, 2012, by volumes for the three and six months ended June 30,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Natural Gas Volumes and Prices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8"/>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220" w:type="dxa"/>
            <w:vAlign w:val="bottom"/>
          </w:tcPr>
          <w:p>
            <w:pPr>
              <w:spacing w:after="0"/>
              <w:rPr>
                <w:sz w:val="24"/>
                <w:szCs w:val="24"/>
                <w:color w:val="auto"/>
              </w:rPr>
            </w:pPr>
          </w:p>
        </w:tc>
        <w:tc>
          <w:tcPr>
            <w:tcW w:w="3020" w:type="dxa"/>
            <w:vAlign w:val="bottom"/>
            <w:gridSpan w:val="7"/>
          </w:tcPr>
          <w:p>
            <w:pPr>
              <w:jc w:val="right"/>
              <w:ind w:right="47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1"/>
                <w:szCs w:val="21"/>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34"/>
        </w:trPr>
        <w:tc>
          <w:tcPr>
            <w:tcW w:w="466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Natural gas production volumes (Bcf)</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6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33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20.1</w:t>
            </w: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39.1</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35.2</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2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46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4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Midcontinent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Natural gas prices (per Mcf)</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Southern Region</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3.56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0.44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0.61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Natural gas revenues increased $79.2 million, or 57%, in the second quarter of 2013 due to higher field-level prices partially offset by lower volumes. The decrease in production volumes was driven by the suspension of QEP's Haynesville/Cotton Valley operated drilling program partially offset by increased production in QEP's Pinedale, Midcontinent, Uinta Basin and</w:t>
      </w:r>
    </w:p>
    <w:p>
      <w:pPr>
        <w:sectPr>
          <w:pgSz w:w="11900" w:h="16838" w:orient="portrait"/>
          <w:cols w:equalWidth="0" w:num="1">
            <w:col w:w="11420"/>
          </w:cols>
          <w:pgMar w:left="240" w:top="796"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796"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7"/>
          <w:szCs w:val="17"/>
          <w:color w:val="auto"/>
        </w:rPr>
        <w:t>Williston Basin properties. Natural gas field-level prices increased 76% during the second quarter of 2013 as a result of increased near-term demand.</w:t>
      </w:r>
    </w:p>
    <w:p>
      <w:pPr>
        <w:spacing w:after="0" w:line="23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Natural gas revenues increased $115.6 million, or 39%, during the first half of 2013 due to higher field-level prices offset by lower volumes. The decrease in production volumes was driven by the suspension of QEP's Haynesville/Cotton Valley operated drilling program partially offset by increased production from its drilling programs in Pinedale, the Midcontinent, Uinta Basin and Williston Basin. Natural gas field-level prices increased 48% during the first half of 2013 as a result of increased near-term demand.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Volumes and Prices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440"/>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4"/>
                <w:szCs w:val="24"/>
                <w:color w:val="auto"/>
              </w:rPr>
            </w:pPr>
          </w:p>
        </w:tc>
        <w:tc>
          <w:tcPr>
            <w:tcW w:w="336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26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34"/>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Crude oil production volumes (Mbbl)</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161.1</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153.8</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309.9</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306.1</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2,842.8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235.3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451.6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40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3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Midcontinent</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336.5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349.8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745.4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2,385.2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4,524.1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1,993.6</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Crude oil prices (per bbl)</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Southern Region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89.27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88.57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94.51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Oil revenues increased $101.1 million, or 94%, in the second quarter of 2013 due to higher volumes and higher average prices. The increase in production volumes was primarily driven by properties acquired in QEP's Williston Basin 2012 Acquisition which contributed 578.3 Mbbls during the second quarter of 2013. Oil field-level prices increased 7% in the second quarter of 2013, despite a decrease in Brent crude oil prices and relatively flat WTI Cushing crude oil prices. The increase in QEP's field-level prices was due to improved pricing in the Williston Basin. Williston Basin pricing increased in the second quarter of 2013 due to the improvement in price differentials and the sale of crude oil referenced against Brent prices in the second quarter of 2013. Average Brent spot prices were higher than WTI Cushing in the second quarter of both 2013 and 2012.</w:t>
      </w:r>
    </w:p>
    <w:p>
      <w:pPr>
        <w:spacing w:after="0" w:line="17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Oil revenues increased $184.5 million, or 85%, in the first half of 2013 due to higher volumes and higher average prices. The increase in production volumes was primarily driven by properties acquired in the 2012 Acquisition which contributed 1,138.8 Mbbls during the first half of 2013. The additional 695.6 Mbbls increase in the Williston Basin production relates to development drilling on QEP's pre-acquisition acreage. The increased volumes in the Midcontinent were related to increases in production from QEP's properties in the Granite Wash and Woodford "Cana" shale plays. Oil field-level prices increased 3% in the first half of 2013, despite a decrease in WTI Cushing and Brent crude oil prices due to the improved pricing in the Williston Basin.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33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gridSpan w:val="8"/>
          </w:tcPr>
          <w:p>
            <w:pPr>
              <w:ind w:left="56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4"/>
                <w:szCs w:val="24"/>
                <w:color w:val="auto"/>
              </w:rPr>
            </w:pPr>
          </w:p>
        </w:tc>
        <w:tc>
          <w:tcPr>
            <w:tcW w:w="2780" w:type="dxa"/>
            <w:vAlign w:val="bottom"/>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85"/>
              </w:rPr>
              <w:t>Change</w:t>
            </w:r>
          </w:p>
        </w:tc>
        <w:tc>
          <w:tcPr>
            <w:tcW w:w="0" w:type="dxa"/>
            <w:vAlign w:val="bottom"/>
          </w:tcPr>
          <w:p>
            <w:pPr>
              <w:spacing w:after="0"/>
              <w:rPr>
                <w:sz w:val="1"/>
                <w:szCs w:val="1"/>
                <w:color w:val="auto"/>
              </w:rPr>
            </w:pPr>
          </w:p>
        </w:tc>
      </w:tr>
      <w:tr>
        <w:trPr>
          <w:trHeight w:val="34"/>
        </w:trPr>
        <w:tc>
          <w:tcPr>
            <w:tcW w:w="334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4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20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337.7</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9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748.8</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(411.1)</w:t>
            </w: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649.6</w:t>
            </w: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1,465.9</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172.1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3"/>
        </w:trPr>
        <w:tc>
          <w:tcPr>
            <w:tcW w:w="334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33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Midcontinent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515.5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1,106.6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851.7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production</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2,223.5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0"/>
        </w:trPr>
        <w:tc>
          <w:tcPr>
            <w:tcW w:w="334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prices (per bbl)</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Southern Region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29.99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Average field-level price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Commodity derivative impact</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Net realized price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NGL revenues increased $0.3 million, or 1%, during the second quarter of 2013, due to an increased average price per barrel partially offset by decreased production volumes. NGL prices increased 17% during the second quarter of 2013 primarily as a result of not removing ethane from the wet gas production stream. When ethane is sold as part of the natural gas stream instead of being recovered as an NGL, the average NGL barrel sales price increases as the price of the remaining NGL components are higher than the ethane price. Production volumes decreased in Pinedale due to processing plants running in ethane rejection mode. The decrease in Pinedale was partially offset by increases in the Midcontinent and Williston Basin. The Midcontinent increase was driven by new well completions in the Woodford "Cana" shale and Granite Wash areas while the Williston Basin's NGL volume growth was the result of the 2012 Acquisition which contributed 85.8 Mbbls to the second quarter of 2013 and continued development drilling on pre-acquisition acreage.</w:t>
      </w:r>
    </w:p>
    <w:p>
      <w:pPr>
        <w:spacing w:after="0" w:line="16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During the first half of 2013, NGL revenues increased $1.0 million, or 1%, due to an increased price per barrel partially offset by decreased production volumes. NGL field-level prices increased 14% as a result of ethane rejection. Production volumes decreased in Pinedale due to ethane rejection. The decrease in Pinedale was partially offset by increases in the Midcontinent, Williston Basin and Uinta Basin. The Midcontinent increase was driven by additional Woodford "Cana" shale wells while the Williston Basin's NGL volume growth was primarily the result of the 2012 Acquisition which contributed 162.1 Mbbls to the first half of 2013. In addition, the Uinta Basin increased volumes despite its processing plants running in ethane rejection mode due to QEP Energy executing a fee-based processing agreement in mid-2012 with QEP Field Services for a portion of the Red Wash Unit's natural gas production.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Resale Margin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QEP Energy purchases and resells gas, oil and NGL products in order to fulfill firm transportation contract commitments and mitigate potential losses. The difference between the price of the products purchased and sold creates a resale margin that represents a gain or loss for the Company. The following table is a summary of QEP Energy's financial results from our gas, oil and NGL resale activities:</w:t>
      </w:r>
    </w:p>
    <w:p>
      <w:pPr>
        <w:spacing w:after="0" w:line="123"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8"/>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2720" w:type="dxa"/>
            <w:vAlign w:val="bottom"/>
            <w:gridSpan w:val="7"/>
          </w:tcPr>
          <w:p>
            <w:pPr>
              <w:jc w:val="right"/>
              <w:ind w:right="31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w w:val="99"/>
              </w:rPr>
              <w:t>2012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7"/>
        </w:trPr>
        <w:tc>
          <w:tcPr>
            <w:tcW w:w="3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Resale Margin</w:t>
            </w: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5"/>
          </w:tcPr>
          <w:p>
            <w:pPr>
              <w:ind w:left="380"/>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Purchased gas, oil and NGL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Purchased gas, oil and NGL expense</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Resale margin (loss) gain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7" w:name="page38"/>
    <w:bookmarkEnd w:id="37"/>
    <w:p>
      <w:pPr>
        <w:ind w:right="160"/>
        <w:spacing w:after="0" w:line="264" w:lineRule="auto"/>
        <w:rPr>
          <w:sz w:val="20"/>
          <w:szCs w:val="20"/>
          <w:color w:val="auto"/>
        </w:rPr>
      </w:pPr>
      <w:r>
        <w:rPr>
          <w:rFonts w:ascii="Arial" w:cs="Arial" w:eastAsia="Arial" w:hAnsi="Arial"/>
          <w:sz w:val="18"/>
          <w:szCs w:val="18"/>
          <w:color w:val="auto"/>
        </w:rPr>
        <w:t>During the second quarter and first half of 2013, QEP Energy recorded a loss on resale margin as a result of its activities to utilize pipeline transportation commitments in Louisiana. The Company has transportation commitments in excess of its current production as a result of the suspension of its Haynesville drilling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Drilling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 completions for the three and six months ended June 30,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300"/>
              <w:spacing w:after="0"/>
              <w:rPr>
                <w:sz w:val="20"/>
                <w:szCs w:val="20"/>
                <w:color w:val="auto"/>
              </w:rPr>
            </w:pPr>
            <w:r>
              <w:rPr>
                <w:rFonts w:ascii="Arial" w:cs="Arial" w:eastAsia="Arial" w:hAnsi="Arial"/>
                <w:sz w:val="18"/>
                <w:szCs w:val="18"/>
                <w:color w:val="auto"/>
              </w:rPr>
              <w:t>Operated Completions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w w:val="98"/>
              </w:rPr>
              <w:t>Non-operated Completions</w:t>
            </w:r>
          </w:p>
        </w:tc>
        <w:tc>
          <w:tcPr>
            <w:tcW w:w="10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30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Six Months Ended</w:t>
            </w:r>
          </w:p>
        </w:tc>
        <w:tc>
          <w:tcPr>
            <w:tcW w:w="224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2140" w:type="dxa"/>
            <w:vAlign w:val="bottom"/>
            <w:gridSpan w:val="3"/>
          </w:tcPr>
          <w:p>
            <w:pPr>
              <w:jc w:val="right"/>
              <w:ind w:right="290"/>
              <w:spacing w:after="0"/>
              <w:rPr>
                <w:sz w:val="20"/>
                <w:szCs w:val="20"/>
                <w:color w:val="auto"/>
              </w:rPr>
            </w:pPr>
            <w:r>
              <w:rPr>
                <w:rFonts w:ascii="Arial" w:cs="Arial" w:eastAsia="Arial" w:hAnsi="Arial"/>
                <w:sz w:val="18"/>
                <w:szCs w:val="18"/>
                <w:color w:val="auto"/>
              </w:rPr>
              <w:t>Six Months Ended</w:t>
            </w: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87"/>
              </w:rPr>
              <w:t>June 30, 2013</w:t>
            </w:r>
          </w:p>
        </w:tc>
        <w:tc>
          <w:tcPr>
            <w:tcW w:w="2300" w:type="dxa"/>
            <w:vAlign w:val="bottom"/>
            <w:gridSpan w:val="4"/>
          </w:tcPr>
          <w:p>
            <w:pPr>
              <w:jc w:val="center"/>
              <w:ind w:right="80"/>
              <w:spacing w:after="0"/>
              <w:rPr>
                <w:sz w:val="20"/>
                <w:szCs w:val="20"/>
                <w:color w:val="auto"/>
              </w:rPr>
            </w:pPr>
            <w:r>
              <w:rPr>
                <w:rFonts w:ascii="Arial" w:cs="Arial" w:eastAsia="Arial" w:hAnsi="Arial"/>
                <w:sz w:val="18"/>
                <w:szCs w:val="18"/>
                <w:color w:val="auto"/>
                <w:w w:val="89"/>
              </w:rPr>
              <w:t>June 30, 2013</w:t>
            </w:r>
          </w:p>
        </w:tc>
        <w:tc>
          <w:tcPr>
            <w:tcW w:w="2240" w:type="dxa"/>
            <w:vAlign w:val="bottom"/>
            <w:gridSpan w:val="4"/>
          </w:tcPr>
          <w:p>
            <w:pPr>
              <w:jc w:val="center"/>
              <w:ind w:right="80"/>
              <w:spacing w:after="0"/>
              <w:rPr>
                <w:sz w:val="20"/>
                <w:szCs w:val="20"/>
                <w:color w:val="auto"/>
              </w:rPr>
            </w:pPr>
            <w:r>
              <w:rPr>
                <w:rFonts w:ascii="Arial" w:cs="Arial" w:eastAsia="Arial" w:hAnsi="Arial"/>
                <w:sz w:val="18"/>
                <w:szCs w:val="18"/>
                <w:color w:val="auto"/>
                <w:w w:val="87"/>
              </w:rPr>
              <w:t>June 30, 2013</w:t>
            </w:r>
          </w:p>
        </w:tc>
        <w:tc>
          <w:tcPr>
            <w:tcW w:w="2140" w:type="dxa"/>
            <w:vAlign w:val="bottom"/>
            <w:gridSpan w:val="3"/>
          </w:tcPr>
          <w:p>
            <w:pPr>
              <w:jc w:val="right"/>
              <w:ind w:right="470"/>
              <w:spacing w:after="0"/>
              <w:rPr>
                <w:sz w:val="20"/>
                <w:szCs w:val="20"/>
                <w:color w:val="auto"/>
              </w:rPr>
            </w:pPr>
            <w:r>
              <w:rPr>
                <w:rFonts w:ascii="Arial" w:cs="Arial" w:eastAsia="Arial" w:hAnsi="Arial"/>
                <w:sz w:val="18"/>
                <w:szCs w:val="18"/>
                <w:color w:val="auto"/>
              </w:rPr>
              <w:t>June 30, 2013</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3"/>
              </w:rPr>
              <w:t>Gross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34"/>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31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1800" w:type="dxa"/>
            <w:vAlign w:val="bottom"/>
            <w:tcBorders>
              <w:top w:val="single" w:sz="8" w:color="CCEEFF"/>
            </w:tcBorders>
            <w:gridSpan w:val="2"/>
          </w:tcPr>
          <w:p>
            <w:pPr>
              <w:spacing w:after="0"/>
              <w:rPr>
                <w:sz w:val="21"/>
                <w:szCs w:val="21"/>
                <w:color w:val="auto"/>
              </w:rPr>
            </w:pPr>
          </w:p>
        </w:tc>
        <w:tc>
          <w:tcPr>
            <w:tcW w:w="3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89"/>
              </w:rPr>
              <w:t>35</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27.1</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tcPr>
          <w:p>
            <w:pPr>
              <w:spacing w:after="0"/>
              <w:rPr>
                <w:sz w:val="21"/>
                <w:szCs w:val="21"/>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Uinta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Legacy</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Midcontinent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wells being drilled or waiting on completion at June 30,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w w:val="85"/>
              </w:rPr>
              <w:t>Operated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600"/>
              <w:spacing w:after="0"/>
              <w:rPr>
                <w:sz w:val="20"/>
                <w:szCs w:val="20"/>
                <w:color w:val="auto"/>
              </w:rPr>
            </w:pPr>
            <w:r>
              <w:rPr>
                <w:rFonts w:ascii="Arial" w:cs="Arial" w:eastAsia="Arial" w:hAnsi="Arial"/>
                <w:sz w:val="18"/>
                <w:szCs w:val="18"/>
                <w:color w:val="auto"/>
              </w:rPr>
              <w:t>Non-operated</w:t>
            </w:r>
          </w:p>
        </w:tc>
        <w:tc>
          <w:tcPr>
            <w:tcW w:w="1020" w:type="dxa"/>
            <w:vAlign w:val="bottom"/>
          </w:tcPr>
          <w:p>
            <w:pPr>
              <w:spacing w:after="0"/>
              <w:rPr>
                <w:sz w:val="20"/>
                <w:szCs w:val="20"/>
                <w:color w:val="auto"/>
              </w:rPr>
            </w:pP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0" w:type="dxa"/>
            <w:vAlign w:val="bottom"/>
            <w:tcBorders>
              <w:bottom w:val="single" w:sz="8" w:color="auto"/>
            </w:tcBorders>
            <w:gridSpan w:val="6"/>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0" w:type="dxa"/>
            <w:vAlign w:val="bottom"/>
            <w:gridSpan w:val="6"/>
          </w:tcPr>
          <w:p>
            <w:pPr>
              <w:ind w:left="640"/>
              <w:spacing w:after="0"/>
              <w:rPr>
                <w:sz w:val="20"/>
                <w:szCs w:val="20"/>
                <w:color w:val="auto"/>
              </w:rPr>
            </w:pPr>
            <w:r>
              <w:rPr>
                <w:rFonts w:ascii="Arial" w:cs="Arial" w:eastAsia="Arial" w:hAnsi="Arial"/>
                <w:sz w:val="18"/>
                <w:szCs w:val="18"/>
                <w:color w:val="auto"/>
              </w:rPr>
              <w:t>Being drilled</w:t>
            </w:r>
          </w:p>
        </w:tc>
        <w:tc>
          <w:tcPr>
            <w:tcW w:w="2020" w:type="dxa"/>
            <w:vAlign w:val="bottom"/>
            <w:gridSpan w:val="4"/>
          </w:tcPr>
          <w:p>
            <w:pPr>
              <w:spacing w:after="0"/>
              <w:rPr>
                <w:sz w:val="20"/>
                <w:szCs w:val="20"/>
                <w:color w:val="auto"/>
              </w:rPr>
            </w:pPr>
            <w:r>
              <w:rPr>
                <w:rFonts w:ascii="Arial" w:cs="Arial" w:eastAsia="Arial" w:hAnsi="Arial"/>
                <w:sz w:val="18"/>
                <w:szCs w:val="18"/>
                <w:color w:val="auto"/>
              </w:rPr>
              <w:t>Waiting on completion</w:t>
            </w:r>
          </w:p>
        </w:tc>
        <w:tc>
          <w:tcPr>
            <w:tcW w:w="2240" w:type="dxa"/>
            <w:vAlign w:val="bottom"/>
            <w:gridSpan w:val="4"/>
          </w:tcPr>
          <w:p>
            <w:pPr>
              <w:ind w:left="620"/>
              <w:spacing w:after="0"/>
              <w:rPr>
                <w:sz w:val="20"/>
                <w:szCs w:val="20"/>
                <w:color w:val="auto"/>
              </w:rPr>
            </w:pPr>
            <w:r>
              <w:rPr>
                <w:rFonts w:ascii="Arial" w:cs="Arial" w:eastAsia="Arial" w:hAnsi="Arial"/>
                <w:sz w:val="18"/>
                <w:szCs w:val="18"/>
                <w:color w:val="auto"/>
              </w:rPr>
              <w:t>Being drilled</w:t>
            </w:r>
          </w:p>
        </w:tc>
        <w:tc>
          <w:tcPr>
            <w:tcW w:w="2140" w:type="dxa"/>
            <w:vAlign w:val="bottom"/>
            <w:gridSpan w:val="3"/>
          </w:tcPr>
          <w:p>
            <w:pPr>
              <w:jc w:val="right"/>
              <w:ind w:right="150"/>
              <w:spacing w:after="0"/>
              <w:rPr>
                <w:sz w:val="20"/>
                <w:szCs w:val="20"/>
                <w:color w:val="auto"/>
              </w:rPr>
            </w:pPr>
            <w:r>
              <w:rPr>
                <w:rFonts w:ascii="Arial" w:cs="Arial" w:eastAsia="Arial" w:hAnsi="Arial"/>
                <w:sz w:val="18"/>
                <w:szCs w:val="18"/>
                <w:color w:val="auto"/>
              </w:rPr>
              <w:t>Waiting on completion</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Gross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ind w:left="380"/>
              <w:spacing w:after="0"/>
              <w:rPr>
                <w:sz w:val="20"/>
                <w:szCs w:val="20"/>
                <w:color w:val="auto"/>
              </w:rPr>
            </w:pPr>
            <w:r>
              <w:rPr>
                <w:rFonts w:ascii="Arial" w:cs="Arial" w:eastAsia="Arial" w:hAnsi="Arial"/>
                <w:sz w:val="18"/>
                <w:szCs w:val="18"/>
                <w:color w:val="auto"/>
              </w:rPr>
              <w:t>Net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34"/>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3"/>
        </w:trPr>
        <w:tc>
          <w:tcPr>
            <w:tcW w:w="40" w:type="dxa"/>
            <w:vAlign w:val="bottom"/>
          </w:tcPr>
          <w:p>
            <w:pPr>
              <w:spacing w:after="0"/>
              <w:rPr>
                <w:sz w:val="17"/>
                <w:szCs w:val="17"/>
                <w:color w:val="auto"/>
              </w:rPr>
            </w:pPr>
          </w:p>
        </w:tc>
        <w:tc>
          <w:tcPr>
            <w:tcW w:w="31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Pinedale</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Williston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23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10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Uinta Basin</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Legacy</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40" w:type="dxa"/>
            <w:vAlign w:val="bottom"/>
            <w:tcBorders>
              <w:right w:val="single" w:sz="8" w:color="CCEEFF"/>
            </w:tcBorders>
          </w:tcPr>
          <w:p>
            <w:pPr>
              <w:spacing w:after="0"/>
              <w:rPr>
                <w:sz w:val="17"/>
                <w:szCs w:val="17"/>
                <w:color w:val="auto"/>
              </w:rPr>
            </w:pPr>
          </w:p>
        </w:tc>
        <w:tc>
          <w:tcPr>
            <w:tcW w:w="31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right w:val="single" w:sz="8" w:color="CCEEFF"/>
            </w:tcBorders>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3100" w:type="dxa"/>
            <w:vAlign w:val="bottom"/>
            <w:gridSpan w:val="3"/>
          </w:tcPr>
          <w:p>
            <w:pPr>
              <w:spacing w:after="0"/>
              <w:rPr>
                <w:sz w:val="20"/>
                <w:szCs w:val="20"/>
                <w:color w:val="auto"/>
              </w:rPr>
            </w:pPr>
            <w:r>
              <w:rPr>
                <w:rFonts w:ascii="Arial" w:cs="Arial" w:eastAsia="Arial" w:hAnsi="Arial"/>
                <w:sz w:val="18"/>
                <w:szCs w:val="18"/>
                <w:color w:val="auto"/>
              </w:rPr>
              <w:t>Haynesville/Cotton Valley</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3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Midcontinent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12"/>
        </w:trPr>
        <w:tc>
          <w:tcPr>
            <w:tcW w:w="40" w:type="dxa"/>
            <w:vAlign w:val="bottom"/>
          </w:tcPr>
          <w:p>
            <w:pPr>
              <w:spacing w:after="0"/>
              <w:rPr>
                <w:sz w:val="18"/>
                <w:szCs w:val="18"/>
                <w:color w:val="auto"/>
              </w:rPr>
            </w:pPr>
          </w:p>
        </w:tc>
        <w:tc>
          <w:tcPr>
            <w:tcW w:w="31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w w:val="88"/>
              </w:rPr>
              <w:t>___________________________</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ind w:right="160" w:firstLine="8"/>
        <w:spacing w:after="0" w:line="239" w:lineRule="auto"/>
        <w:tabs>
          <w:tab w:leader="none" w:pos="192"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 non-operated well total for the Uinta Basin does not include wells that are being drilled in the Monument Butte unit in which QEP owns a very small working interest.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QEP Energy operating expenses on a per unit of production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8"/>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960" w:type="dxa"/>
            <w:vAlign w:val="bottom"/>
            <w:gridSpan w:val="7"/>
          </w:tcPr>
          <w:p>
            <w:pPr>
              <w:ind w:left="2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34"/>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34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34"/>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(per Mcfe)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Lease operating expense</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0.59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ind w:left="260"/>
              <w:spacing w:after="0"/>
              <w:rPr>
                <w:sz w:val="20"/>
                <w:szCs w:val="20"/>
                <w:color w:val="auto"/>
              </w:rPr>
            </w:pPr>
            <w:r>
              <w:rPr>
                <w:rFonts w:ascii="Arial" w:cs="Arial" w:eastAsia="Arial" w:hAnsi="Arial"/>
                <w:sz w:val="18"/>
                <w:szCs w:val="18"/>
                <w:b w:val="1"/>
                <w:bCs w:val="1"/>
                <w:color w:val="auto"/>
              </w:rPr>
              <w:t>0.56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Natural gas, oil and NGL transportation and other handling</w:t>
            </w: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ind w:left="260"/>
              <w:spacing w:after="0"/>
              <w:rPr>
                <w:sz w:val="20"/>
                <w:szCs w:val="20"/>
                <w:color w:val="auto"/>
              </w:rPr>
            </w:pPr>
            <w:r>
              <w:rPr>
                <w:rFonts w:ascii="Arial" w:cs="Arial" w:eastAsia="Arial" w:hAnsi="Arial"/>
                <w:sz w:val="18"/>
                <w:szCs w:val="18"/>
                <w:b w:val="1"/>
                <w:bCs w:val="1"/>
                <w:color w:val="auto"/>
              </w:rPr>
              <w:t>0.74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taxes</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0.46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84" w:right="239" w:bottom="1440" w:gutter="0" w:footer="0" w:header="0"/>
          <w:type w:val="continuous"/>
        </w:sectPr>
      </w:pPr>
    </w:p>
    <w:bookmarkStart w:id="38" w:name="page39"/>
    <w:bookmarkEnd w:id="38"/>
    <w:p>
      <w:pPr>
        <w:spacing w:after="0" w:line="297" w:lineRule="auto"/>
        <w:rPr>
          <w:sz w:val="20"/>
          <w:szCs w:val="20"/>
          <w:color w:val="auto"/>
        </w:rPr>
      </w:pPr>
      <w:r>
        <w:rPr>
          <w:rFonts w:ascii="Arial" w:cs="Arial" w:eastAsia="Arial" w:hAnsi="Arial"/>
          <w:sz w:val="16"/>
          <w:szCs w:val="16"/>
          <w:b w:val="1"/>
          <w:bCs w:val="1"/>
          <w:i w:val="1"/>
          <w:iCs w:val="1"/>
          <w:color w:val="auto"/>
        </w:rPr>
        <w:t xml:space="preserve">Depreciation, depletion and amortization. </w:t>
      </w:r>
      <w:r>
        <w:rPr>
          <w:rFonts w:ascii="Arial" w:cs="Arial" w:eastAsia="Arial" w:hAnsi="Arial"/>
          <w:sz w:val="16"/>
          <w:szCs w:val="16"/>
          <w:color w:val="auto"/>
        </w:rPr>
        <w:t>DD&amp;A expense increased $40.0 million, or $0.57 per Mcfe, in the second quarter of 2013 when compared to 2012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increases in the Williston Basin and Haynesville/Cotton Valley partially offset by a decrease in the Uinta Basin. The increase in the Williston Basin rate is due to the additional proved costs recorded as part of the 2012 Acquisition while the increase in the Haynesville/Cotton Valley rate was due to a year-end 2012 negative revision of proved undeveloped reserves associated with lower prices. These increases were partially offset by a decrease in the Uinta Basin rate due to a 2012 proved property impairment and the addition of proved undeveloped reserves recorded at year-end 2012.</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the first half of 2013, DD&amp;A expense increased $94.4 million, or $0.58 per Mcfe, compared to the first half of 2012 due to increases in the Williston Basin and Haynesville/Cotton Valley partially offset by a decrease in the Uinta Basin. The increase in the Williston Basin rate is due to the additional proved costs recorded as part of the 2012 Acquisition while the increase in the Haynesville/Cotton Valley rate was due to a year-end 2012 negative revision of proved undeveloped reserves associated with lower prices. These increases were partially offset by a decrease in the Uinta Basin rate due to a 2012 proved property impairment and the addition of proved undeveloped reserves recorded at year-end 2012.</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Lease operating expense. </w:t>
      </w:r>
      <w:r>
        <w:rPr>
          <w:rFonts w:ascii="Arial" w:cs="Arial" w:eastAsia="Arial" w:hAnsi="Arial"/>
          <w:sz w:val="17"/>
          <w:szCs w:val="17"/>
          <w:color w:val="auto"/>
        </w:rPr>
        <w:t>The following table presents lease operating expenses (LOE) for QEP Energy by region on a unit of production basis: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96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 June 30,</w:t>
            </w:r>
          </w:p>
        </w:tc>
      </w:tr>
      <w:tr>
        <w:trPr>
          <w:trHeight w:val="34"/>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21"/>
                <w:szCs w:val="21"/>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34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21"/>
                <w:szCs w:val="21"/>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r>
      <w:tr>
        <w:trPr>
          <w:trHeight w:val="34"/>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(per Mcfe)</w:t>
            </w: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0.63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Southern Region</w:t>
            </w: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0.53</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0.46</w:t>
            </w: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ind w:left="260"/>
              <w:spacing w:after="0"/>
              <w:rPr>
                <w:sz w:val="20"/>
                <w:szCs w:val="20"/>
                <w:color w:val="auto"/>
              </w:rPr>
            </w:pPr>
            <w:r>
              <w:rPr>
                <w:rFonts w:ascii="Arial" w:cs="Arial" w:eastAsia="Arial" w:hAnsi="Arial"/>
                <w:sz w:val="18"/>
                <w:szCs w:val="18"/>
                <w:b w:val="1"/>
                <w:bCs w:val="1"/>
                <w:color w:val="auto"/>
              </w:rPr>
              <w:t>0.47</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0.49</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lease operating expense</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0.59</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0.56</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0.53</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QEP Energy’s LOE increased $4.3 million, or 13% per Mcfe, during the second quarter of 2013 compared to 2012. The Southern Region's LOE per Mcfe increase during the second quarter of 2013 was driven by a 19% increase in its Haynesville properties due to its declining production but relatively flat labor, pumper costs and operating expenses due to the slight increase in total well count. The Northern Region increase was driven by an 11% per Mcfe increase in the Uinta Basin due to higher compression and transportation costs. In addition, the Northern Region per Mcfe LOE grew by 18% in Pinedale due to an increase in workover expense in the second quarter of 2013.</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QEP Energy’s LOE increased $4.5 million, or 6% per Mcfe, during the first half of 2013 compared to 2012. The Northern Region increase was driven by a 24% per Mcfe increase in the Uinta Basin due to higher compression and transportation costs and a 19% increase in Pinedale due to the increase in workover expense in the first half of 2013. The increase in the Northern Region properties was offset by a decrease in Southern Region properties. The Southern Region LOE per Mcfe decrease in the first half of 2013 was driven by a 29% decline at its Woodford properties due to additional cost savings measures.</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Natural gas, oil and NGL transportation and other handling costs. </w:t>
      </w:r>
      <w:r>
        <w:rPr>
          <w:rFonts w:ascii="Arial" w:cs="Arial" w:eastAsia="Arial" w:hAnsi="Arial"/>
          <w:sz w:val="18"/>
          <w:szCs w:val="18"/>
          <w:color w:val="auto"/>
        </w:rPr>
        <w:t>Natural gas, oil and NGL transportation and other handling costs increased $2.3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$0.04 per Mcfe, in the second quarter of 2013 compared to the second quarter of 2012 due to increases in costs in the Haynesville/Cotton Valley field and Williston Basin. Haynesville/Cotton Valley transportation and other handling costs per Mcfe increased 26% due to larger decreases in production volumes than transportation costs. Transportation and other handling costs per Mcfe in the Williston Basin increased 42% due to the addition of the acquired properties from the 2012 Acquisition.</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Natural gas, oil and NGL transportation and other handling costs increased $8.1 million, or $0.04 per Mcfe, in the first half of 2013 compared to 2012 due to increases in costs in the Haynesville/Cotton Valley field and Williston Basin. Haynesville/Cotton Valley transportation and other handling costs per Mcfe increased 22% due to larger decreases in production volumes than transportation costs. Transportation and other handling costs per Mcfe in the Williston Basin increased 62% in the first half of 2013 due to increased gathering costs associated with the acquired properties from the 2012 Acquisition.</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Production taxes. </w:t>
      </w:r>
      <w:r>
        <w:rPr>
          <w:rFonts w:ascii="Arial" w:cs="Arial" w:eastAsia="Arial" w:hAnsi="Arial"/>
          <w:sz w:val="17"/>
          <w:szCs w:val="17"/>
          <w:color w:val="auto"/>
        </w:rPr>
        <w:t>In most states in which QEP Energy operates, QEP pays production taxes based on a percentage of field-level revenue, except in Louisiana,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where severance taxes are volume-based. Production taxes increased $19.4 million, or $0.25 per Mcfe, during the second quarter of 2013, as a result of increased natural gas, oil and NGL revenues due to higher field-level natural gas, oil and NGL prices and higher oil production.</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Production taxes increased $31.2 million, or $0.19 per Mcfe, during the first half of 2013, as a result of increased revenues due to higher field-level prices and higher oil production.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b w:val="1"/>
          <w:bCs w:val="1"/>
          <w:i w:val="1"/>
          <w:iCs w:val="1"/>
          <w:color w:val="auto"/>
        </w:rPr>
        <w:t xml:space="preserve">Exploration expense. </w:t>
      </w:r>
      <w:r>
        <w:rPr>
          <w:rFonts w:ascii="Arial" w:cs="Arial" w:eastAsia="Arial" w:hAnsi="Arial"/>
          <w:sz w:val="18"/>
          <w:szCs w:val="18"/>
          <w:color w:val="auto"/>
        </w:rPr>
        <w:t>Exploration expenses increased $0.5 million during the three months ended June 30, 2013, compared with the 2012 period.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2013 increase related to increases in exploration-related labor, environmental expenses and seismic studies.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first half of 2013, exploration expenses increased $3.6 million compared to the 2012 period. The 2013 increase primarily related to an increase in seismic studies of $3.2 million.</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 xml:space="preserve">Impairment expense. </w:t>
      </w:r>
      <w:r>
        <w:rPr>
          <w:rFonts w:ascii="Arial" w:cs="Arial" w:eastAsia="Arial" w:hAnsi="Arial"/>
          <w:sz w:val="18"/>
          <w:szCs w:val="18"/>
          <w:color w:val="auto"/>
        </w:rPr>
        <w:t>During the second quarter and first half of 2013, impairment expense was $0.2 million due to the write-off of expiring unproved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leaseholds. Impairment expenses of $55.4 million and $61.9 million were recorded during the second quarter and first half of 2012 on certain proved and unproved properties due to lower natural gas prices.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800" w:right="29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Arial" w:cs="Arial" w:eastAsia="Arial" w:hAnsi="Arial"/>
                <w:sz w:val="18"/>
                <w:szCs w:val="18"/>
                <w:b w:val="1"/>
                <w:bCs w:val="1"/>
                <w:color w:val="auto"/>
              </w:rPr>
              <w:t>QEP FIELD SERVICES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10"/>
          </w:tcPr>
          <w:p>
            <w:pPr>
              <w:spacing w:after="0"/>
              <w:rPr>
                <w:sz w:val="20"/>
                <w:szCs w:val="20"/>
                <w:color w:val="auto"/>
              </w:rPr>
            </w:pPr>
            <w:r>
              <w:rPr>
                <w:rFonts w:ascii="Arial" w:cs="Arial" w:eastAsia="Arial" w:hAnsi="Arial"/>
                <w:sz w:val="18"/>
                <w:szCs w:val="18"/>
                <w:color w:val="auto"/>
              </w:rPr>
              <w:t>The following table provides a summary of QEP Field Services’ financial and operating results: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44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4"/>
                <w:szCs w:val="24"/>
                <w:color w:val="auto"/>
              </w:rPr>
            </w:pPr>
          </w:p>
        </w:tc>
        <w:tc>
          <w:tcPr>
            <w:tcW w:w="324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34"/>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80" w:type="dxa"/>
            <w:vAlign w:val="bottom"/>
          </w:tcPr>
          <w:p>
            <w:pPr>
              <w:spacing w:after="0"/>
              <w:rPr>
                <w:sz w:val="21"/>
                <w:szCs w:val="21"/>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34"/>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Processing (fee based)</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35.8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processing fees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Gathering</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gathering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194.9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Processing</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Processing plant fuel and shrinkage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Gathering</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Natural gas, oil and NGL transportation and other</w:t>
            </w:r>
          </w:p>
        </w:tc>
        <w:tc>
          <w:tcPr>
            <w:tcW w:w="2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handling costs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other than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84"/>
        </w:trPr>
        <w:tc>
          <w:tcPr>
            <w:tcW w:w="4000" w:type="dxa"/>
            <w:vAlign w:val="bottom"/>
          </w:tcPr>
          <w:p>
            <w:pPr>
              <w:ind w:left="40"/>
              <w:spacing w:after="0"/>
              <w:rPr>
                <w:sz w:val="20"/>
                <w:szCs w:val="20"/>
                <w:color w:val="auto"/>
              </w:rPr>
            </w:pPr>
            <w:r>
              <w:rPr>
                <w:rFonts w:ascii="Arial" w:cs="Arial" w:eastAsia="Arial" w:hAnsi="Arial"/>
                <w:sz w:val="18"/>
                <w:szCs w:val="18"/>
                <w:color w:val="auto"/>
              </w:rPr>
              <w:t>Net (loss) gain from asset sales</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4"/>
        </w:trPr>
        <w:tc>
          <w:tcPr>
            <w:tcW w:w="40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Realized gains on derivative instruments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QEP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Gathering Margin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9040" w:type="dxa"/>
            <w:vAlign w:val="bottom"/>
            <w:gridSpan w:val="13"/>
          </w:tcPr>
          <w:p>
            <w:pPr>
              <w:spacing w:after="0"/>
              <w:rPr>
                <w:sz w:val="20"/>
                <w:szCs w:val="20"/>
                <w:color w:val="auto"/>
              </w:rPr>
            </w:pPr>
            <w:r>
              <w:rPr>
                <w:rFonts w:ascii="Arial" w:cs="Arial" w:eastAsia="Arial" w:hAnsi="Arial"/>
                <w:sz w:val="18"/>
                <w:szCs w:val="18"/>
                <w:color w:val="auto"/>
                <w:w w:val="95"/>
              </w:rPr>
              <w:t>The following tables present a summary of QEP Field Services’ financial and operating results from gathering activities: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44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4"/>
                <w:szCs w:val="24"/>
                <w:color w:val="auto"/>
              </w:rPr>
            </w:pPr>
          </w:p>
        </w:tc>
        <w:tc>
          <w:tcPr>
            <w:tcW w:w="324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r>
      <w:tr>
        <w:trPr>
          <w:trHeight w:val="34"/>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80" w:type="dxa"/>
            <w:vAlign w:val="bottom"/>
          </w:tcPr>
          <w:p>
            <w:pPr>
              <w:spacing w:after="0"/>
              <w:rPr>
                <w:sz w:val="21"/>
                <w:szCs w:val="21"/>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r>
      <w:tr>
        <w:trPr>
          <w:trHeight w:val="34"/>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Gathering Margin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gathering revenues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Gathering expense</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4000" w:type="dxa"/>
            <w:vAlign w:val="bottom"/>
          </w:tcPr>
          <w:p>
            <w:pPr>
              <w:ind w:left="180"/>
              <w:spacing w:after="0"/>
              <w:rPr>
                <w:sz w:val="20"/>
                <w:szCs w:val="20"/>
                <w:color w:val="auto"/>
              </w:rPr>
            </w:pPr>
            <w:r>
              <w:rPr>
                <w:rFonts w:ascii="Arial" w:cs="Arial" w:eastAsia="Arial" w:hAnsi="Arial"/>
                <w:sz w:val="18"/>
                <w:szCs w:val="18"/>
                <w:color w:val="auto"/>
              </w:rPr>
              <w:t>Gathering margin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41.3</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78.8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Natural gas gathering volumes (in millions of MMBtu)</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 unaffiliated customers</w:t>
            </w: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 affiliated customers</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57.2</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114.4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Gas Gathering Volumes</w:t>
            </w:r>
          </w:p>
        </w:tc>
        <w:tc>
          <w:tcPr>
            <w:tcW w:w="4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223.3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0"/>
        </w:trPr>
        <w:tc>
          <w:tcPr>
            <w:tcW w:w="4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Average gas gathering revenue (per MMBtu)</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0.34</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gridSpan w:val="3"/>
          </w:tcPr>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0.34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second quarter of 2013, gathering margin declined 12% due to a 16% decrease in gathering system throughput volumes. Gathering system throughput volumes decreased primarily as a result of a 48% decline at QEP Field Services' Northwest Louisiana Hub primarily due to lower QEP Energy production resulting from the suspension of drilling in Haynesville in mid-2012.</w:t>
      </w:r>
    </w:p>
    <w:p>
      <w:pPr>
        <w:spacing w:after="0" w:line="18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During the first half of 2013, gathering margin declined 13% due to a 13% decrease in gathering system throughput volumes. Gathering system throughput volumes decreased due to the 40% decline at QEP Field Services' Northwest Louisiana Hub from decreased production in the Haynesville shale play.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4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Processing Margin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11"/>
          </w:tcPr>
          <w:p>
            <w:pPr>
              <w:spacing w:after="0"/>
              <w:rPr>
                <w:sz w:val="20"/>
                <w:szCs w:val="20"/>
                <w:color w:val="auto"/>
              </w:rPr>
            </w:pPr>
            <w:r>
              <w:rPr>
                <w:rFonts w:ascii="Arial" w:cs="Arial" w:eastAsia="Arial" w:hAnsi="Arial"/>
                <w:sz w:val="18"/>
                <w:szCs w:val="18"/>
                <w:color w:val="auto"/>
                <w:w w:val="92"/>
              </w:rPr>
              <w:t>The following tables present a summary of QEP Field Services’ processing financial and operating results: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8"/>
          </w:tcPr>
          <w:p>
            <w:pPr>
              <w:ind w:left="44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4"/>
                <w:szCs w:val="24"/>
                <w:color w:val="auto"/>
              </w:rPr>
            </w:pPr>
          </w:p>
        </w:tc>
        <w:tc>
          <w:tcPr>
            <w:tcW w:w="324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80" w:type="dxa"/>
            <w:vAlign w:val="bottom"/>
          </w:tcPr>
          <w:p>
            <w:pPr>
              <w:spacing w:after="0"/>
              <w:rPr>
                <w:sz w:val="21"/>
                <w:szCs w:val="21"/>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Processing Margin</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w w:val="97"/>
              </w:rPr>
              <w:t>Realized gains from commodity derivative contract</w:t>
            </w:r>
          </w:p>
        </w:tc>
        <w:tc>
          <w:tcPr>
            <w:tcW w:w="260" w:type="dxa"/>
            <w:vAlign w:val="bottom"/>
          </w:tcPr>
          <w:p>
            <w:pPr>
              <w:spacing w:after="0"/>
              <w:rPr>
                <w:sz w:val="19"/>
                <w:szCs w:val="19"/>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Processing (fee-based) revenues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Other processing fees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Processing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Processing plant fuel and shrink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oil and NGL transportation and other</w:t>
            </w:r>
          </w:p>
        </w:tc>
        <w:tc>
          <w:tcPr>
            <w:tcW w:w="2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handling costs</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Processing margin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56.1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shd w:val="clear" w:color="auto" w:fill="CCEEFF"/>
          </w:tcPr>
          <w:p>
            <w:pPr>
              <w:ind w:left="160"/>
              <w:spacing w:after="0" w:line="257" w:lineRule="exact"/>
              <w:rPr>
                <w:sz w:val="20"/>
                <w:szCs w:val="20"/>
                <w:color w:val="auto"/>
              </w:rPr>
            </w:pPr>
            <w:r>
              <w:rPr>
                <w:rFonts w:ascii="Arial" w:cs="Arial" w:eastAsia="Arial" w:hAnsi="Arial"/>
                <w:sz w:val="18"/>
                <w:szCs w:val="18"/>
                <w:color w:val="auto"/>
              </w:rPr>
              <w:t>Keep-whole processing margin</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Statistics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Natural gas processing volumes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NGL sales (Mbbl)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80" w:type="dxa"/>
            <w:vAlign w:val="bottom"/>
          </w:tcPr>
          <w:p>
            <w:pPr>
              <w:ind w:left="20"/>
              <w:spacing w:after="0" w:line="270" w:lineRule="exact"/>
              <w:rPr>
                <w:sz w:val="20"/>
                <w:szCs w:val="20"/>
                <w:color w:val="auto"/>
              </w:rPr>
            </w:pPr>
            <w:r>
              <w:rPr>
                <w:rFonts w:ascii="Arial" w:cs="Arial" w:eastAsia="Arial" w:hAnsi="Arial"/>
                <w:sz w:val="18"/>
                <w:szCs w:val="18"/>
                <w:color w:val="auto"/>
              </w:rPr>
              <w:t>Average net realized NGL sales price (per bbl)</w:t>
            </w:r>
            <w:r>
              <w:rPr>
                <w:rFonts w:ascii="Arial" w:cs="Arial" w:eastAsia="Arial" w:hAnsi="Arial"/>
                <w:sz w:val="25"/>
                <w:szCs w:val="25"/>
                <w:color w:val="auto"/>
                <w:vertAlign w:val="superscript"/>
              </w:rPr>
              <w:t>(2)</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41.21</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44.82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42.76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Fee-based processing volumes (in millions of MMBtu)</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For unaffiliated customers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48.8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 affiliated customers</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fee-based processing volumes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65.5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119.2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Average fee-based processing revenue (per MMBtu)</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ind w:left="80"/>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260" w:hanging="314"/>
        <w:spacing w:after="0" w:line="211"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Keep-whole processing margin is calculated as NGL sales less processing plant fuel and shrink, natural gas, oil and NGL transportation and other handling costs.</w:t>
      </w:r>
    </w:p>
    <w:p>
      <w:pPr>
        <w:spacing w:after="0" w:line="1" w:lineRule="exact"/>
        <w:rPr>
          <w:rFonts w:ascii="Arial" w:cs="Arial" w:eastAsia="Arial" w:hAnsi="Arial"/>
          <w:sz w:val="25"/>
          <w:szCs w:val="25"/>
          <w:color w:val="auto"/>
          <w:vertAlign w:val="superscript"/>
        </w:rPr>
      </w:pPr>
    </w:p>
    <w:p>
      <w:pPr>
        <w:ind w:left="660" w:hanging="314"/>
        <w:spacing w:after="0" w:line="209"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Average net realized NGL sales price per gallon is calculated as NGL sales including realized gains from commodity derivative contracts settlements divided by NGL sales volumes.</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Although a significant portion of QEP Field Services' gas processing services are performed for a volumetric-based fee, QEP Field Services also provides “keep-whole” processing services for certain customers. Under a keep-whole processing contract, QEP Field Services retains and sells NGL extracted at its processing plants and keeps the customer “whole” by delivering a Btu-equivalent amount of natural gas to the customer. Keep-whole processing exposes the Company to the “frac” spread. The frac spread is the difference between the market value of NGL extracted at the processing plant and the market value of an energy-equivalent volume of natural gas.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QEP Field Services' keep-whole processing margin decreased 24% during the second quarter of 2013, due to a 28% decrease in NGL sales volumes. The decrease in NGL sales volumes is the result of its processing plants running in ethane rejection mode due to low ethane prices. Partially offsetting this decline was an increase in the average net realized NGL sales price. Including the impact of gains on derivative contract settlements, average NGL realized prices increased 2% in the second quarter of 2013, primarily the result of a higher value NGL barrel due to the reduced amount of ethane in the barrel as the processing plants ran in ethane rejection mode and ethane sales prices were lower than other NGL products' sales prices. In addition, keep-whole margin was positively impacted in the second quarter of 2013 from decreased natural gas, oil, and NGL transportation and other handling costs. Transportation costs were lower in the second quarter of 2013 due to the reduction in ethane volumes.</w:t>
      </w:r>
    </w:p>
    <w:p>
      <w:pPr>
        <w:spacing w:after="0" w:line="17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Fee-based processing revenues increased during the second quarter of 2013 due to an 11% increase in average fee-based processing rate and a 2% increase in fee-based processing volumes. During the second quarter of 2013, the increase in fee-based processing volumes was the result of additional gas processed at the Blacks Fork Hub. Approximately 80% and 78%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ind w:right="680"/>
        <w:spacing w:after="0" w:line="277" w:lineRule="auto"/>
        <w:rPr>
          <w:sz w:val="20"/>
          <w:szCs w:val="20"/>
          <w:color w:val="auto"/>
        </w:rPr>
      </w:pPr>
      <w:r>
        <w:rPr>
          <w:rFonts w:ascii="Arial" w:cs="Arial" w:eastAsia="Arial" w:hAnsi="Arial"/>
          <w:sz w:val="18"/>
          <w:szCs w:val="18"/>
          <w:color w:val="auto"/>
        </w:rPr>
        <w:t>QEP Field Services’ net operating revenue was derived from fee-based gathering and processing agreements in the second quarter of 2013 and 2012, respectively.</w:t>
      </w:r>
    </w:p>
    <w:p>
      <w:pPr>
        <w:spacing w:after="0" w:line="170"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QEP Field Services' keep-whole processing margin decreased 52% during the first half of 2013, due to a 49% decrease in NGL sales volumes as a the result of its processing plants running in ethane rejection mode due to low ethane prices. Partially offsetting this decline was an increase in the average net realized NGL sales price. Including the impact of gains on derivative contract settlements, average NGL realized prices increased 5% in the first half of 2013, due to the higher value NGL barrel. Keep-whole margins were positively impacted in the first half of 2013 from decreased natural gas, oil, and NGL transportation and other handling costs due to the reduction in ethane volumes.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Fee-based processing revenues increased during the first half of 2013 due to an 11% increase in average fee-based processing rate, offset by a 4% decrease in fee-based processing volumes. During the first half of 2013, the decrease in fee-based processing volumes was the result of lower unaffiliated volumes from a third-party shipper disruption caused by a fire at one of the shipper's compression stations. Other processing fees increased 63% in the first half of 2013 due to increased deficiency payments from customers who did not meet their contractual annual minimum throughput commitments for gathering or processing volumes. Approximately 81% and 75% of QEP Field Services’ net operating revenue was derived from fee-based gathering and processing agreements in the first half of 2013 and 2012,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MARKETING AND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QEP Marketing and Resources' financial and operating results: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40" w:type="dxa"/>
            <w:vAlign w:val="bottom"/>
            <w:gridSpan w:val="8"/>
          </w:tcPr>
          <w:p>
            <w:pPr>
              <w:ind w:left="44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324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r>
      <w:tr>
        <w:trPr>
          <w:trHeight w:val="34"/>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Change</w:t>
            </w:r>
          </w:p>
        </w:tc>
        <w:tc>
          <w:tcPr>
            <w:tcW w:w="380" w:type="dxa"/>
            <w:vAlign w:val="bottom"/>
          </w:tcPr>
          <w:p>
            <w:pPr>
              <w:spacing w:after="0"/>
              <w:rPr>
                <w:sz w:val="21"/>
                <w:szCs w:val="21"/>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w w:val="95"/>
              </w:rPr>
              <w:t>Change</w:t>
            </w:r>
          </w:p>
        </w:tc>
      </w:tr>
      <w:tr>
        <w:trPr>
          <w:trHeight w:val="34"/>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4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269.6</w:t>
            </w:r>
          </w:p>
        </w:tc>
      </w:tr>
      <w:tr>
        <w:trPr>
          <w:trHeight w:val="28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7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371.9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713.0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269.3</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267.4</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6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400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371.7</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198.8</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172.9</w:t>
            </w: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715.9</w:t>
            </w: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447.5</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268.4</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Realized (loss) gain on derivative instruments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105.9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53.2</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r>
      <w:tr>
        <w:trPr>
          <w:trHeight w:val="244"/>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QEP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b w:val="1"/>
                <w:bCs w:val="1"/>
                <w:i w:val="1"/>
                <w:iCs w:val="1"/>
                <w:color w:val="auto"/>
              </w:rPr>
              <w:t>Resale Margin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6780" w:type="dxa"/>
            <w:vAlign w:val="bottom"/>
            <w:gridSpan w:val="8"/>
          </w:tcPr>
          <w:p>
            <w:pPr>
              <w:spacing w:after="0"/>
              <w:rPr>
                <w:sz w:val="20"/>
                <w:szCs w:val="20"/>
                <w:color w:val="auto"/>
              </w:rPr>
            </w:pPr>
            <w:r>
              <w:rPr>
                <w:rFonts w:ascii="Arial" w:cs="Arial" w:eastAsia="Arial" w:hAnsi="Arial"/>
                <w:sz w:val="18"/>
                <w:szCs w:val="18"/>
                <w:color w:val="auto"/>
                <w:w w:val="93"/>
              </w:rPr>
              <w:t>The following table is a summary of QEP Marketing’s financial results from resale activities: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9"/>
        </w:trPr>
        <w:tc>
          <w:tcPr>
            <w:tcW w:w="4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7"/>
          </w:tcPr>
          <w:p>
            <w:pPr>
              <w:jc w:val="right"/>
              <w:ind w:right="59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right"/>
              <w:ind w:right="650"/>
              <w:spacing w:after="0"/>
              <w:rPr>
                <w:sz w:val="20"/>
                <w:szCs w:val="20"/>
                <w:color w:val="auto"/>
              </w:rPr>
            </w:pPr>
            <w:r>
              <w:rPr>
                <w:rFonts w:ascii="Arial" w:cs="Arial" w:eastAsia="Arial" w:hAnsi="Arial"/>
                <w:sz w:val="18"/>
                <w:szCs w:val="18"/>
                <w:b w:val="1"/>
                <w:bCs w:val="1"/>
                <w:color w:val="auto"/>
              </w:rPr>
              <w:t>Six Months Ended June 30,</w:t>
            </w:r>
          </w:p>
        </w:tc>
      </w:tr>
      <w:tr>
        <w:trPr>
          <w:trHeight w:val="277"/>
        </w:trPr>
        <w:tc>
          <w:tcPr>
            <w:tcW w:w="4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Change</w:t>
            </w: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Change</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Resale Margin</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oil and NGL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Purchased gas, oil and NGL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(267.4)</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 (loss) on derivative instruments</w:t>
            </w:r>
          </w:p>
        </w:tc>
        <w:tc>
          <w:tcPr>
            <w:tcW w:w="2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64"/>
        </w:trPr>
        <w:tc>
          <w:tcPr>
            <w:tcW w:w="4000" w:type="dxa"/>
            <w:vAlign w:val="bottom"/>
          </w:tcPr>
          <w:p>
            <w:pPr>
              <w:ind w:left="180"/>
              <w:spacing w:after="0"/>
              <w:rPr>
                <w:sz w:val="20"/>
                <w:szCs w:val="20"/>
                <w:color w:val="auto"/>
              </w:rPr>
            </w:pPr>
            <w:r>
              <w:rPr>
                <w:rFonts w:ascii="Arial" w:cs="Arial" w:eastAsia="Arial" w:hAnsi="Arial"/>
                <w:sz w:val="18"/>
                <w:szCs w:val="18"/>
                <w:color w:val="auto"/>
              </w:rPr>
              <w:t>Resale margin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QEP Marketing's loss on resale margin was primarily the result of the fulfillment of firm transportation contract commitments. Purchased gas, oil and NGL sales increased by $173.5 million, or 88%, during the second quarter of 2013, due to an $89.9 million increase in resale gas sales and an $83.6 million increase in resale oil and NGL sales. Resale natural gas sales increased due to a 92% increase in the resale price and a 6% increase in resale gas volumes. Resale oil and NGL sales increased due to a 9% increase in resale price and a 61% increase in resale volumes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Purchased gas, oil and NGL expense, which includes transportation expense, increased 87% in the second quarter of 2013, due to an $87.7 million increase in resale gas purchases and an $83.7 million increase in resale oil and NGL purchases. Resale natural gas purchased increased due to a 104% increase in the resale price and a 3% increase in resale purchase volumes. Resale oil and NGL sales increased due to a 61% increase in resale purchase volumes and a 10% increase in resale purchase price.</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Purchased gas, oil and NGL sales increased by $269.6 million, or 61%, during the first half of 2013, due to a $110.9 million increase in resale gas sales and a $158.7 million increase in resale oil and NGL sales. Resale natural gas sales increased due to a 53% increase in the resale price while resale gas volumes were consistent period to period. Resale oil and NGL sales increased due to a 60% increase in resale volumes and a 5% increase in resale price.</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Purchased gas, oil and NGL expense, which includes transportation expense, increased 60% in the first half of 2013, due to a $107.9 million increase in resale gas purchases and a $158.8 million increase in resale oil and NGL purchases. Resale natural gas purchased increased due to a 57% increase in the resale price, offset by a 1% decrease in resale purchase volumes. Resale oil and NGL sales increased due to a 60% increase in resale purchase volumes and a 5% increase in resale purchase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CONSOLIDATED EXPENSES AND INCOME</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General and administrative expense. </w:t>
      </w:r>
      <w:r>
        <w:rPr>
          <w:rFonts w:ascii="Arial" w:cs="Arial" w:eastAsia="Arial" w:hAnsi="Arial"/>
          <w:sz w:val="18"/>
          <w:szCs w:val="18"/>
          <w:color w:val="auto"/>
        </w:rPr>
        <w:t>During the second quarter of 2013, general and administrative (G&amp;A) expense increased $4.1 million, or 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2012. The increase in G&amp;A in 2013 was primarily due to a $5.5 million increase in professional and outside services mainly related to ongoing implementation of a new Enterprise Resource Planning system as well as software maintenance costs and other contracted or professional services and a $3.1 million increase in labor costs due to the increased number of employees and the Company's annual compensation program. These increases were partially offset by a $2.4 million decrease in the mark-to-market value of the deferred compensation wrap plan and Cash Incentive Plan (CIP) and a $2.0 million decrease in restructuring costs.</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the first half of 2013, G&amp;A expense increased $14.1 million, or 19%, compared to the first half of 2012. The increase in G&amp;A in 2013 was primarily due to a $10.0 million increase in professional and outside services mainly related to ongoing implementation of a new Enterprise Resource Planning system as well as software maintenance costs and other contracted or professional services and a $7.7 million increase in labor costs due to the increased number of employees and the Company's annual compensation program. These increases were partially offset by a $4.3 million decrease in restructuring costs and a $1.7 million decrease in the mark-to-market value of the deferred compensation wrap plan and CIP.</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45" w:name="page46"/>
    <w:bookmarkEnd w:id="45"/>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Realized and unrealized gain on derivative contracts. </w:t>
      </w:r>
      <w:r>
        <w:rPr>
          <w:rFonts w:ascii="Arial" w:cs="Arial" w:eastAsia="Arial" w:hAnsi="Arial"/>
          <w:sz w:val="18"/>
          <w:szCs w:val="18"/>
          <w:color w:val="auto"/>
        </w:rPr>
        <w:t>Gains and losses on derivative instruments are comprised of both realized and unrealized gains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on QEP’s commodity derivative contracts and interest rate swaps which are marked-to-market each quarter. During the second quarter of 2013, gains on commodity derivative instruments were $110.2 million, of which $30.8 million was realized and $79.4 million was unrealized. During the second quarter of 2012, gains on commodity derivative instruments were $86.6 million, of which $120.7 million was realized gains and $34.1 million was unrealized losses. Additionally, during the second quarter of 2013, gains from interest rate swaps were $3.8 million, of which $0.7 million was realized losses and $4.5 million was unrealized gains.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half of 2013, gains on commodity derivative instruments were $75.8 million, of which $82.1 million was realized gains and $6.3 million was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unrealized losses. During the first half of 2012, gains on commodity derivative instruments were $302.9 million, of which $208.7 million was realized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$94.2 million was unrealized. Additionally, during the first half of 2013, losses from interest rate swaps were $3.6 million, of which $1.3 million was realized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losses and $4.9 million was unrealized gains.</w:t>
      </w:r>
    </w:p>
    <w:p>
      <w:pPr>
        <w:spacing w:after="0" w:line="2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$13.2 million, or 47%, during the second quarter of 2013 when compared to the second quarter of 2012.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was attributable to average debt levels that were approximately $1.6 billion, or 91%, higher than average debt levels in the second quarter of 2012. The increase in average debt levels is primarily related to the issuance of QEP's $650.0 million 2023 senior notes in the third quarter of 2012, which was used to fund the 2012 Acquisition, as well as higher balances under our revolving credit facility during the period ended June 30, 2013.</w:t>
      </w:r>
    </w:p>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Interest expense increased $27.9 million, or 53%, during the first half of 2013 when compared to the first half of 2012. The increase was attributable to average debt levels that were approximately $1.5 billion, or 86%, higher than average debt levels in the first half of 2012. The increase in average debt levels is mostly related to the issuance of QEP's $650.0 million 2023 senior notes in the third quarter of 2012, which was used to fund the 2012 Acquisition, as well as higher balances under our revolving credit facility for the period ended June 30, 2013.</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provision increased $104.7 million during the second quarter of 2013 compared to the second quarter 2012. The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the result of higher income before income taxes and a higher combined effective federal and state income tax rate of 36.8% for the second quarter of 2013 compared to 33.3% for the second quarter 2012.</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Income tax provision increased $13.8 million, or 16%, during the first half of 2013 compared to the first half of 2012. The increase was primarily the result of higher income before income taxes and a higher combined effective federal and state income tax rate of 36.8% for the first half of 2013 compared to 36.2% for the first half of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QEP seeks to fund its development projects by employing a capital structure and financing strategy to provide sufficient liquidity to withstand commodity price swings. QEP maintains a commodity price derivative strategy to reduce commodity price volatility and to provide certainty to cash flows. QEP funds its operations, capital expenditures and working capital requirements with cash flow from its operating activities and borrowings under its credit facilities. Periodically, QEP accesses debt and capital markets and sells properties to provide additional liquidity. The Company believes cash flow from operations, cash-on-hand and availability under its credit facility will be sufficient to fund the Company’s planned capital expenditures and operating expenses during the next 12 months and the foreseeable future. To the extent actual operating results differ from the Company’s estimates, QEP's liquidity could be adversely affected.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The following table provides QEP’s available liquidity and debt to equity ratio compared to the previous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2013</w:t>
            </w:r>
          </w:p>
        </w:tc>
        <w:tc>
          <w:tcPr>
            <w:tcW w:w="240" w:type="dxa"/>
            <w:vAlign w:val="bottom"/>
          </w:tcPr>
          <w:p>
            <w:pPr>
              <w:spacing w:after="0"/>
              <w:rPr>
                <w:sz w:val="20"/>
                <w:szCs w:val="20"/>
                <w:color w:val="auto"/>
              </w:rPr>
            </w:pPr>
          </w:p>
        </w:tc>
        <w:tc>
          <w:tcPr>
            <w:tcW w:w="1860" w:type="dxa"/>
            <w:vAlign w:val="bottom"/>
          </w:tcPr>
          <w:p>
            <w:pPr>
              <w:jc w:val="right"/>
              <w:ind w:right="250"/>
              <w:spacing w:after="0"/>
              <w:rPr>
                <w:sz w:val="20"/>
                <w:szCs w:val="20"/>
                <w:color w:val="auto"/>
              </w:rPr>
            </w:pPr>
            <w:r>
              <w:rPr>
                <w:rFonts w:ascii="Arial" w:cs="Arial" w:eastAsia="Arial" w:hAnsi="Arial"/>
                <w:sz w:val="18"/>
                <w:szCs w:val="18"/>
                <w:color w:val="auto"/>
                <w:w w:val="94"/>
              </w:rPr>
              <w:t>December 31, 2012</w:t>
            </w:r>
          </w:p>
        </w:tc>
      </w:tr>
      <w:tr>
        <w:trPr>
          <w:trHeight w:val="34"/>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4"/>
          </w:tcPr>
          <w:p>
            <w:pPr>
              <w:spacing w:after="0"/>
              <w:rPr>
                <w:sz w:val="2"/>
                <w:szCs w:val="2"/>
                <w:color w:val="auto"/>
              </w:rPr>
            </w:pPr>
          </w:p>
        </w:tc>
      </w:tr>
      <w:tr>
        <w:trPr>
          <w:trHeight w:val="243"/>
        </w:trPr>
        <w:tc>
          <w:tcPr>
            <w:tcW w:w="7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40" w:type="dxa"/>
            <w:vAlign w:val="bottom"/>
            <w:gridSpan w:val="4"/>
          </w:tcPr>
          <w:p>
            <w:pPr>
              <w:jc w:val="center"/>
              <w:ind w:right="150"/>
              <w:spacing w:after="0"/>
              <w:rPr>
                <w:sz w:val="20"/>
                <w:szCs w:val="20"/>
                <w:color w:val="auto"/>
              </w:rPr>
            </w:pPr>
            <w:r>
              <w:rPr>
                <w:rFonts w:ascii="Arial" w:cs="Arial" w:eastAsia="Arial" w:hAnsi="Arial"/>
                <w:sz w:val="18"/>
                <w:szCs w:val="18"/>
                <w:color w:val="auto"/>
                <w:w w:val="93"/>
              </w:rPr>
              <w:t>(in millions, except %)</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7"/>
        </w:trPr>
        <w:tc>
          <w:tcPr>
            <w:tcW w:w="72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Amount available under the credit facility </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607.8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805.9</w:t>
            </w: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liquidity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747.5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805.9</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ind w:right="130"/>
              <w:spacing w:after="0"/>
              <w:rPr>
                <w:sz w:val="20"/>
                <w:szCs w:val="20"/>
                <w:color w:val="auto"/>
              </w:rPr>
            </w:pPr>
            <w:r>
              <w:rPr>
                <w:rFonts w:ascii="Arial" w:cs="Arial" w:eastAsia="Arial" w:hAnsi="Arial"/>
                <w:sz w:val="18"/>
                <w:szCs w:val="18"/>
                <w:b w:val="1"/>
                <w:bCs w:val="1"/>
                <w:color w:val="auto"/>
              </w:rPr>
              <w:t>3,405.7</w:t>
            </w:r>
          </w:p>
        </w:tc>
        <w:tc>
          <w:tcPr>
            <w:tcW w:w="100" w:type="dxa"/>
            <w:vAlign w:val="bottom"/>
          </w:tcPr>
          <w:p>
            <w:pPr>
              <w:spacing w:after="0"/>
              <w:rPr>
                <w:sz w:val="20"/>
                <w:szCs w:val="20"/>
                <w:color w:val="auto"/>
              </w:rPr>
            </w:pPr>
          </w:p>
        </w:tc>
        <w:tc>
          <w:tcPr>
            <w:tcW w:w="24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90"/>
              <w:spacing w:after="0"/>
              <w:rPr>
                <w:sz w:val="20"/>
                <w:szCs w:val="20"/>
                <w:color w:val="auto"/>
              </w:rPr>
            </w:pPr>
            <w:r>
              <w:rPr>
                <w:rFonts w:ascii="Arial" w:cs="Arial" w:eastAsia="Arial" w:hAnsi="Arial"/>
                <w:sz w:val="18"/>
                <w:szCs w:val="18"/>
                <w:color w:val="auto"/>
              </w:rPr>
              <w:t>3,206.9</w:t>
            </w: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common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3,404.6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3,266.0</w:t>
            </w:r>
          </w:p>
        </w:tc>
      </w:tr>
      <w:tr>
        <w:trPr>
          <w:trHeight w:val="252"/>
        </w:trPr>
        <w:tc>
          <w:tcPr>
            <w:tcW w:w="7200" w:type="dxa"/>
            <w:vAlign w:val="bottom"/>
          </w:tcPr>
          <w:p>
            <w:pPr>
              <w:ind w:left="40"/>
              <w:spacing w:after="0" w:line="252" w:lineRule="exact"/>
              <w:rPr>
                <w:sz w:val="20"/>
                <w:szCs w:val="20"/>
                <w:color w:val="auto"/>
              </w:rPr>
            </w:pPr>
            <w:r>
              <w:rPr>
                <w:rFonts w:ascii="Arial" w:cs="Arial" w:eastAsia="Arial" w:hAnsi="Arial"/>
                <w:sz w:val="18"/>
                <w:szCs w:val="18"/>
                <w:color w:val="auto"/>
              </w:rPr>
              <w:t xml:space="preserve">Ratio of debt to total capital </w:t>
            </w:r>
            <w:r>
              <w:rPr>
                <w:rFonts w:ascii="Arial" w:cs="Arial" w:eastAsia="Arial" w:hAnsi="Arial"/>
                <w:sz w:val="25"/>
                <w:szCs w:val="25"/>
                <w:color w:val="auto"/>
                <w:vertAlign w:val="superscript"/>
              </w:rPr>
              <w:t>(2)</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20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ind w:left="660" w:right="60" w:hanging="314"/>
        <w:spacing w:after="0" w:line="211"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See discussion of revolving credit facility below. Availability under the credit facility is reduced by outstanding letters of credit of $3.7 million as of June 30, 2013, and $4.1 million as of December 31, 2012.</w:t>
      </w:r>
    </w:p>
    <w:p>
      <w:pPr>
        <w:spacing w:after="0" w:line="1" w:lineRule="exact"/>
        <w:rPr>
          <w:rFonts w:ascii="Arial" w:cs="Arial" w:eastAsia="Arial" w:hAnsi="Arial"/>
          <w:sz w:val="25"/>
          <w:szCs w:val="25"/>
          <w:color w:val="auto"/>
          <w:vertAlign w:val="superscript"/>
        </w:rPr>
      </w:pPr>
    </w:p>
    <w:p>
      <w:pPr>
        <w:ind w:left="660" w:hanging="314"/>
        <w:spacing w:after="0" w:line="180"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Defined as total debt divided by the sum of total debt plus common shareholders’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QEP’s revolving credit facility, which matures in August 2016, provides for loan commitments of $1.5 billion from a syndicate of financial institutions. The credit facility provides for borrowings at short-term interest rates and contains customary covenants and restrictions. The credit facility also contains provisions which would allow for the amount of the facility to be increased to $2.0 billion and for the maturity to be extended for two additional one-year periods. QEP’s weighted-average interest rate on borrowings from its credit facility was 2.33% during the first half of 2013. At June 30, 2013, QEP was in compliance with the debt covenants under the credit agreement. At July 26, 2013, QEP had $815.0 million of borrowings and $3.7 million of letters of credit outstanding under its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QEP's $300.0 million term loan facility provides for borrowings at short-term interest rates and contains covenants, restrictions and interest rates that are substantially the same as the Company’s revolving credit facility. The term loan matures in April of 2017, and the maturity date may be extended one year with the agreement of the lenders. During the first half of 2013, QEP’s weighted-average interest rate on the term loan was 2.23%. In conjunction with the term loan, QEP entered into interest rate swap contracts with a combined notional principal amount of $300.0 million which will mature in March 2017. Under the swap contracts, QEP pays 1.07% for the life of the swaps and receives one-month LIBOR. The interest rate at June 30, 2013 under the term loan is one-month LIBOR, plus 2.00% (the Applicable Margin) which, when combined with the fixed interest rate swaps, results in an effective rate of 3.07% for borrowings under the term loan. To the extent that the Applicable Margin under the term loan changes, the effective fixed rate paid for borrowings under the term loan will 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senior notes outstanding as of June 30, 2013, totaled $2,221.8 million principal amount and are comprised of six issuances as follows:</w:t>
      </w:r>
    </w:p>
    <w:p>
      <w:pPr>
        <w:spacing w:after="0" w:line="23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$500.0 million 5.375% Senior Notes due October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flows from operations are primarily affected by natural gas, oil and NGL production volumes and commodity prices (including the effects of settlements of the Company’s derivative contracts) and by changes in working capital. QEP enters into commodity derivative transactions covering a substantial, but varying, portion of its anticipated future gas, oil and NGL production for the next 18 months.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4" w:right="259" w:bottom="1440" w:gutter="0" w:footer="0" w:header="0"/>
        </w:sectPr>
      </w:pPr>
    </w:p>
    <w:bookmarkStart w:id="47" w:name="page48"/>
    <w:bookmarkEnd w:id="47"/>
    <w:p>
      <w:pPr>
        <w:ind w:right="160"/>
        <w:spacing w:after="0" w:line="255" w:lineRule="auto"/>
        <w:rPr>
          <w:sz w:val="20"/>
          <w:szCs w:val="20"/>
          <w:color w:val="auto"/>
        </w:rPr>
      </w:pPr>
      <w:r>
        <w:rPr>
          <w:rFonts w:ascii="Arial" w:cs="Arial" w:eastAsia="Arial" w:hAnsi="Arial"/>
          <w:sz w:val="18"/>
          <w:szCs w:val="18"/>
          <w:color w:val="auto"/>
        </w:rPr>
        <w:t>Net cash provided by operating activities decreased 28% during the first half of 2013 when compared to the first half of 2012 due to a decrease from the use of cash from operating assets and liabilities offset by increased net income and noncash net income adjustments. Changes in operating assets and liabilities used $222.1 million of cash in the first half of 2013, mainly due to a decrease in accounts payable and accrued expenses primarily due to the $115.0 million Chieftain settlement payment in the first quarter of 2013 and an increase in accounts receivable. Changes in operating assets and liabilities provided $61.7 million of cash in the first half of 2012 primarily due to decreases in accounts receivable, offset by decreases in accounts payable. Net cash provided from operating activities is presented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0"/>
              </w:rPr>
              <w:t>Six Months Ended June 30,</w:t>
            </w:r>
          </w:p>
        </w:tc>
        <w:tc>
          <w:tcPr>
            <w:tcW w:w="920" w:type="dxa"/>
            <w:vAlign w:val="bottom"/>
          </w:tcPr>
          <w:p>
            <w:pPr>
              <w:spacing w:after="0"/>
              <w:rPr>
                <w:sz w:val="20"/>
                <w:szCs w:val="20"/>
                <w:color w:val="auto"/>
              </w:rPr>
            </w:pP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w w:val="85"/>
              </w:rPr>
              <w:t>Change</w:t>
            </w:r>
          </w:p>
        </w:tc>
      </w:tr>
      <w:tr>
        <w:trPr>
          <w:trHeight w:val="3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Noncash adjustments to net income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r>
      <w:tr>
        <w:trPr>
          <w:trHeight w:val="264"/>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from operating activities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497.9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first half of 2013, net cash used in investing activities was $598.9 million compared to $681.9 million in the first half of 2012. The decrease in cash flows used in investing activities was primarily the result of 2013 proceeds of $143.0 million received from the disposition of assets, mainly attributable to QEP Energy's second quarter 2013 oil and gas property divestitures which resulted in total cash proceeds of $139.7 million. The proceeds from dispositions of assets during the first half of 2013 were partially offset by an increase in cash capital expenditures during the first half of 2013 compared to the first half of 2012. A comparison of capital expenditures for the first half of 2013 and 2012 and a forecast for calendar year 2013 are presented in the table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gridSpan w:val="5"/>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Forecast</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Prior Forecast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Twelve Months</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2"/>
              </w:rPr>
              <w:t>Twelve Months</w:t>
            </w:r>
          </w:p>
        </w:tc>
        <w:tc>
          <w:tcPr>
            <w:tcW w:w="0" w:type="dxa"/>
            <w:vAlign w:val="bottom"/>
          </w:tcPr>
          <w:p>
            <w:pPr>
              <w:spacing w:after="0"/>
              <w:rPr>
                <w:sz w:val="1"/>
                <w:szCs w:val="1"/>
                <w:color w:val="auto"/>
              </w:rPr>
            </w:pPr>
          </w:p>
        </w:tc>
      </w:tr>
      <w:tr>
        <w:trPr>
          <w:trHeight w:val="268"/>
        </w:trPr>
        <w:tc>
          <w:tcPr>
            <w:tcW w:w="44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Ended </w:t>
            </w:r>
            <w:r>
              <w:rPr>
                <w:rFonts w:ascii="Arial" w:cs="Arial" w:eastAsia="Arial" w:hAnsi="Arial"/>
                <w:sz w:val="25"/>
                <w:szCs w:val="25"/>
                <w:b w:val="1"/>
                <w:bCs w:val="1"/>
                <w:color w:val="auto"/>
                <w:w w:val="87"/>
                <w:vertAlign w:val="superscript"/>
              </w:rPr>
              <w:t>(1)</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color w:val="auto"/>
                <w:w w:val="82"/>
              </w:rPr>
              <w:t xml:space="preserve">Ended </w:t>
            </w:r>
            <w:r>
              <w:rPr>
                <w:rFonts w:ascii="Arial" w:cs="Arial" w:eastAsia="Arial" w:hAnsi="Arial"/>
                <w:sz w:val="25"/>
                <w:szCs w:val="25"/>
                <w:color w:val="auto"/>
                <w:w w:val="82"/>
                <w:vertAlign w:val="superscript"/>
              </w:rPr>
              <w:t>(2)</w:t>
            </w:r>
          </w:p>
        </w:tc>
        <w:tc>
          <w:tcPr>
            <w:tcW w:w="0" w:type="dxa"/>
            <w:vAlign w:val="bottom"/>
          </w:tcPr>
          <w:p>
            <w:pPr>
              <w:spacing w:after="0"/>
              <w:rPr>
                <w:sz w:val="1"/>
                <w:szCs w:val="1"/>
                <w:color w:val="auto"/>
              </w:rPr>
            </w:pPr>
          </w:p>
        </w:tc>
      </w:tr>
      <w:tr>
        <w:trPr>
          <w:trHeight w:val="225"/>
        </w:trPr>
        <w:tc>
          <w:tcPr>
            <w:tcW w:w="4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34"/>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697.1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QEP Field Services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QEP Resources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in accruals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736.8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685.5</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1,645.0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Represents the mid-point of the most recent guidance.</w:t>
      </w:r>
    </w:p>
    <w:p>
      <w:pPr>
        <w:spacing w:after="0" w:line="2" w:lineRule="exact"/>
        <w:rPr>
          <w:rFonts w:ascii="Arial" w:cs="Arial" w:eastAsia="Arial" w:hAnsi="Arial"/>
          <w:sz w:val="25"/>
          <w:szCs w:val="25"/>
          <w:color w:val="auto"/>
          <w:vertAlign w:val="superscript"/>
        </w:rPr>
      </w:pPr>
    </w:p>
    <w:p>
      <w:pPr>
        <w:ind w:left="660" w:hanging="314"/>
        <w:spacing w:after="0" w:line="186" w:lineRule="auto"/>
        <w:tabs>
          <w:tab w:leader="none" w:pos="66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Forecast as reported in the 2013 Quarterly Report on Form 10-Q, filed on April 30, 2013.</w:t>
      </w:r>
    </w:p>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the first half of 2013, capital expenditures on a cash basis increased 7% to $736.8 million, compared to $685.5 million during the 2012. The increase of $51.3 million in cash capital expenditures during the first half 2013 was primarily the result of QEP Energy's increased capital expenditure budget for Williston Basin oil drilling.</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QEP Energy capital investment, on an accrual basis, in the first half of 2013 increased $55.6 million over the first half of 2012 to a total of $697.1 million, of which $18.4 million related to property acquisitions in the Williston Basin and $3.6 million of post-closing adjustments for the 2012 Acquisition. In addition, capital expenditures increased $187.9 million in the Williston Basin due to additional drilling activity and operations in the area as a result of the 2012 Acquisition, offset by $72.4 million decrease in capital expenditures in the Haynesville/Cotton Valley field due to the suspended drilling program, a $56.7 million decrease in Pinedale due to the reduction in the number of drilling rigs from seven to four and a $25.3 million decrease in Midcontinent capital expenditures due to reduced drilling activity.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8" w:name="page49"/>
    <w:bookmarkEnd w:id="48"/>
    <w:p>
      <w:pPr>
        <w:ind w:right="300"/>
        <w:spacing w:after="0" w:line="259" w:lineRule="auto"/>
        <w:rPr>
          <w:sz w:val="20"/>
          <w:szCs w:val="20"/>
          <w:color w:val="auto"/>
        </w:rPr>
      </w:pPr>
      <w:r>
        <w:rPr>
          <w:rFonts w:ascii="Arial" w:cs="Arial" w:eastAsia="Arial" w:hAnsi="Arial"/>
          <w:sz w:val="18"/>
          <w:szCs w:val="18"/>
          <w:color w:val="auto"/>
        </w:rPr>
        <w:t>In the first half of 2013 compared to 2012, QEP Field Services capital investment decreased $55.8 million, on an accrual basis, due to the higher capital expenditures during the first half of 2012 for the new 150 MMcfd cryogenic gas processing plant in the Uinta Basin (Iron Horse II), which was completed during the first quarter of 2013, and the expansion of the fractionation facility at the Blacks Fork processing complex. Currently, there are no processing plants under construction at QEP Field Services.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June 30, 2013, forecasted capital investments for 2013 is expected to be $1,645.0 million, comprised of $1,530.0 million at QEP Energy, $90.0 million at QEP Field Services, and $25.0 million for QEP Marketing and Resources. For the remainder of 2013, QEP intends to fund capital expenditures with cash flow from operating activities, and, if needed, borrowings under its revolving credit facility. As a result of the continued low natural gas prices, QEP plans minimal capital expenditures for the Haynesville Shale and other dry-gas development areas and to increase capital expenditures for higher return projects, including Pinedale, and oil-directed horizontal drilling in the Williston Basin and Midcontinent during the remainder of 2013. QEP Energy has allocated approximately 98% of its forecasted 2013 drilling and completion capital expenditure budget to crude oil and liquids-rich natural gas plays. QEP plans to invest a total of approximately $90.0 million in capital expenditures during 2013 to maintain and grow its midstream business, including the completion of the Iron Horse II cryogenic processing plant in the Uinta Basin in the first quarter of 2013, the expansion of its gathering system in the Uinta Basin and the completion of a 10,000 Bbl/d expansion of the NGL fractionation facility located at the Blacks Fork processing complex in the second quarter of 2013. QEP Resources plans to invest approximately $24.0 million in capital expenditures related to corporate activities, primarily the implementation of a new Enterprise Resource Planning system. The aggregate levels of capital expenditures for 2013 and the allocation of those expenditures are dependent on a variety of factors, including drilling results, natural gas, oil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first half of 2013, net cash proceeds from financing activities were $240.7 million compared to $134.0 million in the first half of 2012. During the first half of 2013, QEP had borrowings from the credit facility of $898.5 million and repayments on the credit facility of $700.0 million as well increases to the checks outstanding in excess of cash balances of $55.8 million during the first half of 2013.</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At June 30, 2013, long-term debt consisted of $888.5 million outstanding under the credit facility, $300.0 million under the term loan and $2,221.8 million in senior notes (including $4.6 million of net original issue discount). The $198.5 million increase in borrowings under the credit facility was primarily due to the payment of $115.0 million for the Chieftain settlement during the first quarter of 2013 and capital expenditures in excess of cash flow.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QEP’s primary market risk exposures arise from changes in the market price for natural gas, oil and NGL, and to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and QEP Marketing also have long-term contracts for pipeline capacity and are obligated to pay for transportation services with no guarantee that QEP will be able to fully utilize the contractual capacity of these transportation commitments. In addition, a non-cash write-down of the Company’s oil and gas properties may be required if future oil and natural gas commodity prices experience a sustained, significant decline. Furthermore, the Company’s credit facility and term loan agreement have floating interest rates which expose QEP to interest rate risk. To manage the Company’s exposure to these risks, QEP enters into commodity derivative contracts in the form of fixed-price swaps to manage commodity price risk and periodically interest rate swaps to manage interest rate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QEP’s subsidiaries use commodity price derivative instruments in the normal course of business to reduce the risk of adverse commodity price movements. The Company’s risk management policies provide for the use of derivative instruments to manage this risk. However, these same arrangements typically limit future gains from favorable price movements. The types of commodity derivative instruments currently utilized by the Company are fixed-price swaps. The volume of commodity derivative instruments utilized by the Company may vary from year-to-year. The derivative instruments currently utilized by the Company do not have margin requirements or collateral provisions that would require payments prior to the scheduled cash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84" w:right="259" w:bottom="1440" w:gutter="0" w:footer="0" w:header="0"/>
        </w:sectPr>
      </w:pPr>
    </w:p>
    <w:bookmarkStart w:id="49" w:name="page50"/>
    <w:bookmarkEnd w:id="49"/>
    <w:p>
      <w:pPr>
        <w:ind w:right="80"/>
        <w:spacing w:after="0" w:line="308" w:lineRule="auto"/>
        <w:rPr>
          <w:sz w:val="20"/>
          <w:szCs w:val="20"/>
          <w:color w:val="auto"/>
        </w:rPr>
      </w:pPr>
      <w:r>
        <w:rPr>
          <w:rFonts w:ascii="Arial" w:cs="Arial" w:eastAsia="Arial" w:hAnsi="Arial"/>
          <w:sz w:val="17"/>
          <w:szCs w:val="17"/>
          <w:color w:val="auto"/>
        </w:rPr>
        <w:t>settlement dates. As of June 30, 2013, QEP held commodity price derivative contracts totaling 126.9 million MMBtu of natural gas and 8.6 million barrels of oil. At December 31, 2012, the QEP derivative contracts covered 139.4 million MMBtu of natural gas and 6.9 million barrels of oil.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2013 derivative positions as of July 26,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QEP Energy Commodity Derivative Positions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w w:val="91"/>
              </w:rPr>
              <w:t>Weighted-average price</w:t>
            </w:r>
          </w:p>
        </w:tc>
        <w:tc>
          <w:tcPr>
            <w:tcW w:w="0" w:type="dxa"/>
            <w:vAlign w:val="bottom"/>
          </w:tcPr>
          <w:p>
            <w:pPr>
              <w:spacing w:after="0"/>
              <w:rPr>
                <w:sz w:val="1"/>
                <w:szCs w:val="1"/>
                <w:color w:val="auto"/>
              </w:rPr>
            </w:pPr>
          </w:p>
        </w:tc>
      </w:tr>
      <w:tr>
        <w:trPr>
          <w:trHeight w:val="234"/>
        </w:trPr>
        <w:tc>
          <w:tcPr>
            <w:tcW w:w="3580" w:type="dxa"/>
            <w:vAlign w:val="bottom"/>
            <w:gridSpan w:val="3"/>
          </w:tcPr>
          <w:p>
            <w:pPr>
              <w:ind w:left="1380"/>
              <w:spacing w:after="0"/>
              <w:rPr>
                <w:sz w:val="20"/>
                <w:szCs w:val="20"/>
                <w:color w:val="auto"/>
              </w:rPr>
            </w:pPr>
            <w:r>
              <w:rPr>
                <w:rFonts w:ascii="Arial" w:cs="Arial" w:eastAsia="Arial" w:hAnsi="Arial"/>
                <w:sz w:val="18"/>
                <w:szCs w:val="18"/>
                <w:b w:val="1"/>
                <w:bCs w:val="1"/>
                <w:color w:val="auto"/>
              </w:rPr>
              <w:t>Year</w:t>
            </w:r>
          </w:p>
        </w:tc>
        <w:tc>
          <w:tcPr>
            <w:tcW w:w="24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Type of Contract</w:t>
            </w:r>
          </w:p>
        </w:tc>
        <w:tc>
          <w:tcPr>
            <w:tcW w:w="18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3"/>
              </w:rPr>
              <w:t>Index</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Volumes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per unit</w:t>
            </w:r>
          </w:p>
        </w:tc>
        <w:tc>
          <w:tcPr>
            <w:tcW w:w="0" w:type="dxa"/>
            <w:vAlign w:val="bottom"/>
          </w:tcPr>
          <w:p>
            <w:pPr>
              <w:spacing w:after="0"/>
              <w:rPr>
                <w:sz w:val="1"/>
                <w:szCs w:val="1"/>
                <w:color w:val="auto"/>
              </w:rPr>
            </w:pPr>
          </w:p>
        </w:tc>
      </w:tr>
      <w:tr>
        <w:trPr>
          <w:trHeight w:val="34"/>
        </w:trPr>
        <w:tc>
          <w:tcPr>
            <w:tcW w:w="3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80" w:type="dxa"/>
            <w:vAlign w:val="bottom"/>
            <w:gridSpan w:val="3"/>
          </w:tcPr>
          <w:p>
            <w:pPr>
              <w:ind w:left="40"/>
              <w:spacing w:after="0"/>
              <w:rPr>
                <w:sz w:val="20"/>
                <w:szCs w:val="20"/>
                <w:color w:val="auto"/>
              </w:rPr>
            </w:pPr>
            <w:r>
              <w:rPr>
                <w:rFonts w:ascii="Arial" w:cs="Arial" w:eastAsia="Arial" w:hAnsi="Arial"/>
                <w:sz w:val="18"/>
                <w:szCs w:val="18"/>
                <w:b w:val="1"/>
                <w:bCs w:val="1"/>
                <w:color w:val="auto"/>
              </w:rPr>
              <w:t>Natural gas</w:t>
            </w:r>
          </w:p>
        </w:tc>
        <w:tc>
          <w:tcPr>
            <w:tcW w:w="1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(MMBtu)</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43"/>
        </w:trPr>
        <w:tc>
          <w:tcPr>
            <w:tcW w:w="3100" w:type="dxa"/>
            <w:vAlign w:val="bottom"/>
          </w:tcPr>
          <w:p>
            <w:pPr>
              <w:jc w:val="right"/>
              <w:ind w:right="24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rPr>
              <w:t>NYMEX</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3100" w:type="dxa"/>
            <w:vAlign w:val="bottom"/>
          </w:tcPr>
          <w:p>
            <w:pPr>
              <w:jc w:val="right"/>
              <w:ind w:right="24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rPr>
              <w:t>NYMEX</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Crude oil</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(Bbls)</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jc w:val="right"/>
              <w:ind w:right="24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rPr>
              <w:t>NYMEX WTI</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98.28</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7"/>
              </w:rPr>
              <w:t>BRENT ICE</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43"/>
        </w:trPr>
        <w:tc>
          <w:tcPr>
            <w:tcW w:w="3100" w:type="dxa"/>
            <w:vAlign w:val="bottom"/>
          </w:tcPr>
          <w:p>
            <w:pPr>
              <w:jc w:val="right"/>
              <w:ind w:right="24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rPr>
              <w:t>NYMEX WTI</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93.29</w:t>
            </w:r>
          </w:p>
        </w:tc>
        <w:tc>
          <w:tcPr>
            <w:tcW w:w="0" w:type="dxa"/>
            <w:vAlign w:val="bottom"/>
          </w:tcPr>
          <w:p>
            <w:pPr>
              <w:spacing w:after="0"/>
              <w:rPr>
                <w:sz w:val="1"/>
                <w:szCs w:val="1"/>
                <w:color w:val="auto"/>
              </w:rPr>
            </w:pPr>
          </w:p>
        </w:tc>
      </w:tr>
      <w:tr>
        <w:trPr>
          <w:trHeight w:val="648"/>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QEP Marketing Commodity Derivative Positions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w w:val="91"/>
              </w:rPr>
              <w:t>Weighted-average price</w:t>
            </w:r>
          </w:p>
        </w:tc>
        <w:tc>
          <w:tcPr>
            <w:tcW w:w="0" w:type="dxa"/>
            <w:vAlign w:val="bottom"/>
          </w:tcPr>
          <w:p>
            <w:pPr>
              <w:spacing w:after="0"/>
              <w:rPr>
                <w:sz w:val="1"/>
                <w:szCs w:val="1"/>
                <w:color w:val="auto"/>
              </w:rPr>
            </w:pPr>
          </w:p>
        </w:tc>
      </w:tr>
      <w:tr>
        <w:trPr>
          <w:trHeight w:val="234"/>
        </w:trPr>
        <w:tc>
          <w:tcPr>
            <w:tcW w:w="3580" w:type="dxa"/>
            <w:vAlign w:val="bottom"/>
            <w:gridSpan w:val="3"/>
          </w:tcPr>
          <w:p>
            <w:pPr>
              <w:ind w:left="1380"/>
              <w:spacing w:after="0"/>
              <w:rPr>
                <w:sz w:val="20"/>
                <w:szCs w:val="20"/>
                <w:color w:val="auto"/>
              </w:rPr>
            </w:pPr>
            <w:r>
              <w:rPr>
                <w:rFonts w:ascii="Arial" w:cs="Arial" w:eastAsia="Arial" w:hAnsi="Arial"/>
                <w:sz w:val="18"/>
                <w:szCs w:val="18"/>
                <w:b w:val="1"/>
                <w:bCs w:val="1"/>
                <w:color w:val="auto"/>
              </w:rPr>
              <w:t>Year</w:t>
            </w:r>
          </w:p>
        </w:tc>
        <w:tc>
          <w:tcPr>
            <w:tcW w:w="24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0"/>
              </w:rPr>
              <w:t>Type of Contract</w:t>
            </w:r>
          </w:p>
        </w:tc>
        <w:tc>
          <w:tcPr>
            <w:tcW w:w="180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3"/>
              </w:rPr>
              <w:t>Index</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Volumes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per MMBtu</w:t>
            </w:r>
          </w:p>
        </w:tc>
        <w:tc>
          <w:tcPr>
            <w:tcW w:w="0" w:type="dxa"/>
            <w:vAlign w:val="bottom"/>
          </w:tcPr>
          <w:p>
            <w:pPr>
              <w:spacing w:after="0"/>
              <w:rPr>
                <w:sz w:val="1"/>
                <w:szCs w:val="1"/>
                <w:color w:val="auto"/>
              </w:rPr>
            </w:pPr>
          </w:p>
        </w:tc>
      </w:tr>
      <w:tr>
        <w:trPr>
          <w:trHeight w:val="34"/>
        </w:trPr>
        <w:tc>
          <w:tcPr>
            <w:tcW w:w="3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(in millions)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80" w:type="dxa"/>
            <w:vAlign w:val="bottom"/>
            <w:gridSpan w:val="3"/>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Natural gas sales</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(MMBtu)</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jc w:val="right"/>
              <w:ind w:right="24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1800" w:type="dxa"/>
            <w:vAlign w:val="bottom"/>
            <w:gridSpan w:val="3"/>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43"/>
        </w:trPr>
        <w:tc>
          <w:tcPr>
            <w:tcW w:w="3580" w:type="dxa"/>
            <w:vAlign w:val="bottom"/>
            <w:gridSpan w:val="3"/>
          </w:tcPr>
          <w:p>
            <w:pPr>
              <w:ind w:left="40"/>
              <w:spacing w:after="0"/>
              <w:rPr>
                <w:sz w:val="20"/>
                <w:szCs w:val="20"/>
                <w:color w:val="auto"/>
              </w:rPr>
            </w:pPr>
            <w:r>
              <w:rPr>
                <w:rFonts w:ascii="Arial" w:cs="Arial" w:eastAsia="Arial" w:hAnsi="Arial"/>
                <w:sz w:val="18"/>
                <w:szCs w:val="18"/>
                <w:b w:val="1"/>
                <w:bCs w:val="1"/>
                <w:color w:val="auto"/>
              </w:rPr>
              <w:t>Natural gas purchases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(MMBtu)</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1800" w:type="dxa"/>
            <w:vAlign w:val="bottom"/>
            <w:gridSpan w:val="3"/>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310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40" w:type="dxa"/>
            <w:vAlign w:val="bottom"/>
            <w:gridSpan w:val="3"/>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gridSpan w:val="3"/>
          </w:tcPr>
          <w:p>
            <w:pPr>
              <w:jc w:val="center"/>
              <w:ind w:right="740"/>
              <w:spacing w:after="0"/>
              <w:rPr>
                <w:sz w:val="20"/>
                <w:szCs w:val="20"/>
                <w:color w:val="auto"/>
              </w:rPr>
            </w:pPr>
            <w:r>
              <w:rPr>
                <w:rFonts w:ascii="Arial" w:cs="Arial" w:eastAsia="Arial" w:hAnsi="Arial"/>
                <w:sz w:val="18"/>
                <w:szCs w:val="18"/>
                <w:color w:val="auto"/>
                <w:w w:val="96"/>
              </w:rPr>
              <w:t>GDKERN</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1800" w:type="dxa"/>
            <w:vAlign w:val="bottom"/>
            <w:gridSpan w:val="3"/>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3"/>
            <w:shd w:val="clear" w:color="auto" w:fill="CCEEFF"/>
          </w:tcPr>
          <w:p>
            <w:pPr>
              <w:jc w:val="center"/>
              <w:ind w:right="840"/>
              <w:spacing w:after="0"/>
              <w:rPr>
                <w:sz w:val="20"/>
                <w:szCs w:val="20"/>
                <w:color w:val="auto"/>
              </w:rPr>
            </w:pPr>
            <w:r>
              <w:rPr>
                <w:rFonts w:ascii="Arial" w:cs="Arial" w:eastAsia="Arial" w:hAnsi="Arial"/>
                <w:sz w:val="18"/>
                <w:szCs w:val="18"/>
                <w:color w:val="auto"/>
                <w:w w:val="88"/>
              </w:rPr>
              <w:t>Swap</w:t>
            </w:r>
          </w:p>
        </w:tc>
        <w:tc>
          <w:tcPr>
            <w:tcW w:w="1800" w:type="dxa"/>
            <w:vAlign w:val="bottom"/>
            <w:tcBorders>
              <w:bottom w:val="single" w:sz="8" w:color="CCEEFF"/>
            </w:tcBorders>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2"/>
              </w:rPr>
              <w:t>IFNPCR</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432"/>
        </w:trPr>
        <w:tc>
          <w:tcPr>
            <w:tcW w:w="9480" w:type="dxa"/>
            <w:vAlign w:val="bottom"/>
            <w:gridSpan w:val="11"/>
          </w:tcPr>
          <w:p>
            <w:pPr>
              <w:spacing w:after="0"/>
              <w:rPr>
                <w:sz w:val="20"/>
                <w:szCs w:val="20"/>
                <w:color w:val="auto"/>
              </w:rPr>
            </w:pPr>
            <w:r>
              <w:rPr>
                <w:rFonts w:ascii="Arial" w:cs="Arial" w:eastAsia="Arial" w:hAnsi="Arial"/>
                <w:sz w:val="18"/>
                <w:szCs w:val="18"/>
                <w:color w:val="auto"/>
              </w:rPr>
              <w:t>Changes in the fair value of derivative contracts from December 31, 2012 to June 30, 2013, are presented below:</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Commodity</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derivative contracts</w:t>
            </w:r>
          </w:p>
        </w:tc>
        <w:tc>
          <w:tcPr>
            <w:tcW w:w="0" w:type="dxa"/>
            <w:vAlign w:val="bottom"/>
          </w:tcPr>
          <w:p>
            <w:pPr>
              <w:spacing w:after="0"/>
              <w:rPr>
                <w:sz w:val="1"/>
                <w:szCs w:val="1"/>
                <w:color w:val="auto"/>
              </w:rPr>
            </w:pPr>
          </w:p>
        </w:tc>
      </w:tr>
      <w:tr>
        <w:trPr>
          <w:trHeight w:val="34"/>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6020" w:type="dxa"/>
            <w:vAlign w:val="bottom"/>
            <w:gridSpan w:val="6"/>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w w:val="90"/>
              </w:rPr>
              <w:t>Net fair value of gas and oil derivative contracts outstanding at December 31, 2012</w:t>
            </w: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43"/>
        </w:trPr>
        <w:tc>
          <w:tcPr>
            <w:tcW w:w="3580" w:type="dxa"/>
            <w:vAlign w:val="bottom"/>
            <w:gridSpan w:val="3"/>
          </w:tcPr>
          <w:p>
            <w:pPr>
              <w:ind w:left="40"/>
              <w:spacing w:after="0"/>
              <w:rPr>
                <w:sz w:val="20"/>
                <w:szCs w:val="20"/>
                <w:color w:val="auto"/>
              </w:rPr>
            </w:pPr>
            <w:r>
              <w:rPr>
                <w:rFonts w:ascii="Arial" w:cs="Arial" w:eastAsia="Arial" w:hAnsi="Arial"/>
                <w:sz w:val="18"/>
                <w:szCs w:val="18"/>
                <w:color w:val="auto"/>
              </w:rPr>
              <w:t>Contracts settled</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7"/>
        </w:trPr>
        <w:tc>
          <w:tcPr>
            <w:tcW w:w="3580" w:type="dxa"/>
            <w:vAlign w:val="bottom"/>
            <w:gridSpan w:val="3"/>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Change in gas and oil prices on futures markets</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84"/>
        </w:trPr>
        <w:tc>
          <w:tcPr>
            <w:tcW w:w="35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Contracts added</w:t>
            </w:r>
          </w:p>
        </w:tc>
        <w:tc>
          <w:tcPr>
            <w:tcW w:w="1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57"/>
        </w:trPr>
        <w:tc>
          <w:tcPr>
            <w:tcW w:w="6020" w:type="dxa"/>
            <w:vAlign w:val="bottom"/>
            <w:gridSpan w:val="6"/>
            <w:shd w:val="clear" w:color="auto" w:fill="CCEEFF"/>
          </w:tcPr>
          <w:p>
            <w:pPr>
              <w:ind w:left="40"/>
              <w:spacing w:after="0"/>
              <w:rPr>
                <w:sz w:val="20"/>
                <w:szCs w:val="20"/>
                <w:color w:val="auto"/>
              </w:rPr>
            </w:pPr>
            <w:r>
              <w:rPr>
                <w:rFonts w:ascii="Arial" w:cs="Arial" w:eastAsia="Arial" w:hAnsi="Arial"/>
                <w:sz w:val="18"/>
                <w:szCs w:val="18"/>
                <w:b w:val="1"/>
                <w:bCs w:val="1"/>
                <w:color w:val="auto"/>
                <w:w w:val="90"/>
              </w:rPr>
              <w:t>Net fair value of gas and oil derivative contracts outstanding at June 30, 2013</w:t>
            </w: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121.6</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CCEEFF"/>
            </w:tcBorders>
            <w:gridSpan w:val="3"/>
            <w:vMerge w:val="restart"/>
          </w:tcPr>
          <w:p>
            <w:pPr>
              <w:jc w:val="center"/>
              <w:ind w:left="1730"/>
              <w:spacing w:after="0"/>
              <w:rPr>
                <w:sz w:val="20"/>
                <w:szCs w:val="20"/>
                <w:color w:val="auto"/>
              </w:rPr>
            </w:pPr>
            <w:r>
              <w:rPr>
                <w:rFonts w:ascii="Arial" w:cs="Arial" w:eastAsia="Arial" w:hAnsi="Arial"/>
                <w:sz w:val="18"/>
                <w:szCs w:val="18"/>
                <w:color w:val="auto"/>
                <w:w w:val="89"/>
              </w:rPr>
              <w:t>48</w:t>
            </w: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gridSpan w:val="3"/>
            <w:vMerge w:val="continue"/>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0" w:name="page51"/>
    <w:bookmarkEnd w:id="50"/>
    <w:p>
      <w:pPr>
        <w:ind w:right="900"/>
        <w:spacing w:after="0" w:line="277" w:lineRule="auto"/>
        <w:rPr>
          <w:sz w:val="20"/>
          <w:szCs w:val="20"/>
          <w:color w:val="auto"/>
        </w:rPr>
      </w:pPr>
      <w:r>
        <w:rPr>
          <w:rFonts w:ascii="Arial" w:cs="Arial" w:eastAsia="Arial" w:hAnsi="Arial"/>
          <w:sz w:val="18"/>
          <w:szCs w:val="18"/>
          <w:color w:val="auto"/>
        </w:rPr>
        <w:t>The following table shows sensitivity of fair value of gas and oil derivative contracts to changes in the market price of gas, oil and NGL and basis differentials: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June 30, 2013</w:t>
            </w:r>
          </w:p>
        </w:tc>
      </w:tr>
      <w:tr>
        <w:trPr>
          <w:trHeight w:val="34"/>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9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(in millions)</w:t>
            </w: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121.6</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Fair value if market prices of gas and oil and basis differentials decline by 10%</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245.0</w:t>
            </w: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gas and oil and basis differentials increase by 10%</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r>
      <w:tr>
        <w:trPr>
          <w:trHeight w:val="27"/>
        </w:trPr>
        <w:tc>
          <w:tcPr>
            <w:tcW w:w="9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Utilizing the actual derivative contractual volumes, a 10% increase in underlying commodity prices would reduce the fair value of these instruments by $123.4 million, while a 10% decrease in underlying commodity prices would increase the fair value of these instruments by $123.4 million as of June 30, 2013. However, a gain or loss eventually would be substantially offset by the actual sales value of the physical production covered by the derivative instruments. For additional information regarding the Company’s commodity derivative transactions, see Note 7 – Derivative Contracts under Part I, Item 1 of this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Company’s ability to borrow and the rates offered by lenders can be adversely affected by illiquid credit markets as described in the risk factors in Part I, Item 1A of the Company’s Annual Report on Form 10-K for the year ended December 31, 2012. The Company’s credit facility has a floating interest rate which exposes QEP to interest rate risk. At June 30, 2013, the Company had $888.5 million outstanding under its revolving credit facility. If interest rates were to increase or decrease 10% over the six months ended June 30, 2013, at our average level of borrowing for those same periods, our interest expense would increase or decrease by $0.9 million and $0.3 million for the six months ended June 30, 2013 and 2012, or approximately 1% in each period.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Company’s term loan has a floating interest rate which also exposes QEP to interest rate risk. At June 30, 2013, the Company had $300.0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outstanding under the term loan. During the second quarter of 2012, QEP entered into interest rate swap contracts, with an aggregate notional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million, to minimize the interest rate volatility risk associated with its $300.0 million term loan. QEP pays a fixed interest rate and receives a floating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indexed to the one-month LIBOR. At June 30, 2013, the fair value of the interest rate swaps was a derivative liability balance of $1.2 million.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basis point decrease would cause the fair value of the interest rate swaps to decrease by $4.9 million while a 50 basis point increase would cause the fair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value of the interest rate swaps to increase by $5.4 million.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remaining $2,221.8 million of the Company’s debt are Senior Notes with fixed interest rates and therefore are not affected by interest rate movements.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Company’s debt instruments, see Note 9 – Debt under Part I, Item 1 of this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This quarterly report contains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They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5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QEP’s growth strategies;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gas, oil and NGL prices and factors affecting the volatility of such prices;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plans to drill or participate in wells and to defer completion of wells;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QEP's low cash operating costs and ability to control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pursue acquisition opportunities;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proforma results for acquired properties;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restructuring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and timing of the reclassification of the fixed-value related to de-designated hedges;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recognition of compensation costs related to equity compensation grants;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 of pension legislation;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gain on sale of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 and operating expenses;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plans to divest of assets, including plans to contribute portions of its gathering assets into a master limited partnership;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estimated accrual for loss contingencies and other items;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 of recession;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plans to enter into derivative contracts for a portion of forecasted production;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expenses and operating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operation of processing plants at assumed capacities;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the settlement of derivative contracts;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incurrence of unrealized derivative gains and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nonperformance by trade creditors or joint venture partners;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expected contributions to the Company’s pension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impact of recently issued accounting pronouncements;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significance of Adjusted EBITDA as a measure of cash flow and liquidity;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 of dividends;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for future asset impairments;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estimated future purchase accounting adjustments.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 for the year ended December 31, 2012;</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natural gas, oil and NGL prices;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drilling results;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available pipeline capacity;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QEP's inability to successfully integrate acquired assets or dispose of non-core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permitting delays;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maintenance and construction costs, including possible inflationary pressures;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and cost of debt and equity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legislation regarding climate change and other initiatives related to drilling and completion techniques, including hydraulic fracturing;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 liabilities from legal proceedings and environmental claims;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future opportunities that QEP's board of directors may determine present greater potential value to stockholders than planned divestiture of assets;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or inaction, by federal, state, local or tribal governments;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processing margins;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costs for constructing, modifying or operating midstream facilities;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QEP's products;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584" w:right="33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QEP undertakes no obligation to publicly correct or update the forward-looking statements in this quarterly report, in other documents, or on the website to reflect future events or circumstances. All such statements are expressly qualified by this cautionary statement.</w:t>
      </w: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584" w:right="459" w:bottom="1440" w:gutter="0" w:footer="0" w:header="0"/>
        </w:sectPr>
      </w:pPr>
    </w:p>
    <w:bookmarkStart w:id="53" w:name="page54"/>
    <w:bookmarkEnd w:id="53"/>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Chief Executive Officer and Chief Financial Officer have evaluated the effectiveness of the Company’s disclosure controls and procedures (as such term is defined in Rules 13a-15(e) under the Securities Exchange Act of 1934, as amended) as of June 30, 2013. Based on such evaluation, such officers have concluded that, as of June 30, 2013, the Company’s disclosure controls and procedures are designed and effective to ensure that information required to be included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8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during the quarter ended June 30, 2013, that have materially affected, or that are reasonably likely to materially affect, the Company’s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regarding legal proceedings is set forth in Note 10 - Contingencies to the Company's consolidated financial statements included in Item 1 of Part I of this Quarterly Report on Form 10-Q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 for the year ended December 31, 2012. No material changes to such risk factors have occurred during the three months ended June 30, 2013.</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QEP had no unregistered sales of equity during the second quarter of 2013.</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80" w:right="259" w:bottom="1440" w:gutter="0" w:footer="0" w:header="0"/>
        </w:sectPr>
      </w:pPr>
    </w:p>
    <w:bookmarkStart w:id="54" w:name="page55"/>
    <w:bookmarkEnd w:id="54"/>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ind w:left="200"/>
              <w:spacing w:after="0"/>
              <w:rPr>
                <w:sz w:val="20"/>
                <w:szCs w:val="20"/>
                <w:color w:val="auto"/>
              </w:rPr>
            </w:pPr>
            <w:r>
              <w:rPr>
                <w:rFonts w:ascii="Arial" w:cs="Arial" w:eastAsia="Arial" w:hAnsi="Arial"/>
                <w:sz w:val="18"/>
                <w:szCs w:val="18"/>
                <w:color w:val="auto"/>
              </w:rPr>
              <w:t>Exhibit No.</w:t>
            </w:r>
          </w:p>
        </w:tc>
        <w:tc>
          <w:tcPr>
            <w:tcW w:w="974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34"/>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Certification signed by C. B. Stanley, QEP Resources, Inc.’s Chief Executive Officer, pursuant to Section 302 of the Sarbanes-Oxley</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 of 2002.</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Certification signed by C. B. Stanley and Richard J. Doleshek, QEP Resources, Inc.’s Chief Executive Officer and Chief Financial</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Officer, respectively, pursuant to Section 906 of the Sarbanes-Oxley Act of 2002.</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Schema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4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Label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4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Definition Linkbase Document</w:t>
            </w:r>
          </w:p>
        </w:tc>
      </w:tr>
      <w:tr>
        <w:trPr>
          <w:trHeight w:val="675"/>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40" w:type="dxa"/>
            <w:vAlign w:val="bottom"/>
          </w:tcPr>
          <w:p>
            <w:pPr>
              <w:ind w:left="428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080"/>
          </w:cols>
          <w:pgMar w:left="240" w:top="580" w:right="57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9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00"/>
        </w:trPr>
        <w:tc>
          <w:tcPr>
            <w:tcW w:w="3280" w:type="dxa"/>
            <w:vAlign w:val="bottom"/>
            <w:gridSpan w:val="2"/>
          </w:tcPr>
          <w:p>
            <w:pPr>
              <w:spacing w:after="0"/>
              <w:rPr>
                <w:sz w:val="20"/>
                <w:szCs w:val="20"/>
                <w:color w:val="auto"/>
              </w:rPr>
            </w:pPr>
            <w:r>
              <w:rPr>
                <w:rFonts w:ascii="Arial" w:cs="Arial" w:eastAsia="Arial" w:hAnsi="Arial"/>
                <w:sz w:val="18"/>
                <w:szCs w:val="18"/>
                <w:color w:val="auto"/>
              </w:rPr>
              <w:t>July 31, 2013</w:t>
            </w:r>
          </w:p>
        </w:tc>
        <w:tc>
          <w:tcPr>
            <w:tcW w:w="26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 B. Stanley</w:t>
            </w:r>
          </w:p>
        </w:tc>
      </w:tr>
      <w:tr>
        <w:trPr>
          <w:trHeight w:val="55"/>
        </w:trPr>
        <w:tc>
          <w:tcPr>
            <w:tcW w:w="96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43"/>
        </w:trPr>
        <w:tc>
          <w:tcPr>
            <w:tcW w:w="9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 B. Stanley,</w:t>
            </w:r>
          </w:p>
        </w:tc>
      </w:tr>
      <w:tr>
        <w:trPr>
          <w:trHeight w:val="270"/>
        </w:trPr>
        <w:tc>
          <w:tcPr>
            <w:tcW w:w="9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00"/>
        </w:trPr>
        <w:tc>
          <w:tcPr>
            <w:tcW w:w="3280" w:type="dxa"/>
            <w:vAlign w:val="bottom"/>
            <w:gridSpan w:val="2"/>
          </w:tcPr>
          <w:p>
            <w:pPr>
              <w:spacing w:after="0"/>
              <w:rPr>
                <w:sz w:val="20"/>
                <w:szCs w:val="20"/>
                <w:color w:val="auto"/>
              </w:rPr>
            </w:pPr>
            <w:r>
              <w:rPr>
                <w:rFonts w:ascii="Arial" w:cs="Arial" w:eastAsia="Arial" w:hAnsi="Arial"/>
                <w:sz w:val="18"/>
                <w:szCs w:val="18"/>
                <w:color w:val="auto"/>
              </w:rPr>
              <w:t>July 31, 2013</w:t>
            </w:r>
          </w:p>
        </w:tc>
        <w:tc>
          <w:tcPr>
            <w:tcW w:w="26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55"/>
        </w:trPr>
        <w:tc>
          <w:tcPr>
            <w:tcW w:w="96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43"/>
        </w:trPr>
        <w:tc>
          <w:tcPr>
            <w:tcW w:w="9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9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r>
        <w:trPr>
          <w:trHeight w:val="270"/>
        </w:trPr>
        <w:tc>
          <w:tcPr>
            <w:tcW w:w="9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486"/>
        </w:trPr>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31, 2013</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u w:val="single" w:color="auto"/>
          <w:color w:val="auto"/>
        </w:rPr>
        <w:t>/s/ C.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31, 2013</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u w:val="single" w:color="auto"/>
          <w:color w:val="auto"/>
        </w:rPr>
        <w:t>/s/ Richard J. Doleshek</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Executive Vice President, Chief Financial Officer and Treasurer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In connection with this report of QEP Resources, Inc. (the Company) on Form 10-Q for the period ended June 30, 2013, as filed with the Securities and Exchange Commission on the date hereof (the Report), C. B. Stanley, Chairman, President and Chief Executive Officer of the Company, and Richard J. Doleshek, Executive Vice President, Chief Financial Officer and Treasurer of the Company, each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July 31, 2013</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C.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July 31, 2013</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Treasurer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2019-12-07T00:19:29Z</dcterms:created>
  <dcterms:modified xsi:type="dcterms:W3CDTF">2019-12-07T00:19:29Z</dcterms:modified>
</cp:coreProperties>
</file>