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7"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92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7"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7"/>
          <w:szCs w:val="17"/>
          <w:color w:val="auto"/>
        </w:rPr>
        <w:t>At September 30, 2014, there were 180,149,080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CONDENSED CONSOLIDATED STATEMENTS OF OPERATIONS FOR THE THREE AND</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NINE MONTHS ENDED SEPTEMBER 30, 2014 AND 2013</w:t>
              </w:r>
            </w:hyperlink>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COMPREHENSIVE INCOME FOR</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THE THREE AND NINE MONTHS ENDED SEPTEMBER 30,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68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CONDENSED CONSOLIDATED BALANCE SHEETS AT SEPTEMBER 30, 2014 AND</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52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CASH FLOWS FOR THE NINE</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SEPTEMBER 30, 2014 AND 2013</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UNAUDITED NOTES ACCOMPANYING THE CONDENSED CONSOLIDATED FINANCIAL</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180" w:type="dxa"/>
            <w:vAlign w:val="bottom"/>
            <w:tcBorders>
              <w:top w:val="single" w:sz="8" w:color="CCEEFF"/>
            </w:tcBorders>
            <w:gridSpan w:val="5"/>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7"/>
              </w:rPr>
            </w:pPr>
            <w:hyperlink w:anchor="page31">
              <w:r>
                <w:rPr>
                  <w:rFonts w:ascii="Arial" w:cs="Arial" w:eastAsia="Arial" w:hAnsi="Arial"/>
                  <w:sz w:val="18"/>
                  <w:szCs w:val="18"/>
                  <w:color w:val="0000FF"/>
                  <w:w w:val="97"/>
                </w:rPr>
                <w:t>MANAGEMENT’S DISCUSSION AND ANALYSIS OF FINANCIAL CONDITION AND RESULTS OF</w:t>
              </w:r>
            </w:hyperlink>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20" w:type="dxa"/>
            <w:vAlign w:val="bottom"/>
            <w:gridSpan w:val="22"/>
            <w:shd w:val="clear" w:color="auto" w:fill="CCEEFF"/>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OPERATIONS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CONTROLS AND PROCEDURES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20" w:type="dxa"/>
            <w:vAlign w:val="bottom"/>
            <w:gridSpan w:val="22"/>
            <w:shd w:val="clear" w:color="auto" w:fill="CCEEFF"/>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p>
      <w:pPr>
        <w:spacing w:after="0" w:line="249" w:lineRule="auto"/>
        <w:framePr w:w="3660" w:h="431" w:wrap="auto" w:vAnchor="page" w:hAnchor="page" w:x="240" w:y="11148"/>
        <w:rPr>
          <w:rFonts w:ascii="Arial" w:cs="Arial" w:eastAsia="Arial" w:hAnsi="Arial"/>
          <w:sz w:val="18"/>
          <w:szCs w:val="18"/>
          <w:color w:val="auto"/>
        </w:rPr>
      </w:pPr>
      <w:r>
        <w:rPr>
          <w:rFonts w:ascii="Arial" w:cs="Arial" w:eastAsia="Arial" w:hAnsi="Arial"/>
          <w:sz w:val="18"/>
          <w:szCs w:val="18"/>
          <w:color w:val="auto"/>
        </w:rPr>
        <w:t>Earnings Per Common Share Attributable to QEP Basic from continuing operations</w:t>
      </w:r>
    </w:p>
    <w:p>
      <w:pPr>
        <w:spacing w:after="0" w:line="265" w:lineRule="auto"/>
        <w:framePr w:w="2620" w:h="458" w:wrap="auto" w:vAnchor="page" w:hAnchor="page" w:x="380" w:y="11689"/>
        <w:rPr>
          <w:rFonts w:ascii="Arial" w:cs="Arial" w:eastAsia="Arial" w:hAnsi="Arial"/>
          <w:sz w:val="18"/>
          <w:szCs w:val="18"/>
          <w:color w:val="auto"/>
        </w:rPr>
      </w:pPr>
      <w:r>
        <w:rPr>
          <w:rFonts w:ascii="Arial" w:cs="Arial" w:eastAsia="Arial" w:hAnsi="Arial"/>
          <w:sz w:val="18"/>
          <w:szCs w:val="18"/>
          <w:color w:val="auto"/>
        </w:rPr>
        <w:t>Basic from discontinued operations Basic total</w:t>
      </w:r>
    </w:p>
    <w:p>
      <w:pPr>
        <w:spacing w:after="0" w:line="280" w:lineRule="auto"/>
        <w:framePr w:w="2760" w:h="431" w:wrap="auto" w:vAnchor="page" w:hAnchor="page" w:x="380" w:y="12283"/>
        <w:rPr>
          <w:rFonts w:ascii="Arial" w:cs="Arial" w:eastAsia="Arial" w:hAnsi="Arial"/>
          <w:sz w:val="16"/>
          <w:szCs w:val="16"/>
          <w:color w:val="auto"/>
        </w:rPr>
      </w:pPr>
      <w:r>
        <w:rPr>
          <w:rFonts w:ascii="Arial" w:cs="Arial" w:eastAsia="Arial" w:hAnsi="Arial"/>
          <w:sz w:val="16"/>
          <w:szCs w:val="16"/>
          <w:color w:val="auto"/>
        </w:rPr>
        <w:t>Diluted from continuing operations Diluted from discontinued operations</w:t>
      </w:r>
    </w:p>
    <w:p>
      <w:pPr>
        <w:spacing w:after="0" w:line="196" w:lineRule="auto"/>
        <w:framePr w:w="980" w:h="160" w:wrap="auto" w:vAnchor="page" w:hAnchor="page" w:x="480" w:y="12850"/>
        <w:rPr>
          <w:rFonts w:ascii="Arial" w:cs="Arial" w:eastAsia="Arial" w:hAnsi="Arial"/>
          <w:sz w:val="17"/>
          <w:szCs w:val="17"/>
          <w:color w:val="auto"/>
        </w:rPr>
      </w:pPr>
      <w:r>
        <w:rPr>
          <w:rFonts w:ascii="Arial" w:cs="Arial" w:eastAsia="Arial" w:hAnsi="Arial"/>
          <w:sz w:val="17"/>
          <w:szCs w:val="17"/>
          <w:color w:val="auto"/>
        </w:rPr>
        <w:t>Diluted total</w:t>
      </w:r>
    </w:p>
    <w:p>
      <w:pPr>
        <w:spacing w:after="0" w:line="249" w:lineRule="auto"/>
        <w:framePr w:w="3440" w:h="431" w:wrap="auto" w:vAnchor="page" w:hAnchor="page" w:x="240" w:y="13147"/>
        <w:rPr>
          <w:rFonts w:ascii="Arial" w:cs="Arial" w:eastAsia="Arial" w:hAnsi="Arial"/>
          <w:sz w:val="18"/>
          <w:szCs w:val="18"/>
          <w:color w:val="auto"/>
        </w:rPr>
      </w:pPr>
      <w:r>
        <w:rPr>
          <w:rFonts w:ascii="Arial" w:cs="Arial" w:eastAsia="Arial" w:hAnsi="Arial"/>
          <w:sz w:val="18"/>
          <w:szCs w:val="18"/>
          <w:color w:val="auto"/>
        </w:rPr>
        <w:t>Weighted-average common shares outstanding Used in basic calculation</w:t>
      </w:r>
    </w:p>
    <w:p>
      <w:pPr>
        <w:ind w:firstLine="351"/>
        <w:spacing w:after="0" w:line="280" w:lineRule="auto"/>
        <w:framePr w:w="2360" w:h="431" w:wrap="auto" w:vAnchor="page" w:hAnchor="page" w:x="240" w:y="13687"/>
        <w:rPr>
          <w:rFonts w:ascii="Arial" w:cs="Arial" w:eastAsia="Arial" w:hAnsi="Arial"/>
          <w:sz w:val="16"/>
          <w:szCs w:val="16"/>
          <w:color w:val="auto"/>
        </w:rPr>
      </w:pPr>
      <w:r>
        <w:rPr>
          <w:rFonts w:ascii="Arial" w:cs="Arial" w:eastAsia="Arial" w:hAnsi="Arial"/>
          <w:sz w:val="16"/>
          <w:szCs w:val="16"/>
          <w:color w:val="auto"/>
        </w:rPr>
        <w:t>Used in diluted calculation Dividends per common share</w:t>
      </w: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7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50"/>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1"/>
                <w:szCs w:val="21"/>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2013</w:t>
            </w: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9"/>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3600" w:type="dxa"/>
            <w:vAlign w:val="bottom"/>
            <w:gridSpan w:val="9"/>
          </w:tcPr>
          <w:p>
            <w:pPr>
              <w:jc w:val="right"/>
              <w:ind w:right="50"/>
              <w:spacing w:after="0"/>
              <w:rPr>
                <w:sz w:val="20"/>
                <w:szCs w:val="20"/>
                <w:color w:val="auto"/>
              </w:rPr>
            </w:pPr>
            <w:r>
              <w:rPr>
                <w:rFonts w:ascii="Arial" w:cs="Arial" w:eastAsia="Arial" w:hAnsi="Arial"/>
                <w:sz w:val="18"/>
                <w:szCs w:val="18"/>
                <w:color w:val="auto"/>
              </w:rPr>
              <w:t>(in millions, except per share amounts)</w:t>
            </w:r>
          </w:p>
        </w:tc>
        <w:tc>
          <w:tcPr>
            <w:tcW w:w="72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656.3</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644.9</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2,614.7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2,064.8</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650.3</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198.5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158.5</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116.8</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251.4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719.3</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1,908.7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8)</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155.7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219.1</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7"/>
        </w:trPr>
        <w:tc>
          <w:tcPr>
            <w:tcW w:w="6860" w:type="dxa"/>
            <w:vAlign w:val="bottom"/>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97"/>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ATTRIBUTABLE TO QEP</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211.4</w:t>
            </w:r>
          </w:p>
        </w:tc>
      </w:tr>
      <w:tr>
        <w:trPr>
          <w:trHeight w:val="271"/>
        </w:trPr>
        <w:tc>
          <w:tcPr>
            <w:tcW w:w="6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6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43"/>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8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0.84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0.76</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37"/>
        </w:trPr>
        <w:tc>
          <w:tcPr>
            <w:tcW w:w="68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67"/>
        </w:trPr>
        <w:tc>
          <w:tcPr>
            <w:tcW w:w="68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51"/>
        </w:trPr>
        <w:tc>
          <w:tcPr>
            <w:tcW w:w="6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r>
      <w:tr>
        <w:trPr>
          <w:trHeight w:val="243"/>
        </w:trPr>
        <w:tc>
          <w:tcPr>
            <w:tcW w:w="68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0.06</w:t>
            </w:r>
          </w:p>
        </w:tc>
      </w:tr>
    </w:tbl>
    <w:p>
      <w:pPr>
        <w:spacing w:after="0" w:line="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3"/>
                <w:szCs w:val="23"/>
                <w:color w:val="auto"/>
              </w:rPr>
            </w:pPr>
          </w:p>
        </w:tc>
        <w:tc>
          <w:tcPr>
            <w:tcW w:w="2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208"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Presented net of income tax benefit of $11.7 million and $35.8 million during the three and nine months ended September 30, 2013, respectively.</w:t>
      </w:r>
    </w:p>
    <w:p>
      <w:pPr>
        <w:spacing w:after="0" w:line="2" w:lineRule="exact"/>
        <w:rPr>
          <w:rFonts w:ascii="Arial" w:cs="Arial" w:eastAsia="Arial" w:hAnsi="Arial"/>
          <w:sz w:val="22"/>
          <w:szCs w:val="22"/>
          <w:color w:val="auto"/>
          <w:vertAlign w:val="superscript"/>
        </w:rPr>
      </w:pPr>
    </w:p>
    <w:p>
      <w:pPr>
        <w:ind w:left="660" w:right="100" w:hanging="314"/>
        <w:spacing w:after="0" w:line="208"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$0.2 million during the nine months ended September 30, 2014 and $0.2 million and $0.7 million during the three and nine months ended September 30, 2013, respectively.</w:t>
      </w:r>
    </w:p>
    <w:p>
      <w:pPr>
        <w:spacing w:after="0" w:line="1" w:lineRule="exact"/>
        <w:rPr>
          <w:rFonts w:ascii="Arial" w:cs="Arial" w:eastAsia="Arial" w:hAnsi="Arial"/>
          <w:sz w:val="25"/>
          <w:szCs w:val="25"/>
          <w:color w:val="auto"/>
          <w:vertAlign w:val="superscript"/>
        </w:rPr>
      </w:pPr>
    </w:p>
    <w:p>
      <w:pPr>
        <w:ind w:left="660" w:right="10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$0.5 million and $1.5 million during the three and nine months ended September 30, 2014, respectively, and $0.5 million and $1.5 million during the three and nine months ended September 30, 2013,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 - current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 held for sale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resources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 and supplies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13,191.5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4,915.0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resources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8,212.4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 held for sale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9,394.9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held for sale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14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180.9 million and 179.7 million shares issued, respectively</w:t>
            </w:r>
          </w:p>
        </w:tc>
        <w:tc>
          <w:tcPr>
            <w:tcW w:w="1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- 0.8 million and 0.4 million shares,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8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0"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4,000.3</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10,276.2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9,394.9</w:t>
            </w:r>
          </w:p>
        </w:tc>
      </w:tr>
      <w:tr>
        <w:trPr>
          <w:trHeight w:val="20"/>
        </w:trPr>
        <w:tc>
          <w:tcPr>
            <w:tcW w:w="8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2013</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755.8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757.1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(gain)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(gain) loss on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1,219.7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706.2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208.3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investing activities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4,509.0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2,132.5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issuance of QEP Midstream common units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(provision) benefit on equity-based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229.1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128.9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paid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r>
      <w:tr>
        <w:trPr>
          <w:trHeight w:val="27"/>
        </w:trPr>
        <w:tc>
          <w:tcPr>
            <w:tcW w:w="8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89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894"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QEP Resources, Inc. (QEP or the Company) is a holding company with two major subsidiaries, QEP Energy Company and QEP Marketing Company, which are engaged in two primary lines of business: (i) oil and gas exploration and production (QEP Energy) and (ii) oil and gas marketing, operation of the Haynesville Gathering System and a underground gas storage reservoir (QEP Marketing and Other).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North Dakota, Wyoming and Utah) and the Southern Region (primarily in Texas and Louisiana) of the United States. QEP's corporate headquarters are located in Denver, Colorado.</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December 2013, QEP's Board of Directors authorized the Company to develop a plan to separate its midstream business, QEP Field Services, including the Company's interest in QEP Midstream Partners, LP (“QEP Midstream”), from QEP. Between December 2013 and September 2014, the Company evaluated transaction alternatives, including selling or merging the midstream business or spinning the midstream business off to its shareholders. In June 2014, QEP filed a registration statement on Form 10 with the U.S. Securities and Exchange Commission (SEC) in preparation for a potential spinoff of QEP Field Services as a separate publicly traded company. Concurrently, the Company evaluated selling or merging its midstream business. In September 2014, based on the proposals received, the Company's Board of Directors authorized QEP's management to engage in the negotiation of terms of a definitive transaction with Tesoro Logistics LP ("Tesoro"). In October 2014, the Company announced that its wholly owned subsidiary, QEP Field Services, had entered into a definitive agreement to sell substantially all of its midstream business, including the Company's ownership interest in QEP Midstream to Tesoro in an all cash transaction valued at $2.5 billion, including $230.0 million to refinance debt at QEP Midstream. </w:t>
      </w:r>
      <w:r>
        <w:rPr>
          <w:rFonts w:ascii="Arial" w:cs="Arial" w:eastAsia="Arial" w:hAnsi="Arial"/>
          <w:sz w:val="16"/>
          <w:szCs w:val="16"/>
          <w:color w:val="333333"/>
        </w:rPr>
        <w:t>The transaction is subject to customary closing conditions</w:t>
      </w:r>
      <w:r>
        <w:rPr>
          <w:rFonts w:ascii="Arial" w:cs="Arial" w:eastAsia="Arial" w:hAnsi="Arial"/>
          <w:sz w:val="16"/>
          <w:szCs w:val="16"/>
          <w:color w:val="auto"/>
        </w:rPr>
        <w:t xml:space="preserve"> </w:t>
      </w:r>
      <w:r>
        <w:rPr>
          <w:rFonts w:ascii="Arial" w:cs="Arial" w:eastAsia="Arial" w:hAnsi="Arial"/>
          <w:sz w:val="16"/>
          <w:szCs w:val="16"/>
          <w:color w:val="333333"/>
        </w:rPr>
        <w:t xml:space="preserve">and regulatory approvals, and is expected to close before year-end 2014. </w:t>
      </w:r>
      <w:r>
        <w:rPr>
          <w:rFonts w:ascii="Arial" w:cs="Arial" w:eastAsia="Arial" w:hAnsi="Arial"/>
          <w:sz w:val="16"/>
          <w:szCs w:val="16"/>
          <w:color w:val="000000"/>
        </w:rPr>
        <w:t>On October 31, 2014, the Federal Trade Commission granted early termination,</w:t>
      </w:r>
      <w:r>
        <w:rPr>
          <w:rFonts w:ascii="Arial" w:cs="Arial" w:eastAsia="Arial" w:hAnsi="Arial"/>
          <w:sz w:val="16"/>
          <w:szCs w:val="16"/>
          <w:color w:val="333333"/>
        </w:rPr>
        <w:t xml:space="preserve"> </w:t>
      </w:r>
      <w:r>
        <w:rPr>
          <w:rFonts w:ascii="Arial" w:cs="Arial" w:eastAsia="Arial" w:hAnsi="Arial"/>
          <w:sz w:val="16"/>
          <w:szCs w:val="16"/>
          <w:color w:val="000000"/>
        </w:rPr>
        <w:t>ending the Hart Scott Rodino waiting period for the transaction. The decision to sell the midstream business is a result of the Company’s ongoing review of strategic alternatives to maximize shareholder value. QEP will retain ownership of QEP Field Services’ Haynesville Gathering System. As a result of the pending transaction, the QEP Field Services reporting segment, excluding the retained ownership of the Haynesville Gathering System, has been classified as assets and liabilities held for sale on the Condensed Consolidated Balance Sheet and as a discontinued operation on the Condensed Consolidated Statement of Operations and the notes accompanying the Condensed Consolidated Financial Statements. For reporting purposes, the retained Haynesville Gathering System has been combined with QEP Marketing and Other.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(NYSE)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2013.</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nine months ended September 30, 2014, are not necessarily indicative of the results that may be expected for the year ending December 31, 2014.</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2013 financial information has been recast so that the basis of presentation is consistent with that of the 2014 financial information. This recast reflects the financial condition and results of operations, excluding the Haynesville Gathering System, of QEP Field Services as discontinued operations, for all periods presented. For a summary of discontinued operations see Note 4 - Discontinued Operations.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During the first nine months of 2013, QEP presented certain credit facility payments and borrowings on a net basis on the Condensed Consolidated Statements of Cash Flow. These borrowings and payments were reclassified to be presented on a gross basis on the Condensed Consolidated Statements of Cash Flow in order to conform with the current period presentation. This reclassification is entirely within "Financing Activities" and has no effect on other categories or total cash on the Condensed Consolidated Statements of Cash Flows or net income or earnings per share on the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Disclosures of Disposals of Components of an Entity, </w:t>
      </w:r>
      <w:r>
        <w:rPr>
          <w:rFonts w:ascii="Arial" w:cs="Arial" w:eastAsia="Arial" w:hAnsi="Arial"/>
          <w:sz w:val="17"/>
          <w:szCs w:val="17"/>
          <w:color w:val="auto"/>
        </w:rPr>
        <w:t>which broadened the reporting of discontinued operations to a component of an entity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cash flows that can be clearly distinguished from the rest of the entity. Under this guidance, to be a discontinued operation, a component or group of components must represent a strategic shift that has (or will have) a major effect on an entity's operations and financial results. The amendments are effective prospectively for reporting periods beginning on or after December 15, 2014 and early adoption is permitted. The Company has chosen to early adopt ASU 2014-08 and implemented the amendments in the quarter ended September 30, 2014.</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seeks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The amendments are effective prospectively for reporting periods beginning after December 15, 2016 and early adoption is not permitted. The Company is currently assessing the impact on the Company's consolidated financial statements.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(Topic 205-40): Disclosure of Uncertainties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an Entity’s Ability to Continue as a Going Concern</w:t>
      </w:r>
      <w:r>
        <w:rPr>
          <w:rFonts w:ascii="Arial" w:cs="Arial" w:eastAsia="Arial" w:hAnsi="Arial"/>
          <w:sz w:val="18"/>
          <w:szCs w:val="18"/>
          <w:color w:val="auto"/>
        </w:rPr>
        <w:t>. This guidance provides additional information to guide management's evaluation of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or events, considered in the aggregate, that raise substantial doubt about the entity’s ability to continue as a going concern within one year after the date that the financial statements are issued. The update is effective for annual periods beginning on or after December 15, 2016. The Company is currently evaluating the impact of this standard on its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$941.8 million, subject to post-closing purchase price adjustments (the Permian Basin Acquisition). The acquired properties consist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was funded from its revolving credit facility.</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Permian Basin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significant proved properties. QEP allocated the cost of the Permian Basin Acquisition to assets acquired and liabilities assumed based on fair values as of the acquisition date. Revenues of $114.2 million and net income of $23.1 million were generated from the acquired properties from February 25, 2014, to September 30, 2014, and are included in QEP's Condensed Consolidated Statements of Operations. During the nine months ended September 30, 2014, QEP Energy incurred acquisition-related costs of $0.6 million, which are included in "General and administrative" on the Condensed Consolidated Statement of Operations for the nine months ended September 30, 2014. QEP incurred $1.1 million of debt issuance costs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9" w:name="page10"/>
    <w:bookmarkEnd w:id="9"/>
    <w:p>
      <w:pPr>
        <w:ind w:right="580"/>
        <w:spacing w:after="0" w:line="277" w:lineRule="auto"/>
        <w:rPr>
          <w:sz w:val="20"/>
          <w:szCs w:val="20"/>
          <w:color w:val="auto"/>
        </w:rPr>
      </w:pPr>
      <w:r>
        <w:rPr>
          <w:rFonts w:ascii="Arial" w:cs="Arial" w:eastAsia="Arial" w:hAnsi="Arial"/>
          <w:sz w:val="18"/>
          <w:szCs w:val="18"/>
          <w:color w:val="auto"/>
        </w:rPr>
        <w:t>associated with increasing the size of term loan borrowings to fund a portion of the acquisition, which are included in "Other noncurrent assets" on the Condensed Consolidated Balance Sheet as of September 30, 2014.</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QEP Energy recorded the Permian Basin Acquisition on its Condensed Consolidated Balance Sheet as of September 30, 2014. The following table presents a summary of the Company's purchase accounting entries:</w:t>
      </w:r>
    </w:p>
    <w:p>
      <w:pPr>
        <w:spacing w:after="0" w:line="112"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As of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34290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tcPr>
          <w:p>
            <w:pPr>
              <w:jc w:val="right"/>
              <w:ind w:right="710"/>
              <w:spacing w:after="0"/>
              <w:rPr>
                <w:sz w:val="20"/>
                <w:szCs w:val="20"/>
                <w:color w:val="auto"/>
              </w:rPr>
            </w:pPr>
            <w:r>
              <w:rPr>
                <w:rFonts w:ascii="Arial" w:cs="Arial" w:eastAsia="Arial" w:hAnsi="Arial"/>
                <w:sz w:val="18"/>
                <w:szCs w:val="18"/>
                <w:color w:val="auto"/>
              </w:rPr>
              <w:t>(in millions)</w:t>
            </w:r>
          </w:p>
        </w:tc>
      </w:tr>
      <w:tr>
        <w:trPr>
          <w:trHeight w:val="27"/>
        </w:trPr>
        <w:tc>
          <w:tcPr>
            <w:tcW w:w="8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w:t>
            </w:r>
          </w:p>
        </w:tc>
        <w:tc>
          <w:tcPr>
            <w:tcW w:w="48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spacing w:after="0"/>
              <w:rPr>
                <w:sz w:val="23"/>
                <w:szCs w:val="23"/>
                <w:color w:val="auto"/>
              </w:rPr>
            </w:pPr>
          </w:p>
        </w:tc>
      </w:tr>
      <w:tr>
        <w:trPr>
          <w:trHeight w:val="297"/>
        </w:trPr>
        <w:tc>
          <w:tcPr>
            <w:tcW w:w="8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consideration</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941.8</w:t>
            </w:r>
          </w:p>
        </w:tc>
      </w:tr>
      <w:tr>
        <w:trPr>
          <w:trHeight w:val="311"/>
        </w:trPr>
        <w:tc>
          <w:tcPr>
            <w:tcW w:w="8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tc>
        <w:tc>
          <w:tcPr>
            <w:tcW w:w="48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472.1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48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rPr>
              <w:t>480.6</w:t>
            </w:r>
          </w:p>
        </w:tc>
      </w:tr>
      <w:tr>
        <w:trPr>
          <w:trHeight w:val="27"/>
        </w:trPr>
        <w:tc>
          <w:tcPr>
            <w:tcW w:w="8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4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7"/>
        </w:trPr>
        <w:tc>
          <w:tcPr>
            <w:tcW w:w="8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941.8</w:t>
            </w:r>
          </w:p>
        </w:tc>
      </w:tr>
      <w:tr>
        <w:trPr>
          <w:trHeight w:val="20"/>
        </w:trPr>
        <w:tc>
          <w:tcPr>
            <w:tcW w:w="8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following unaudited, pro forma results of operations are provided for the nine months ended September 30, 2014, and the three and nine months ended September 30, 2013. Pro forma results are not provided for the three months ended September 30, 2014, because the Permian Basin Acquisition occurred during the first quarter of 2014, and therefore there is no pro forma impact on the third quarter of 2014.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and nine months ended September 30, 2014 and 2013,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5"/>
              </w:rPr>
              <w:t>Three Months Ended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2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Actual</w:t>
            </w: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Pro forma</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Pro forma</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Pro forma</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7"/>
          </w:tcPr>
          <w:p>
            <w:pPr>
              <w:ind w:left="20"/>
              <w:spacing w:after="0"/>
              <w:rPr>
                <w:sz w:val="20"/>
                <w:szCs w:val="20"/>
                <w:color w:val="auto"/>
              </w:rPr>
            </w:pPr>
            <w:r>
              <w:rPr>
                <w:rFonts w:ascii="Arial" w:cs="Arial" w:eastAsia="Arial" w:hAnsi="Arial"/>
                <w:sz w:val="18"/>
                <w:szCs w:val="18"/>
                <w:color w:val="auto"/>
                <w:w w:val="96"/>
              </w:rPr>
              <w:t>(in millions,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776.5</w:t>
            </w:r>
          </w:p>
        </w:tc>
        <w:tc>
          <w:tcPr>
            <w:tcW w:w="220" w:type="dxa"/>
            <w:vAlign w:val="bottom"/>
          </w:tcPr>
          <w:p>
            <w:pPr>
              <w:spacing w:after="0"/>
              <w:rPr>
                <w:sz w:val="23"/>
                <w:szCs w:val="23"/>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2,614.7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2,640.8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2,195.4</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QEP</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w w:val="98"/>
              </w:rPr>
              <w:t>Earnings per common share attributable to QEP</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June 2014, QEP Energy sold its interests in certain non-core properties in the Midcontinent area and other non-core assets in the Williston Basin for total cash proceeds of $702.3 million, subject to post-closing purchase price adjustments, and recorded a pre-tax loss of $210.4 million on QEP's Statements of Operations and Condensed Consolidated Statement of Operations in "Net loss from asset sales" for the nine months ended September 30, 2014. An additional $28.7 million of consideration is currently being held in escrow related to unresolved title defects.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December 2013, QEP's Board of Directors authorized the Company to develop a plan to separate its midstream business, QEP Field Services, including the Company's interest in QEP Midstream, from QEP. Between December 2013 and September 2014, the Company evaluated transaction alternatives, including selling or merging the midstream business or spinning the midstream business off to its shareholders. In June 2014, QEP filed a registration statement on Form 10 with the SEC in preparation for a potential spinoff of QEP Field Services as a separate publicly traded company. Concurrently, the Company evaluated selling or merging its midstream business. In September 2014, based on the proposals received, the Company's Board of Directors authorized QEP's management to engage in the negotiation of terms of a definitive transaction with Tesoro. In October 2014, the Company announced that its wholly owned subsidiary, QEP Field Services, had entered into a definitive agreement to sell substantially all of its midstream business, including the Company's ownership interest in QEP Midstream to Tesoro in an all cash transaction valued at $2.5 billion, including $230.0 million to refinance debt at QEP Midstream. </w:t>
      </w:r>
      <w:r>
        <w:rPr>
          <w:rFonts w:ascii="Arial" w:cs="Arial" w:eastAsia="Arial" w:hAnsi="Arial"/>
          <w:sz w:val="17"/>
          <w:szCs w:val="17"/>
          <w:color w:val="333333"/>
        </w:rPr>
        <w:t>The</w:t>
      </w:r>
      <w:r>
        <w:rPr>
          <w:rFonts w:ascii="Arial" w:cs="Arial" w:eastAsia="Arial" w:hAnsi="Arial"/>
          <w:sz w:val="17"/>
          <w:szCs w:val="17"/>
          <w:color w:val="auto"/>
        </w:rPr>
        <w:t xml:space="preserve"> </w:t>
      </w:r>
      <w:r>
        <w:rPr>
          <w:rFonts w:ascii="Arial" w:cs="Arial" w:eastAsia="Arial" w:hAnsi="Arial"/>
          <w:sz w:val="17"/>
          <w:szCs w:val="17"/>
          <w:color w:val="333333"/>
        </w:rPr>
        <w:t xml:space="preserve">transaction is subject to customary closing conditions and regulatory approvals, and is expected to close before year-end 2014. </w:t>
      </w:r>
      <w:r>
        <w:rPr>
          <w:rFonts w:ascii="Arial" w:cs="Arial" w:eastAsia="Arial" w:hAnsi="Arial"/>
          <w:sz w:val="17"/>
          <w:szCs w:val="17"/>
          <w:color w:val="000000"/>
        </w:rPr>
        <w:t>On October 31, 2014, the</w:t>
      </w:r>
      <w:r>
        <w:rPr>
          <w:rFonts w:ascii="Arial" w:cs="Arial" w:eastAsia="Arial" w:hAnsi="Arial"/>
          <w:sz w:val="17"/>
          <w:szCs w:val="17"/>
          <w:color w:val="333333"/>
        </w:rPr>
        <w:t xml:space="preserve"> </w:t>
      </w:r>
      <w:r>
        <w:rPr>
          <w:rFonts w:ascii="Arial" w:cs="Arial" w:eastAsia="Arial" w:hAnsi="Arial"/>
          <w:sz w:val="17"/>
          <w:szCs w:val="17"/>
          <w:color w:val="000000"/>
        </w:rPr>
        <w:t>Federal Trade Commission granted early termination, ending the Hart Scott Rodino waiting period for the transaction. The decision to sell the midstream business is a result of the Company’s ongoing review of strategic alternatives to maximize shareholder value and represents a significant milestone in the strategic repositioning of the Company. As of September 30, 2014, the operating results and financial position of QEP Field Services, excluding its retained ownership of the Haynesville Gathering System, were classified as discontinued operations as well as assets and liabilities held for sale on its balance sheet. After the transaction closes, QEP will have continuing cash outflows to our discontinued midstream business for gathering, processing and water handling costs in Pinedale, the Uinta Basin and a portion of its Williston Basin operations. These contracts vary in length from month-to-month to over a year and will be reviewed periodically in the normal course of business. Historically, these transactions were eliminated in consolidation, as they represented transactions between two related entities and are now reflected as part of the continuing operations for QEP. For the three months ended September 30, 2014 and 2013, cash outflows for these transactions that are included in continuing operations were $19.0 million and $25.9 million, respectively. For the nine months ended September 30, 2014 and 2013, cash outflows for these transactions that are included in continuing operations were $64.1 million and $67.2 million, respectively.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Condensed Consolidated Income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discontinued operations of QEP Field Services (excluding results of the Haynesville Gathering System) are summarized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3"/>
                <w:szCs w:val="23"/>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9"/>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9"/>
          </w:tcPr>
          <w:p>
            <w:pPr>
              <w:ind w:left="660"/>
              <w:spacing w:after="0"/>
              <w:rPr>
                <w:sz w:val="20"/>
                <w:szCs w:val="20"/>
                <w:color w:val="auto"/>
              </w:rPr>
            </w:pPr>
            <w:r>
              <w:rPr>
                <w:rFonts w:ascii="Arial" w:cs="Arial" w:eastAsia="Arial" w:hAnsi="Arial"/>
                <w:sz w:val="18"/>
                <w:szCs w:val="18"/>
                <w:color w:val="auto"/>
                <w:w w:val="94"/>
              </w:rPr>
              <w:t>(in millions, except per share amounts)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NGL sales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Purchased gas, oil and NGL sales</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Purchased gas, oil and NGL expense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0"/>
        </w:trPr>
        <w:tc>
          <w:tcPr>
            <w:tcW w:w="6860" w:type="dxa"/>
            <w:vAlign w:val="bottom"/>
          </w:tcPr>
          <w:p>
            <w:pPr>
              <w:ind w:left="40"/>
              <w:spacing w:after="0" w:line="270" w:lineRule="exact"/>
              <w:rPr>
                <w:sz w:val="20"/>
                <w:szCs w:val="20"/>
                <w:color w:val="auto"/>
              </w:rPr>
            </w:pPr>
            <w:r>
              <w:rPr>
                <w:rFonts w:ascii="Arial" w:cs="Arial" w:eastAsia="Arial" w:hAnsi="Arial"/>
                <w:sz w:val="18"/>
                <w:szCs w:val="18"/>
                <w:color w:val="auto"/>
              </w:rPr>
              <w:t>Lease operating expense</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Natural gas, oil and NGL transport &amp; other handling costs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Gathering, processing, and other</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Production and property taxes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asset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and other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4"/>
        </w:trPr>
        <w:tc>
          <w:tcPr>
            <w:tcW w:w="68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INCOME FROM DISCONTINUED OPERATIONS BEFORE INCOME TAXES </w:t>
            </w:r>
            <w:r>
              <w:rPr>
                <w:rFonts w:ascii="Arial" w:cs="Arial" w:eastAsia="Arial" w:hAnsi="Arial"/>
                <w:sz w:val="25"/>
                <w:szCs w:val="25"/>
                <w:color w:val="auto"/>
                <w:vertAlign w:val="superscript"/>
              </w:rPr>
              <w:t>(2)</w:t>
            </w: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108.6</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1"/>
        </w:trPr>
        <w:tc>
          <w:tcPr>
            <w:tcW w:w="6860" w:type="dxa"/>
            <w:vAlign w:val="bottom"/>
          </w:tcPr>
          <w:p>
            <w:pPr>
              <w:ind w:left="40"/>
              <w:spacing w:after="0"/>
              <w:rPr>
                <w:sz w:val="20"/>
                <w:szCs w:val="20"/>
                <w:color w:val="auto"/>
              </w:rPr>
            </w:pPr>
            <w:r>
              <w:rPr>
                <w:rFonts w:ascii="Arial" w:cs="Arial" w:eastAsia="Arial" w:hAnsi="Arial"/>
                <w:sz w:val="18"/>
                <w:szCs w:val="18"/>
                <w:color w:val="auto"/>
              </w:rPr>
              <w:t xml:space="preserve">NET INCOME FROM </w:t>
            </w:r>
            <w:r>
              <w:rPr>
                <w:rFonts w:ascii="Arial" w:cs="Arial" w:eastAsia="Arial" w:hAnsi="Arial"/>
                <w:sz w:val="19"/>
                <w:szCs w:val="19"/>
                <w:color w:val="auto"/>
              </w:rPr>
              <w:t>DISCONTINUED</w:t>
            </w:r>
            <w:r>
              <w:rPr>
                <w:rFonts w:ascii="Arial" w:cs="Arial" w:eastAsia="Arial" w:hAnsi="Arial"/>
                <w:sz w:val="18"/>
                <w:szCs w:val="18"/>
                <w:color w:val="auto"/>
              </w:rPr>
              <w:t xml:space="preserve">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1"/>
        </w:trPr>
        <w:tc>
          <w:tcPr>
            <w:tcW w:w="6860" w:type="dxa"/>
            <w:vAlign w:val="bottom"/>
          </w:tcPr>
          <w:p>
            <w:pPr>
              <w:ind w:left="40"/>
              <w:spacing w:after="0"/>
              <w:rPr>
                <w:sz w:val="20"/>
                <w:szCs w:val="20"/>
                <w:color w:val="auto"/>
              </w:rPr>
            </w:pPr>
            <w:r>
              <w:rPr>
                <w:rFonts w:ascii="Arial" w:cs="Arial" w:eastAsia="Arial" w:hAnsi="Arial"/>
                <w:sz w:val="20"/>
                <w:szCs w:val="20"/>
                <w:color w:val="auto"/>
              </w:rPr>
              <w:t xml:space="preserve">NET INCOME FROM DISCONTINUED </w:t>
            </w:r>
            <w:r>
              <w:rPr>
                <w:rFonts w:ascii="Arial" w:cs="Arial" w:eastAsia="Arial" w:hAnsi="Arial"/>
                <w:sz w:val="18"/>
                <w:szCs w:val="18"/>
                <w:color w:val="auto"/>
              </w:rPr>
              <w:t>OPERATIONS, NET OF INCOME TAX</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0"/>
                <w:szCs w:val="20"/>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20"/>
                <w:szCs w:val="20"/>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158"/>
        </w:trPr>
        <w:tc>
          <w:tcPr>
            <w:tcW w:w="686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Includes discontinued intercompany eliminations</w:t>
      </w:r>
    </w:p>
    <w:p>
      <w:pPr>
        <w:spacing w:after="0" w:line="1" w:lineRule="exact"/>
        <w:rPr>
          <w:rFonts w:ascii="Arial" w:cs="Arial" w:eastAsia="Arial" w:hAnsi="Arial"/>
          <w:sz w:val="23"/>
          <w:szCs w:val="23"/>
          <w:color w:val="auto"/>
          <w:vertAlign w:val="superscript"/>
        </w:rPr>
      </w:pPr>
    </w:p>
    <w:p>
      <w:pPr>
        <w:ind w:right="100" w:firstLine="8"/>
        <w:spacing w:after="0" w:line="254" w:lineRule="auto"/>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income from discontinued operations before income taxes attributable to QEP from QEP Midstream (of which QEP owns 57.8%) of $7.9 million and $20.4 million for the three and nine months ended September 30, 2014, respectively, and $7.9 million and $26.2 million for the three and nine months ended September 30,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-563245</wp:posOffset>
            </wp:positionV>
            <wp:extent cx="2889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Condensed Consolidated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noncurrent assets and liabilities of QEP Field Services, excluding the retained Haynesville Gathering System,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income taxes - current</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97"/>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Current assets of discontinued operations held for sale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122.0</w:t>
            </w:r>
          </w:p>
        </w:tc>
      </w:tr>
      <w:tr>
        <w:trPr>
          <w:trHeight w:val="338"/>
        </w:trPr>
        <w:tc>
          <w:tcPr>
            <w:tcW w:w="8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 field services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Material and supplies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1,505.6</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 field services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r>
      <w:tr>
        <w:trPr>
          <w:trHeight w:val="237"/>
        </w:trPr>
        <w:tc>
          <w:tcPr>
            <w:tcW w:w="800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1,124.0</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 of discontinued operations held for sale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1,167.7</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38"/>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 of discontinued operations held for sale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38"/>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195.7</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liabilities of discontinued operations held for sale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Statement of Cash Flows</w:t>
      </w:r>
    </w:p>
    <w:p>
      <w:pPr>
        <w:spacing w:after="0" w:line="22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color w:val="auto"/>
        </w:rPr>
        <w:t>The impact of the QEP Field Services discontinued operations, excluding the Haynesville Gathering System, on the Condensed Consolidated Statement of Cash Flows for "Depreciation, depletion and amortization" contained in "Cash flows from operating activities" was $43.1 million and $37.8 million for the nine months ended September 30, 2014 and 2013, respectively. The impact on cash used for "Property, plant and equipment, including dry exploratory well expense" contained in "Cash flows from investing activities" was $45.6 million and $57.4 million for the nine months ended September 30, 2014 and 2013,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Unvested equity-based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nine months ended September 30, 2014 and 2013, there were no anti-dilutive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31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86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$163.2 million and $165.1 million ARO liability for continuing operations for the periods ended September 30, 2014 and December 31, 2013, $0.9 million and $1.8 million was included, respectively, as a current liability in "Accounts payable and accrued expenses"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is a reconciliation of the changes in the Company's ARO for continuing operations for the periods specified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ARO liability at January 1,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Additions</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Liabilities settled</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line="264" w:lineRule="exact"/>
              <w:rPr>
                <w:sz w:val="20"/>
                <w:szCs w:val="20"/>
                <w:color w:val="auto"/>
              </w:rPr>
            </w:pPr>
            <w:r>
              <w:rPr>
                <w:rFonts w:ascii="Arial" w:cs="Arial" w:eastAsia="Arial" w:hAnsi="Arial"/>
                <w:sz w:val="18"/>
                <w:szCs w:val="18"/>
                <w:color w:val="auto"/>
              </w:rPr>
              <w:t>ARO liability at September 30,</w:t>
            </w:r>
            <w:r>
              <w:rPr>
                <w:rFonts w:ascii="Arial" w:cs="Arial" w:eastAsia="Arial" w:hAnsi="Arial"/>
                <w:sz w:val="25"/>
                <w:szCs w:val="25"/>
                <w:color w:val="auto"/>
                <w:vertAlign w:val="superscript"/>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163.2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Excludes $28.5 million of ARO classified as liabilities held for sale on the Condensed Consolidated Balance Sheet.</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Additions include $9.7 million related to the Permian Basin Acquisition (see Note 3 - Acquisitions and Divestitures).</w:t>
      </w:r>
    </w:p>
    <w:p>
      <w:pPr>
        <w:spacing w:after="0" w:line="1" w:lineRule="exact"/>
        <w:rPr>
          <w:rFonts w:ascii="Arial" w:cs="Arial" w:eastAsia="Arial" w:hAnsi="Arial"/>
          <w:sz w:val="21"/>
          <w:szCs w:val="21"/>
          <w:color w:val="auto"/>
          <w:vertAlign w:val="superscript"/>
        </w:rPr>
      </w:pPr>
    </w:p>
    <w:p>
      <w:pPr>
        <w:ind w:left="200" w:hanging="192"/>
        <w:spacing w:after="0" w:line="194" w:lineRule="auto"/>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Settlements include $20.2 million related to the property sales in the second quarter of 2014 (see Note 3 - Acquisitions and Divestitures).</w:t>
      </w:r>
    </w:p>
    <w:p>
      <w:pPr>
        <w:spacing w:after="0" w:line="2" w:lineRule="exact"/>
        <w:rPr>
          <w:rFonts w:ascii="Arial" w:cs="Arial" w:eastAsia="Arial" w:hAnsi="Arial"/>
          <w:sz w:val="23"/>
          <w:szCs w:val="23"/>
          <w:color w:val="auto"/>
          <w:vertAlign w:val="superscript"/>
        </w:rPr>
      </w:pPr>
    </w:p>
    <w:p>
      <w:pPr>
        <w:ind w:left="180" w:hanging="172"/>
        <w:spacing w:after="0" w:line="213"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Excludes $29.9 million of ARO classified as liabilities held for sale on the Condensed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fair-value measurements.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8 -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fair value measurements of financial assets and liabilities at September 30, 2014, are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September 30, 2014</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45.3</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2013,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2013</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40" w:firstLine="8"/>
        <w:spacing w:after="0" w:line="287"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accompanying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3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3,115.5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3,209.3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3,034.9</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remaining reserve lives. A reconciliation of the Company’s ARO is presented in Note 6 – Asset Retirement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gas sales and purchases for marketing transactions. QEP does not enter into commodity derivative instruments for speculative purposes.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to realize a known price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or oil price swaps that use IntercontinentalExchange, Inc. (ICE), Brent oil prices as the reference price. QEP also enters into crude oil basis swaps to achieve a fixed price swap for a portion of its oil that it sells at prices that reference ICE Brent and Light Louisiana Sweet (LLS).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Effective January 1, 2012, QEP elected to de-designate all of its gas,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Statements of Operations as the transactions settle and affect earnings. During the nine months ended September 30, 2013, $60.4 million of unrealized gains, after tax, were reclassified from AOCI into the Condensed Consolidated Statements of Operations in "Realized and unrealized losses on derivative contracts" as the transactions settled. All realized and unrealized gains and losses from derivative instruments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right="560"/>
        <w:spacing w:after="0" w:line="277" w:lineRule="auto"/>
        <w:rPr>
          <w:sz w:val="20"/>
          <w:szCs w:val="20"/>
          <w:color w:val="auto"/>
        </w:rPr>
      </w:pPr>
      <w:r>
        <w:rPr>
          <w:rFonts w:ascii="Arial" w:cs="Arial" w:eastAsia="Arial" w:hAnsi="Arial"/>
          <w:sz w:val="18"/>
          <w:szCs w:val="18"/>
          <w:color w:val="auto"/>
        </w:rPr>
        <w:t>incurred after January 1, 2012, are presented in the Condensed Consolidated Statements of Operations in "Realized and unrealized losses on derivative contracts" below operating income.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QEP also uses interest rate swaps to mitigate a portion of its exposure to interest rate volatility risk associated with its $600.0 million term loan. For the $300.0 million term loan issued during 2012, QEP locked in a fixed interest rate of 1.07% in exchange for a variable interest rate indexed to the one-month LIBOR. For the incremental $300.0 million borrowed under the term loan during 2014, QEP locked in a fixed interest rate of 0.86%. The average effective interest rate on the $600.0 million term loan when combined with the fixed interest rate swaps for the nine months ended September 30, 2014 was 3.21%. The interest rate swaps settle monthly and will mature in March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September 30,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2"/>
              </w:rPr>
              <w:t>price per unit</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center"/>
              <w:ind w:right="3090"/>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900" w:type="dxa"/>
            <w:vAlign w:val="bottom"/>
          </w:tcPr>
          <w:p>
            <w:pPr>
              <w:jc w:val="center"/>
              <w:ind w:right="309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402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r>
      <w:tr>
        <w:trPr>
          <w:trHeight w:val="243"/>
        </w:trPr>
        <w:tc>
          <w:tcPr>
            <w:tcW w:w="3900" w:type="dxa"/>
            <w:vAlign w:val="bottom"/>
          </w:tcPr>
          <w:p>
            <w:pPr>
              <w:jc w:val="center"/>
              <w:ind w:right="309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90.04</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ind w:right="309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BRENT ICE</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243"/>
        </w:trPr>
        <w:tc>
          <w:tcPr>
            <w:tcW w:w="3900" w:type="dxa"/>
            <w:vAlign w:val="bottom"/>
          </w:tcPr>
          <w:p>
            <w:pPr>
              <w:jc w:val="center"/>
              <w:ind w:right="309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oil basis swaps as of September 30,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Total 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56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September 30,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4020" w:type="dxa"/>
            <w:vAlign w:val="bottom"/>
            <w:gridSpan w:val="2"/>
          </w:tcPr>
          <w:p>
            <w:pPr>
              <w:ind w:left="178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notional amount and interest rate for its interest rate swaps outstanding as of September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Notional amount</w:t>
            </w:r>
          </w:p>
        </w:tc>
        <w:tc>
          <w:tcPr>
            <w:tcW w:w="12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Maturity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Fixed Rate Paid</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Variable Rate Received</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One-month LIBOR</w:t>
            </w:r>
          </w:p>
        </w:tc>
      </w:tr>
      <w:tr>
        <w:trPr>
          <w:trHeight w:val="243"/>
        </w:trPr>
        <w:tc>
          <w:tcPr>
            <w:tcW w:w="344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0.86%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3"/>
              </w:rPr>
              <w:t>One-month LIBOR</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$600.0</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3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Gross asset derivative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1"/>
              </w:rPr>
              <w:t>Gross liability derivative</w:t>
            </w:r>
          </w:p>
        </w:tc>
        <w:tc>
          <w:tcPr>
            <w:tcW w:w="56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0"/>
              </w:rPr>
              <w:t>instruments fair value</w:t>
            </w:r>
          </w:p>
        </w:tc>
        <w:tc>
          <w:tcPr>
            <w:tcW w:w="56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2013</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2013</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3"/>
          </w:tcPr>
          <w:p>
            <w:pPr>
              <w:jc w:val="center"/>
              <w:ind w:left="31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3"/>
          </w:tcPr>
          <w:p>
            <w:pPr>
              <w:jc w:val="center"/>
              <w:ind w:left="330"/>
              <w:spacing w:after="0"/>
              <w:rPr>
                <w:sz w:val="20"/>
                <w:szCs w:val="20"/>
                <w:color w:val="auto"/>
              </w:rPr>
            </w:pPr>
            <w:r>
              <w:rPr>
                <w:rFonts w:ascii="Arial" w:cs="Arial" w:eastAsia="Arial" w:hAnsi="Arial"/>
                <w:sz w:val="18"/>
                <w:szCs w:val="18"/>
                <w:color w:val="auto"/>
                <w:w w:val="98"/>
              </w:rPr>
              <w:t>(in millions)</w:t>
            </w:r>
          </w:p>
        </w:tc>
        <w:tc>
          <w:tcPr>
            <w:tcW w:w="56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The effects of the change in fair value and settlement of QEP's derivative contracts recorded in "Realized and unrealized losses on derivative contracts"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summarized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0"/>
                <w:szCs w:val="20"/>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Nine Months Ended</w:t>
            </w:r>
          </w:p>
        </w:tc>
      </w:tr>
      <w:tr>
        <w:trPr>
          <w:trHeight w:val="270"/>
        </w:trPr>
        <w:tc>
          <w:tcPr>
            <w:tcW w:w="5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7"/>
              </w:rPr>
              <w:t>September 30,</w:t>
            </w:r>
          </w:p>
        </w:tc>
        <w:tc>
          <w:tcPr>
            <w:tcW w:w="400" w:type="dxa"/>
            <w:vAlign w:val="bottom"/>
          </w:tcPr>
          <w:p>
            <w:pPr>
              <w:spacing w:after="0"/>
              <w:rPr>
                <w:sz w:val="23"/>
                <w:szCs w:val="23"/>
                <w:color w:val="auto"/>
              </w:rPr>
            </w:pPr>
          </w:p>
        </w:tc>
        <w:tc>
          <w:tcPr>
            <w:tcW w:w="21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r>
      <w:tr>
        <w:trPr>
          <w:trHeight w:val="27"/>
        </w:trPr>
        <w:tc>
          <w:tcPr>
            <w:tcW w:w="5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23"/>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600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000" w:type="dxa"/>
            <w:vAlign w:val="bottom"/>
            <w:gridSpan w:val="2"/>
          </w:tcPr>
          <w:p>
            <w:pPr>
              <w:ind w:left="500"/>
              <w:spacing w:after="0"/>
              <w:rPr>
                <w:sz w:val="20"/>
                <w:szCs w:val="20"/>
                <w:color w:val="auto"/>
              </w:rPr>
            </w:pPr>
            <w:r>
              <w:rPr>
                <w:rFonts w:ascii="Arial" w:cs="Arial" w:eastAsia="Arial" w:hAnsi="Arial"/>
                <w:sz w:val="18"/>
                <w:szCs w:val="18"/>
                <w:color w:val="auto"/>
              </w:rPr>
              <w:t>Total unrealized gains (losses) on commodity derivative contracts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Total realized and unrealized gains (losses) on commodity derivative contracts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gains (losses) on interest rate swaps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600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(losses) on derivative contracts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107.1</w:t>
            </w:r>
          </w:p>
        </w:tc>
      </w:tr>
      <w:tr>
        <w:trPr>
          <w:trHeight w:val="27"/>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gains (losses) on derivative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57"/>
        </w:trPr>
        <w:tc>
          <w:tcPr>
            <w:tcW w:w="600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r>
      <w:tr>
        <w:trPr>
          <w:trHeight w:val="20"/>
        </w:trPr>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Restructuring Costs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2013, QEP announced its plan to pursue a separation of its midstream business, QEP Field Services. In connection with this announcement, the Board of Directors approved an employee retention plan to provide substantially all QEP Field Services' employees as of December 1, 2013, with a one-time lump-sum cash payment on the earlier of December 31, 2014, or whenever the separation of QEP Field Services occurs, conditioned on continued employment with QEP Field Services or a successor through the payment date unless the employee is terminated prior to such date. QEP expects to recognize $10.3 million of costs under this retention plan and has $7.9 million accrued since inception as of September 30, 2014. During the three and nine months ended September 30, 2014, $2.3 million and $7.1 million, respectively, was accrued under this retention plan, and are included in "Discontinued operations, net of income tax" on the Condensed Consolidated Statements of Operations.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2012, QEP began incurring costs related to the closure of its Oklahoma City office and the subsequent consolidation of its Southern Region operations into a single regional office located in Tulsa. Additionally, during 2012, QEP began incurring additional restructuring and reorganization costs related to consolidating various corporate and accounting functions to the Denver corporate headquarters. The creation of one office for QEP’s Southern Region as well as the consolidation of corporate and accounting functions increased efficiency, team-based collaboration and organizational productivity. As part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0" w:name="page21"/>
    <w:bookmarkEnd w:id="20"/>
    <w:p>
      <w:pPr>
        <w:jc w:val="both"/>
        <w:ind w:right="220"/>
        <w:spacing w:after="0" w:line="286" w:lineRule="auto"/>
        <w:rPr>
          <w:sz w:val="20"/>
          <w:szCs w:val="20"/>
          <w:color w:val="auto"/>
        </w:rPr>
      </w:pPr>
      <w:r>
        <w:rPr>
          <w:rFonts w:ascii="Arial" w:cs="Arial" w:eastAsia="Arial" w:hAnsi="Arial"/>
          <w:sz w:val="17"/>
          <w:szCs w:val="17"/>
          <w:color w:val="auto"/>
        </w:rPr>
        <w:t>reorganization, QEP incurred costs associated with the severance, retention and relocation of employees, additional pension expenses, exit costs associated with the termination of operating leases arising from office space that will no longer be utilized by the Company and other expenses. All restructuring costs related to the 2012 office consolidations and continued operations were incurred and settled by December 31, 2013.</w:t>
      </w:r>
    </w:p>
    <w:p>
      <w:pPr>
        <w:spacing w:after="0" w:line="1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summarizes, by line of business, each major type of restructuring cost expected to be incurred and the total amounts recorded in "General and administrative" expense on the Condensed Consolidated Statements of Operations for the respective periods indicated: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00" w:type="dxa"/>
            <w:vAlign w:val="bottom"/>
            <w:gridSpan w:val="9"/>
          </w:tcPr>
          <w:p>
            <w:pPr>
              <w:ind w:left="20"/>
              <w:spacing w:after="0"/>
              <w:rPr>
                <w:sz w:val="20"/>
                <w:szCs w:val="20"/>
                <w:color w:val="auto"/>
              </w:rPr>
            </w:pPr>
            <w:r>
              <w:rPr>
                <w:rFonts w:ascii="Arial" w:cs="Arial" w:eastAsia="Arial" w:hAnsi="Arial"/>
                <w:sz w:val="18"/>
                <w:szCs w:val="18"/>
                <w:b w:val="1"/>
                <w:bCs w:val="1"/>
                <w:color w:val="auto"/>
              </w:rPr>
              <w:t>Total Restructuring Costs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6"/>
          </w:tcPr>
          <w:p>
            <w:pPr>
              <w:ind w:left="400"/>
              <w:spacing w:after="0"/>
              <w:rPr>
                <w:sz w:val="20"/>
                <w:szCs w:val="20"/>
                <w:color w:val="auto"/>
              </w:rPr>
            </w:pPr>
            <w:r>
              <w:rPr>
                <w:rFonts w:ascii="Arial" w:cs="Arial" w:eastAsia="Arial" w:hAnsi="Arial"/>
                <w:sz w:val="18"/>
                <w:szCs w:val="18"/>
                <w:b w:val="1"/>
                <w:bCs w:val="1"/>
                <w:color w:val="auto"/>
                <w:w w:val="88"/>
              </w:rPr>
              <w:t>Recognized in Income</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194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95"/>
        </w:trPr>
        <w:tc>
          <w:tcPr>
            <w:tcW w:w="4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Inception to</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00" w:type="dxa"/>
            <w:vAlign w:val="bottom"/>
            <w:gridSpan w:val="6"/>
            <w:vMerge w:val="restart"/>
          </w:tcPr>
          <w:p>
            <w:pPr>
              <w:ind w:left="3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0"/>
                <w:szCs w:val="10"/>
                <w:color w:val="auto"/>
              </w:rPr>
            </w:pPr>
          </w:p>
        </w:tc>
        <w:tc>
          <w:tcPr>
            <w:tcW w:w="1940" w:type="dxa"/>
            <w:vAlign w:val="bottom"/>
            <w:gridSpan w:val="4"/>
            <w:vMerge w:val="restart"/>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Expected to</w:t>
            </w:r>
          </w:p>
        </w:tc>
        <w:tc>
          <w:tcPr>
            <w:tcW w:w="14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4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be Incurred</w:t>
            </w: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Marketing &amp; Other</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Total QEP</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QEP's revolving credit facility, term loan and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QEP's revolving credit facility due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Term loan due 2017</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6.05% Senior Notes due 2016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2018</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6.875% Senior Notes due 2021</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5.25% Senior Notes due 2023</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amount of debt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3,001.8</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Less unamortized discount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2,997.5</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21" w:name="page22"/>
    <w:bookmarkEnd w:id="21"/>
    <w:p>
      <w:pPr>
        <w:ind w:right="260"/>
        <w:spacing w:after="0" w:line="342" w:lineRule="auto"/>
        <w:rPr>
          <w:sz w:val="20"/>
          <w:szCs w:val="20"/>
          <w:color w:val="auto"/>
        </w:rPr>
      </w:pPr>
      <w:r>
        <w:rPr>
          <w:rFonts w:ascii="Arial" w:cs="Arial" w:eastAsia="Arial" w:hAnsi="Arial"/>
          <w:sz w:val="16"/>
          <w:szCs w:val="16"/>
          <w:color w:val="auto"/>
        </w:rPr>
        <w:t>Of the total debt outstanding on September 30, 2014, amounts outstanding under QEP's revolving credit facility due August 25, 2016, QEP's term loan due April 18, 2017, the 6.05% Senior Notes due September 1, 2016, and the 6.80% Senior Notes due April 1, 2018, will mature within the next five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QEP’s unsecured revolving credit facility, which matures in August 2016, provides for loan commitments of $1.5 billion from a group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w:t>
      </w:r>
    </w:p>
    <w:p>
      <w:pPr>
        <w:spacing w:after="0" w:line="190"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During the nine months ended September 30, 2014 and 2013, QEP’s weighted-average interest rate on borrowings from its credit facility was 2.22% and 2.56%, respectively. At September 30, 2014 and December 31, 2013, QEP was in compliance with the covenants under the credit agreement. At September 30, 2014, there was $297.5 million outstanding and $3.8 million of letters of credit issued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an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2014 and 2013, QEP’s weighted-average interest rate on borrowings from the term loan was 2.26% and 2.23%, respectively. At September 30, 2014 and December 31, 2013, QEP was in compliance with the covenants under the term loan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At September 30, 2014,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Contingencies,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 QEP's litigation loss contingencies are discussed below. Except for the Rocky Mountain Resources, the Questar Gas Company, and the XTO Energy Inc. matters discussed below, QEP is unable to estimate reasonably possible losses (in excess of recorded accruals, if any) for these contingencies for the reasons set forth above. QEP believes, however, that the resolution of pending proceedings (after accruals, insurance coverage, and indemnification arrangements) will not be material to QEP's financial position, but could be material to results of operations in a particular quarter or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ind w:right="20"/>
        <w:spacing w:after="0" w:line="289" w:lineRule="auto"/>
        <w:rPr>
          <w:sz w:val="20"/>
          <w:szCs w:val="20"/>
          <w:color w:val="auto"/>
        </w:rPr>
      </w:pPr>
      <w:r>
        <w:rPr>
          <w:rFonts w:ascii="Arial" w:cs="Arial" w:eastAsia="Arial" w:hAnsi="Arial"/>
          <w:sz w:val="16"/>
          <w:szCs w:val="16"/>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Rocky Mountain Resources, LLC v. QEP Energy Company, Wexpro Company, Ultra Resources, Inc. and Lance Oil &amp; Gas Company, Inc., </w:t>
      </w:r>
      <w:r>
        <w:rPr>
          <w:rFonts w:ascii="Arial" w:cs="Arial" w:eastAsia="Arial" w:hAnsi="Arial"/>
          <w:sz w:val="16"/>
          <w:szCs w:val="16"/>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On May 7, 2014, the trial court entered its order granting plaintiff's motion for summary judgment on the issue of whether the overriding royalty interest attaches to QEP's lease. On June 17, 2014, the Supreme Court of Wyoming denied QEP's Petition for Writ of Review. On August 21, 2014, the trial court denied QEP’s Motion to Certify Questions of Law to the Wyoming Supreme Court. On October 8, 2014, Rocky Mountain, Ultra Resources, Inc. (Ultra) and Lance Oil and Gas Company (Lance) reached a confidential agreement resolving the application of the 4% override as to production by Ultra and Lance and filed a stipulation to dismiss the lawsuit with respect to Ultra and Lance. The stipulation has no effect on the claims asserted against QEP or Wexpro. There are several affirmative defenses that remain to be tried and QEP continues to vigorously defend the case. A trial date is scheduled for February 2015. QEP estimates, based in part on damages asserted by the plaintiff, that the range of reasonably possible outcomes is no loss to a loss of approximately $20.0 million.</w:t>
      </w:r>
    </w:p>
    <w:p>
      <w:pPr>
        <w:spacing w:after="0" w:line="17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Gatti et al v. State of Louisiana et al, </w:t>
      </w:r>
      <w:r>
        <w:rPr>
          <w:rFonts w:ascii="Arial" w:cs="Arial" w:eastAsia="Arial" w:hAnsi="Arial"/>
          <w:sz w:val="17"/>
          <w:szCs w:val="17"/>
          <w:color w:val="auto"/>
        </w:rPr>
        <w:t>589,350, 19th JDC, Parish of East Baton Rouge, Louisiana. In this putative class action arising out of the unitization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orders of the Louisiana Commissioner of Conservation (Commissioner), plaintiffs seek to represent a class of all Haynesville Shale mineral owners (alleged to be over 50,000 in number) against the Commissioner and all Haynesville Shale unit operators. Plaintiffs filed their complaint on April 8, 2010, and claim that the Commissioner exceeded his statutory authority in creating and perpetuating units larger than the area that can be efficiently and economically drained by a single well. They seek declaratory relief that would nullify all such improper orders, along with an unspecified amount of monetary damages from the unit operators sufficient to compensate the putative class members for the alleged dilution of their true interest in unit production as a result of "oversized" units and the "cloud on title" caused by having excessive and improperly sized units purport to hold their mineral leases via unit operations. All defendants filed exceptions to the plaintiffs' petition on the primary ground that plaintiffs had failed to comply with the exclusive statutory judicial review procedure (Louisiana Revised Statutes 30:12), which the trial court granted, dismissing the action in its entirety. On January 15, 2014, the Louisiana First Circuit Court of Appeal reversed and reinstated plaintiffs' claims. Defendants asked for review by the Louisiana Supreme Court and on August 25, 2014, the Supreme Court reversed the Court of Appeals and dismissed the plaintiffs’ claim without prejudice as originally ordered by the District Court.</w:t>
      </w:r>
    </w:p>
    <w:p>
      <w:pPr>
        <w:spacing w:after="0" w:line="1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Yannick Gagné and others similarly situated v. QEP Resources, Inc., No. 480-06-1-132, </w:t>
      </w:r>
      <w:r>
        <w:rPr>
          <w:rFonts w:ascii="Arial" w:cs="Arial" w:eastAsia="Arial" w:hAnsi="Arial"/>
          <w:sz w:val="18"/>
          <w:szCs w:val="18"/>
          <w:color w:val="auto"/>
        </w:rPr>
        <w:t>Superior Court, Province of Quebec, Canada. Plaintiffs seek to</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The plaintiffs contend that QEP,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 Class certification hearings are ongoing.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related to discontinued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the terms of the Membership Interest Purchase Agreement, dated as of October 19, 2014, by and between QEP Field Services and Tesoro, Tesoro has agreed to indemnify QEP Field Services and its affiliates for any liabilities or claims associated with Questar Gas Company and XTO Energy litigation. Therefore, following the closing of the Tesoro transaction, QEP believes it will have no significant exposure to liability for the following litigation matters.</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Questar Gas Company v. QEP Field Services Company</w:t>
      </w:r>
      <w:r>
        <w:rPr>
          <w:rFonts w:ascii="Arial" w:cs="Arial" w:eastAsia="Arial" w:hAnsi="Arial"/>
          <w:sz w:val="17"/>
          <w:szCs w:val="17"/>
          <w:color w:val="auto"/>
        </w:rPr>
        <w:t>, Civil No. 120902969, Third Judicial District Court, State of Utah. QEP Field Services' former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Questar Gas Company (QGC), filed this complaint in state court in Utah on May 1, 2012, asserting claims for breach of contract, breach of implied covenant of good faith and fair dealing, and an accounting and declaratory judgment related to a 1993 gathering agreement (the 1993 Agreement) executed when the parties were affiliates. Specific monetary damages are not asserted. Under the 1993 Agreement, certain of QEP Field Services' systems provide gathering services to QGC charging an annual gathering rate which is based on the cost of service. QGC is disputing the annual calculation of the gathering rate. The annual gathering rate has been calculated in the same manner under the 1993 Agreement since it was amended in 1998, without any prior objection or challenge by QGC. At the closing of the QEP Midstream initial public offering (IPO), the assets and agreement discussed above were assigned to QEP Midstream. QGC amended its complaint to add QEP Midstream as a defendant in the litigation. QEP agreed to indemnify QEP Midstream for costs, expenses and other losses incurred by QEP Midstream in connection with the QGC dispute, subject to certain limitations, as set forth in the Omnibus Agreement entered into between QEP Midstream and QEP in connection with the IPO. QGC netted the disputed amount from its monthly payments of the gathering fees to QEP Field Services and has continued to net such amounts from its monthly payment to QEP Midstream. As of September 30, 2014, QEP Midstream has deferred revenue of $13.2 million, which was included in "Current liabilities of discontinued operations held for sale" on the Condensed Consolidated Balance Sheet, related to the QGC disputed amount. QEP Field Services has filed counterclaims seeking damages and a declaratory judgment relating to its gathering services under the 1993 Agreement.</w:t>
      </w:r>
    </w:p>
    <w:p>
      <w:pPr>
        <w:spacing w:after="0" w:line="1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XTO Energy Inc. v. QEP Field Services Company</w:t>
      </w:r>
      <w:r>
        <w:rPr>
          <w:rFonts w:ascii="Arial" w:cs="Arial" w:eastAsia="Arial" w:hAnsi="Arial"/>
          <w:sz w:val="17"/>
          <w:szCs w:val="17"/>
          <w:color w:val="auto"/>
        </w:rPr>
        <w:t>, Civil No. 140900709, Third Judicial District Court, State of Utah. XTO Energy Inc. (XTO), filed this</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in Utah state court on January 30, 2014, asserting claims for breach of contract, breach of implied covenant of good faith and fair dealing, unjust enrichment and an accounting related to a 2010 gas processing agreement (the Agreement). QEP Field Services processes XTO’s natural gas on a firm basis under the Agreement. The Agreement requires QEP Field Services to transport, fractionate and market XTO’s natural gas liquids derived from XTO’s processed gas. XTO is seeking monetary damages related to QEP Field Services allocation of charges related to XTO’s share of natural gas liquid transportation, fractionation and marketing costs associated with shortfalls in contractual firm processing volumes.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Equity-Based Compensation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equity-based compensation is included in additional paid-in capital in the Condensed Consolidated Balance Sheets. There were 10.9 million shares available for future grants under the LTSIP at September 30, 2014. Equity-based compensation expense related to continuing operations is recognized in “General and administrative” on the Condensed Consolidated Statements of Operations, and expenses related to discontinued operations (including compensation expense related to the QEP Midstream Long Term Incentive Plan) are reflected in "Discontinued operations, net of income tax". During the three and nine months ended September 30, 2014 for continuing operations, QEP recognized $6.4 million and $17.7 million in total compensation expense related to equity-based compensation compared to $5.5 million and $17.9 million during the three and nine months ended September 30, 2013, respectively. During the three and nine months ended September 30, 2014 for discontinued operations, QEP recognized $0.9 million and $3.0 million in total compensation expense related to equity-based compensation compared to $1.3 million and $2.1 million during the three and nine months ended September 30, 2013, respectively.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8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8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September 30, 2014</w:t>
            </w:r>
          </w:p>
        </w:tc>
      </w:tr>
      <w:tr>
        <w:trPr>
          <w:trHeight w:val="27"/>
        </w:trPr>
        <w:tc>
          <w:tcPr>
            <w:tcW w:w="8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of awards granted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10.11</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7"/>
        </w:trPr>
        <w:tc>
          <w:tcPr>
            <w:tcW w:w="8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40" w:type="dxa"/>
            <w:vAlign w:val="bottom"/>
            <w:shd w:val="clear" w:color="auto" w:fill="CCEEFF"/>
          </w:tcPr>
          <w:p>
            <w:pPr>
              <w:spacing w:after="0"/>
              <w:rPr>
                <w:sz w:val="21"/>
                <w:szCs w:val="21"/>
                <w:color w:val="auto"/>
              </w:rPr>
            </w:pPr>
          </w:p>
        </w:tc>
        <w:tc>
          <w:tcPr>
            <w:tcW w:w="2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1,794,187</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282,236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1,996,215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September 30, 2014</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1,452,138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27.71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6.2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September 30, 2014</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544,077</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$0.6 million and $4.2 million during the nine months ended September 30, 2014 and 2013, respectively. As of September 30, 2014, $2.7 million of unrecognized compensation cost related to stock options granted under the LTSIP is expected to be recognized over a weighted-average period of 2.05 years. During the nine months ended September 30, 2014, QEP received $1.5 million in cash upon the exercise of stock options during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nine months ended September 30, 2014 and 2013 was $20.2 million and $18.4 million, respectively. The weighted average grant-date fair value of restricted stock was $31.82 per share and $30.03 per share for the nine months ended September 30, 2014 and 2013, respectively. As of September 30, 2014, $18.2 million of unrecognized compensation cost related to restricted shares granted under the LTSIP is expected to be recognized over a weighted-average vesting period of 2.26 years.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1,388,953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968,118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31.82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(116,238)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30.96</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September 30,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1,603,156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$31.71 per share and $30.12 per share for the nine months ended September 30, 2014 and 2013, respectively. As of September 30, 2014, $3.2 million of unrecognized compensation cost, representing the fair market value of performance shares granted, is expected to be recognized over a weighted-average vesting period of 2.07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480,660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252,161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(51,361)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September 30, 2014</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603,385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30.92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40" w:hanging="314"/>
        <w:spacing w:after="0" w:line="211"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Represents units that were not paid out due to not meeting performance targets. Payout of the performance share units is dependent upon the Company’s total shareholder return compared to a group of its peers over a three-year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nine months ended September 30, 2014, the Company made contributions of $8.1 million to its funded qualified pension plan and $4.4 million to its unfunded nonqualified retirement plan. Contributions to funded qualified plans increase plan assets while contributions to unfunded nonqualified plans are used to fund current benefit payments. During the remainder of 2014, the Company expects to contribute $0.6 million to its unfunded nonqualified pension plans and $0.1 million for retiree health care and life insurance benefits. No additional funding in 2014 is expected for its funded qualified pension plan. During the three and nine months ended September 30, 2014 for continuing operations, QEP recognized $1.4 million and $5.5 million, respectively, in recurring employee benefit expense compared to $2.3 million and $7.6 million, respectively, during the three and nine months ended September 30, 2013. During the three and nine months ended September 30, 2014 for discontinued operations, QEP recognized $0.4 million and $1.4 million, respectively, in recurring employee benefit expense compared to $0.7 million and $1.9 million, respectively, during the three and nine months ended September 30, 2013.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ind w:right="160"/>
        <w:spacing w:after="0" w:line="257" w:lineRule="auto"/>
        <w:rPr>
          <w:sz w:val="20"/>
          <w:szCs w:val="20"/>
          <w:color w:val="auto"/>
        </w:rPr>
      </w:pPr>
      <w:r>
        <w:rPr>
          <w:rFonts w:ascii="Arial" w:cs="Arial" w:eastAsia="Arial" w:hAnsi="Arial"/>
          <w:sz w:val="18"/>
          <w:szCs w:val="18"/>
          <w:color w:val="auto"/>
        </w:rPr>
        <w:t>During the nine months ended September 30, 2014, the Company recognized a $2.4 million expense on curtailment and a $0.3 million expense for special termination benefits in connection with the second quarter 2014 property sales in the Midcontinent area (see Note 3 - Acquisitions and Divestitures). A curtailment is recognized immediately when there is a significant reduction in, or an elimination of, defined benefit accruals for present employees' future services. These expenses are included within “Net gain (loss) from asset sales” on the Condensed Consolidated Statement of Operations for the nine months ended September 30,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periodic benefit costs: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Curtailment cost</w:t>
            </w:r>
          </w:p>
        </w:tc>
        <w:tc>
          <w:tcPr>
            <w:tcW w:w="8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0" w:hanging="314"/>
        <w:spacing w:after="0" w:line="211"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AOCI are recognized in the Condensed Consolidated Statements of Operations in "General and administrative."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400"/>
              <w:spacing w:after="0"/>
              <w:rPr>
                <w:sz w:val="20"/>
                <w:szCs w:val="20"/>
                <w:color w:val="auto"/>
              </w:rPr>
            </w:pPr>
            <w:r>
              <w:rPr>
                <w:rFonts w:ascii="Arial" w:cs="Arial" w:eastAsia="Arial" w:hAnsi="Arial"/>
                <w:sz w:val="18"/>
                <w:szCs w:val="18"/>
                <w:b w:val="1"/>
                <w:bCs w:val="1"/>
                <w:color w:val="auto"/>
              </w:rPr>
              <w:t>Postretirement Benefits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2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cost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out of AOCI are recognized in the Condensed Consolidated Statements of Operations in "General and administrative."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QEP’s lines of business include oil and gas exploration and production (QEP Energy); and marketing, the Haynesville Gathering System, an underground storage reservoir, and corporate (QEP Marketing &amp; Other). The lines of business are managed separately and therefore the financial information is presented separately due to the distinct differences in the nature of operations of each line of business, among other factors.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4"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910.0</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417.8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61.1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71.1</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783.1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(loss) gain from asset sales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155.7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57"/>
        </w:trPr>
        <w:tc>
          <w:tcPr>
            <w:tcW w:w="500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8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is a summary of operating results for the three months ended September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gain from assets sales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57"/>
        </w:trPr>
        <w:tc>
          <w:tcPr>
            <w:tcW w:w="582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2,614.7</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2,614.7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775.5</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177.0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198.5</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147.0</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160.8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712.5</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2,184.4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220.0</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Realized and unrealized losses on derivative contracts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57"/>
        </w:trPr>
        <w:tc>
          <w:tcPr>
            <w:tcW w:w="500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8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is a summary of operating results for the nine months ended September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&amp;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2,064.8</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130.2</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719.3</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for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
        </w:trPr>
        <w:tc>
          <w:tcPr>
            <w:tcW w:w="5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October 19, 2014, QEP announced that its wholly owned subsidiary, QEP Field Services, had entered into a definitive agreement to sell its midstream business, including its ownership interest in QEP Midstream, to Tesoro in an all cash transaction valued at $2.5 billion, including $230.0 million to refinance debt at QEP Midstream. QEP will retain ownership of QEP Field Services’ Haynesville Gathering System. The transaction is subject to customary closing conditions and regulatory approvals and is expected to close in the fourth quarter of 2014.</w:t>
      </w:r>
    </w:p>
    <w:p>
      <w:pPr>
        <w:spacing w:after="0" w:line="26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31, 2014, QEP entered into two purchase and sale agreements to divest non-core properties in southern Oklahoma for an aggregate sale price of $108 million, subject to customary purchase price adjustments. The aggregate net book value of the properties being sold is approximately $37 million as of September 30, 2014. Any gain or loss on the sale recorded by the Company will be determined based upon the final purchase price, which is subject to customary purchase price adjustments. The Company expects to close the transactions by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2013 Annual Report on Form 10-K filing and analyzes the changes in the results of operations between the three and nine months ended September 30, 2014 and 2013. For definitions of commonly used oil and gas terms found in this Quarterly Report on Form 10-Q, please refer to the “Glossary of Commonly Used Terms” provided in QEP’s 2013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MD&amp;A focuses on our continuing operations. Discontinued operations are excluded from our MD&amp;A except as indicated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QEP Resources, Inc. (QEP or the Company) is a holding company with two major subsidiaries, QEP Energy Company and QEP Marketing Company, which are engaged in two primary lines of business: (i) oil and gas exploration and production (QEP Energy)and (ii) oil and gas marketing, operation of the Haynesville Gathering System and a underground gas storage reservoir (QEP Marketing and Other).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North Dakota, Wyoming and Utah) and the Southern Region (primarily in Texas and Louisiana) of the United States. QEP's corporate headquarters are located in Denver, Colorado.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our asset portfolio by divesting of non-core assets and midstream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actively market our production to maximize value;</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October 2014, QEP entered into an agreement to sell its midstream business. See "Discontinued Operations" below. QEP believes this decision represents a significant milestone in the strategic repositioning of the Company, as it will be better positioned to deliver continued growth by focusing on its exploration and production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December 2013, QEP's Board of Directors authorized the Company to develop a plan to separate its midstream business, QEP Field Services, including the Company's interest in QEP Midstream Partners, LP (“QEP Midstream”), from QEP. Between December 2013 and September 2014, the Company evaluated transaction alternatives, including selling or merging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2" w:name="page33"/>
    <w:bookmarkEnd w:id="32"/>
    <w:p>
      <w:pPr>
        <w:ind w:right="40"/>
        <w:spacing w:after="0" w:line="287" w:lineRule="auto"/>
        <w:rPr>
          <w:sz w:val="20"/>
          <w:szCs w:val="20"/>
          <w:color w:val="auto"/>
        </w:rPr>
      </w:pPr>
      <w:r>
        <w:rPr>
          <w:rFonts w:ascii="Arial" w:cs="Arial" w:eastAsia="Arial" w:hAnsi="Arial"/>
          <w:sz w:val="16"/>
          <w:szCs w:val="16"/>
          <w:color w:val="auto"/>
        </w:rPr>
        <w:t>midstream business or spinning the midstream business off to its shareholders. In June 2014, QEP filed a registration statement on Form 10 with the U.S. Securities and Exchange Commission (SEC) in preparation for a potential spinoff of QEP Field Services as a separate publicly traded company. Concurrently, the Company evaluated selling or merging its midstream business. In September 2014, based on the proposals received, the Company's Board of Directors authorized QEP's management to engage in the negotiation of terms of a definitive transaction with Tesoro Logistics LP ("Tesoro"). In October 2014, the Company announced that its wholly owned subsidiary, QEP Field Services, had entered into a definitive agreement to sell substantially all of its midstream business, including the Company's ownership interest in QEP Midstream to Tesoro in an all cash transaction valued at $2.5 billion, including $230.0 million to refinance debt at QEP Midstream. The decision to sell the midstream business is a result of the Company’s ongoing review of strategic alternatives to maximize shareholder value. QEP will retain ownership of QEP Field Services’ Haynesville Gathering System. As a result of the pending transaction, the QEP Field Services reporting segment, excluding the retained ownership of the Haynesville Gathering System, has been classified as assets and liabilities held for sale on the Condensed Consolidated Balance Sheet, as a discontinued operation on the Condensed Consolidated Statement of Operations and the notes accompanying the Condensed Consolidated Financial Statements, and in Management's Discussion and Analysis of Financial Condition and Results of Operations. For reporting purposes, the retained Haynesville Gathering System has been combined with QEP Marketing and Other.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On February 25, 2014, QEP Energy acquired oil and gas properties in the Permian Basin of Texas for an aggregate purchase price of $941.8 million (the Permian Basin Acquisition). The acquired properties consist of approximately 26,500 net acres of producing and undeveloped oil and gas properties and approximately 270 vertical producing wells in the Permian Basin, which creates a new core area of operation for QEP Energy. The acquisition was funded with $50.0 million of restricted cash, $300.0 million from the Company's expanded term loan and the remainder from QEP's revolving credit facility.</w:t>
      </w:r>
    </w:p>
    <w:p>
      <w:pPr>
        <w:spacing w:after="0" w:line="15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Divestitures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will periodically divest select non-core portfolio assets to redirect capital towards higher-return projects. In June 2014, QEP sold its interests in certain non-core properties in the Midcontinent area and other non-core assets in the Williston Basin for an aggregate sales price of approximately $702.3 million, subject to post-closing purchase price adjustments. The Company used the proceeds to repay borrowings on its revolving credit facility incurred to fund the Permian Basin Acquisition. On October 31, 2014, QEP entered into two purchase and sale agreements to divest non-core properties in southern Oklahoma for an aggregate sale price of $108 million, subject to customary purchase price adjustments. The aggregate net book value of the properties being sold is approximately $37 million as of September 30, 2014. Any gain or loss on the sale recorded by the Company will be determined based upon the final purchase price, which is subject to customary purchase price adjustments. In 2013, QEP divested of certain non-core properties resulting in total cash proceeds of $205.8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E&amp;P company peers. However, in certain of its resource plays, QEP, along with its peers, has experienced increased drilling and completion costs, which could impact near term drilling plans.</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While historically a natural gas producer, the Company has increased its focus on growing the relative proportion of oil and NGL production in its E&amp;P business. During the first three quarters of 2014, which includes seven months of results from the Permian Basin Acquisition, QEP Energy increased its oil and NGL production by 61% compared to the first three quarters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ind w:right="960"/>
        <w:spacing w:after="0" w:line="342" w:lineRule="auto"/>
        <w:rPr>
          <w:sz w:val="20"/>
          <w:szCs w:val="20"/>
          <w:color w:val="auto"/>
        </w:rPr>
      </w:pPr>
      <w:r>
        <w:rPr>
          <w:rFonts w:ascii="Arial" w:cs="Arial" w:eastAsia="Arial" w:hAnsi="Arial"/>
          <w:sz w:val="16"/>
          <w:szCs w:val="16"/>
          <w:color w:val="auto"/>
        </w:rPr>
        <w:t>2013. Additionally, oil and NGL revenue represented 72% and 67% of QEP Energy's field-level revenue during the three and nine months ended September 30, 2014, respectively, up from 61% and 57% during the three and nine months ended September 30, 2013, respectively.</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authorization was effective until January 2015, however QEP's Board of Directors has extended the program through December 2015. The timing and amount of any QEP share repurchases will depend upon a number of factors, including general market conditions, the Company’s financial position and the estimated intrinsic value of the Company’s shares. The repurchase authorization does not obligate QEP to acquire any specific number or value of shares, may be discontinued at any time and is governed by the Company's various restrictions on trading activity. During the three and nine months ended September 30, 2014, no shares were repurchased under this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QEP Energy reported total equivalent production of 79.2 Bcfe during the third quarter of 2014 and 236.8 Bcfe in the first three quarters of 2014, an increase of 2% and 1%, respectively, compared to the same periods in 2013. Oil and NGL production increased to 6,235.9 Mbbls and to 16,982.8 Mbbls in the three and nine months ended September 30, 2014, increases of 64% and 61%, respectively, from the comparable periods in 2013. These increases were partially offset by a decrease in gas production to 41.8 Bcf in the third quarter of 2014 and to 134.9 Bcf in the first three quarters of 2014, decreases of 24% and 21%, respectively, from the comparable periods of 2013. The Company's 2012 Williston Basin acquisition contributed oil and NGL production of 2,857.6 Mbbls and 6,288.6 Mbbls in the three and nine months ended September 30, 2014, respectively. Additionally, QEP Energy completed the Permian Basin Acquisition on February 25, 2014, which contributed 1,375.6 Mbbls of oil and NGL production, $114.2 million of revenue and $23.1 million of net income during the period from February 25, 2014 to September 30, 2014. Properties in the Midcontinent contributed 25.6 Bcfe of total production in the nine months ended September 30, 2014 which declined from 44.9 Bcfe in the nine months ended September 30, 2013 due to the divestitures of non-core properties. QEP Energy benefited from higher average realized prices (including the impact of settled commodity derivatives) which increased 15% to $7.69 per Mcfe during the third quarter of 2014 and 14% to $7.41 per Mcfe during the nine months ended September 30, 2014 compared to the nine months ended September 30,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Historically, field-level prices received for QEP's gas, oil and NGL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Recently, increased oil production in the United States combined with softening global demand, a stronger US dollar, and other factors have led to weaker oil prices. Additionally, QEP's NGL prices are affected by ethane recovery. When ethane is recovered as an NGL instead of being sold as part of the natural gas stream, the average NGL barrel sales price decreases as the ethane price is lower than the remaining NGL components. QEP operated in ethane recovery for the majority of the first three quarters of 2014 and expects to continue in ethane recovery for the reminder of 2014. Changes in the market prices for gas,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8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September 30, 2014, assuming forecasted 2014 annual production of 318 Bcfe, QEP Energy had approximately 56% of its forecasted gas equivalent production covered with fixed-price swaps, including 60% of its forecasted gas production and 73% of its forecasted oil production covered with fixed-price swaps. See Part 1, Item 3 “Quantitative and Qualitative Disclosures about Market Risk—Commodity Price Risk Management” for further details concerning QEP’s commodity derivatives transactions. QEP Energy has allocated approximately 96% of its forecasted 2014 drilling and completion capital expenditure budget to oil and liquids-rich gas projects in its portfolio.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QEP continues to monitor the outlook of the global economy, including political unrest in Eastern Europe, the Middle East, and Africa; a slowing of growth in Asia; the United States federal budget deficit; the potential for future shut-downs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commodity price volatility;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Since 2008, the U.S. natural gas directed drilling rig count has decreased as producers reduced drilling activity for dry natural gas in response to lower natural gas prices and directed investment toward oil and liquid-rich projects. A reduction in natural gas production has lagged the downturn in the natural gas rig count because efficiency gains have allowed more wells to be drilled and completed per operating rig, higher per-well natural gas production from horizontal wells and increased amounts of natural gas produced in association with crude oil. As a result, U.S. natural gas production continued to increase throughout 2013 and the first three quarters of 2014 despite the decreased rig-count. However, strong natural gas demand from electric power generation, cold winter weather during the 2013-2014 heating season, and other demand sources have caused a general firming of natural gas prices during the last half of 2013 and into 2014. Despite recent increases in natural gas prices, QEP expects U.S. natural gas prices to remain range-bound over the near term. Relatively low natural gas prices have caused U.S. E&amp;P companies, including QEP, to shift capital investments away from predominantly dry gas areas toward plays that are known to have liquids-rich oil and gas. This shift in focus has caused domestic NGL production to increase dramatically. Increased NGL production and price dislocations from infrastructure bottlenecks in certain regions have all contributed to a weakening of domestic NGL prices, particularly ethane. QEP expects that ethane prices will continue to be range-bound until new ethylene crackers and export facilities are built; however, the prices of heavier components of the NGL barrel have strengthened as a result of recent weather conditions combined with newly commissioned export facilities. Recently, increased oil production in the United States combined with softening global demand, a stronger US dollar, and other factors have led to weaker oil prices. QEP anticipates global oil prices will remain near current levels, assuming the global economy and socio-political backdrops remain relatively stable. Disruption to the global oil supply system, political and/or economic instability, and/or other factors could trigger additional volatility in oil prices. In addition, transportation, refining, or other infrastructure constraints could introduce significant price differentials between regional markets where QEP sells its oil production and national (NYMEX or Cushing) and global (Brent or U.S. Gulf Coast) markets. Because of the global and regional price volatility and the uncertainty around the natural gas, oil and NGL price environments, QEP continues to manage its capital spending program and liquidity accordingly.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The Company recorded $3.6 million in impairments of unproved properties and no impairment of proved properties during the first three quarters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utilizes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QEP’s significant accounting policies are described in Item 7 of Part II of its 2013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ind w:right="120"/>
        <w:spacing w:after="0" w:line="277" w:lineRule="auto"/>
        <w:rPr>
          <w:sz w:val="20"/>
          <w:szCs w:val="20"/>
          <w:color w:val="auto"/>
        </w:rPr>
      </w:pPr>
      <w:r>
        <w:rPr>
          <w:rFonts w:ascii="Arial" w:cs="Arial" w:eastAsia="Arial" w:hAnsi="Arial"/>
          <w:sz w:val="18"/>
          <w:szCs w:val="18"/>
          <w:color w:val="auto"/>
        </w:rPr>
        <w:t>obligations, equity-based compensation, income taxes, and purchase price allocations, among others, may involve a high degree of complexity and judgment on the part of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generated net income from continuing operations during the third quarter of 2014 of $153.7 million, or $0.84 per diluted share, compared to net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continuing operations of $12.1 million, or $0.07 per diluted share, in the third quarter of 2013. The increase in the third quarter of 2014 was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$137.2 million increase in QEP Energy’s net income and a $4.4 million increase in QEP Marketing and Other's net income. QEP Energy's net income increase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primarily due to unrealized gains on derivative instruments compared to an unrealized loss in the third quarter of 2013 and increased oil production.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offset by realized derivative instrument losses in the third quarter of 2014 compared to realized gains in the third quarter of 2013,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and a net loss on asset sales compared to a net gain in the third quarter of 2013. QEP Marketing and Other's net income increased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2014 primarily due to realized and unrealized losses on derivative instruments and higher interest income compared to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generated net income from continuing operations during the first three quarters of 2014 of $60.3 million, or $0.34 per diluted share, compared to a net income from continuing operations of $136.6 million, or $0.76 per diluted share in the first three quarters of 2013. The decrease in the first three quarters of 2014 is due to a $72.6 million decrease in QEP Energy's net income and a $3.7 million decrease in QEP Marketing and Other's net income. QEP Energy's net income decreased because of the loss on the disposal of the non-core properties of $210.4 million and higher operating expenses which were partially offset by higher oil and NGL production and greater unrealized gains on derivative instruments in the first three quarters of 2014 compared to losses in the first three quarters of 2013. QEP Marketing and Other's net income decreased in the first three quarters of 2014 primarily due to unrealized losses on derivative instruments compared to a gain in the first three quarters of 2013, partially offset by higher margins on purchased gas, oil and NGL sales.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net income attributable to QEP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3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5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146.8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&amp; 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118.5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6"/>
              </w:rPr>
              <w:t>Diluted earnings per share from continuing</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1"/>
              </w:rPr>
              <w:t>Diluted earnings per share from discontinued</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180.4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Management believes Adjusted EBITDA (a non-GAAP measure) is an important measure for comparing the Company’s financial performance to other oil and gas producing companies. The use of this measure allows investors to understand how management evaluates financial performance to make operating decisions and allocate resources.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3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5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QEP Marketing &amp; 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EBITDA from continuing operations increased to $370.9 million in the third quarter of 2014 from $340.8 million in the third quarter of 2013, due to a 77% increase in oil production and a 35% increase in NGL production, partially offset by a 24% decrease in gas production, decreases of 10% and 21%, respectively, in average net realized equivalent oil and NGL prices and higher operating expenses.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Adjusted EBITDA from continuing operations increased to $1,072.2 million in the first three quarters of 2014 from $996.0 million in the first three quarters of 2013, due to a 67% increase in oil production and a 49% increase in NGL production, partially offset by a 21% decrease in gas production, decreases of 9% and 17%, respectively, in average net realized equivalent oil and NGL prices and higher operating expenses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are reconciliations of Adjusted EBITDA to net income from continuing operations and discontinued operations, net of tax, the most comparable GAAP financial measures: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Discontinued</w:t>
            </w:r>
          </w:p>
        </w:tc>
      </w:tr>
      <w:tr>
        <w:trPr>
          <w:trHeight w:val="261"/>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160" w:type="dxa"/>
            <w:vAlign w:val="bottom"/>
          </w:tcPr>
          <w:p>
            <w:pPr>
              <w:spacing w:after="0"/>
              <w:rPr>
                <w:sz w:val="22"/>
                <w:szCs w:val="22"/>
                <w:color w:val="auto"/>
              </w:rPr>
            </w:pPr>
          </w:p>
        </w:tc>
        <w:tc>
          <w:tcPr>
            <w:tcW w:w="1300" w:type="dxa"/>
            <w:vAlign w:val="bottom"/>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92"/>
              </w:rPr>
              <w:t>&amp; Other</w:t>
            </w:r>
            <w:r>
              <w:rPr>
                <w:rFonts w:ascii="Arial" w:cs="Arial" w:eastAsia="Arial" w:hAnsi="Arial"/>
                <w:sz w:val="25"/>
                <w:szCs w:val="25"/>
                <w:b w:val="1"/>
                <w:bCs w:val="1"/>
                <w:color w:val="auto"/>
                <w:w w:val="92"/>
                <w:vertAlign w:val="superscript"/>
              </w:rPr>
              <w:t>(1)</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Operations</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September 30, 2014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gains on derivative contracts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(gain)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373.6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38.4</w:t>
            </w:r>
          </w:p>
        </w:tc>
      </w:tr>
      <w:tr>
        <w:trPr>
          <w:trHeight w:val="311"/>
        </w:trPr>
        <w:tc>
          <w:tcPr>
            <w:tcW w:w="5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September 30, 2013</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losses on derivative contracts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(income) loss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4"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Discontinued</w:t>
            </w:r>
          </w:p>
        </w:tc>
        <w:tc>
          <w:tcPr>
            <w:tcW w:w="0" w:type="dxa"/>
            <w:vAlign w:val="bottom"/>
          </w:tcPr>
          <w:p>
            <w:pPr>
              <w:spacing w:after="0"/>
              <w:rPr>
                <w:sz w:val="1"/>
                <w:szCs w:val="1"/>
                <w:color w:val="auto"/>
              </w:rPr>
            </w:pPr>
          </w:p>
        </w:tc>
      </w:tr>
      <w:tr>
        <w:trPr>
          <w:trHeight w:val="261"/>
        </w:trPr>
        <w:tc>
          <w:tcPr>
            <w:tcW w:w="5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line="262" w:lineRule="exact"/>
              <w:rPr>
                <w:sz w:val="20"/>
                <w:szCs w:val="20"/>
                <w:color w:val="auto"/>
              </w:rPr>
            </w:pPr>
            <w:r>
              <w:rPr>
                <w:rFonts w:ascii="Arial" w:cs="Arial" w:eastAsia="Arial" w:hAnsi="Arial"/>
                <w:sz w:val="18"/>
                <w:szCs w:val="18"/>
                <w:b w:val="1"/>
                <w:bCs w:val="1"/>
                <w:color w:val="auto"/>
                <w:w w:val="92"/>
              </w:rPr>
              <w:t>&amp; Other</w:t>
            </w:r>
            <w:r>
              <w:rPr>
                <w:rFonts w:ascii="Arial" w:cs="Arial" w:eastAsia="Arial" w:hAnsi="Arial"/>
                <w:sz w:val="25"/>
                <w:szCs w:val="25"/>
                <w:b w:val="1"/>
                <w:bCs w:val="1"/>
                <w:color w:val="auto"/>
                <w:w w:val="92"/>
                <w:vertAlign w:val="superscript"/>
              </w:rPr>
              <w:t>(1)</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Operations</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Nine Months Ended September 30, 2014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derivative contracts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128.4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704.7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Nine Months Ended September 30, 2013</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other (income) loss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996.0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Includes intercompany eliminations.</w:t>
      </w:r>
    </w:p>
    <w:p>
      <w:pPr>
        <w:spacing w:after="0" w:line="2" w:lineRule="exact"/>
        <w:rPr>
          <w:rFonts w:ascii="Arial" w:cs="Arial" w:eastAsia="Arial" w:hAnsi="Arial"/>
          <w:sz w:val="23"/>
          <w:szCs w:val="23"/>
          <w:color w:val="auto"/>
          <w:vertAlign w:val="superscript"/>
        </w:rPr>
      </w:pPr>
    </w:p>
    <w:p>
      <w:pPr>
        <w:ind w:left="200" w:hanging="192"/>
        <w:spacing w:after="0" w:line="203" w:lineRule="auto"/>
        <w:tabs>
          <w:tab w:leader="none" w:pos="2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Excludes noncontrolling interest's share of $0.7 million and $0.1 million during the three months ended September 30, 2014 and 2013, respectively, and</w:t>
      </w:r>
    </w:p>
    <w:p>
      <w:pPr>
        <w:spacing w:after="0" w:line="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$1.1 million and $0.1 million during the nine months ended months ended September 30, 2014 and 2013, respectively, of interest expense attributable to QEP Midstream.</w:t>
      </w:r>
    </w:p>
    <w:p>
      <w:pPr>
        <w:ind w:right="280" w:firstLine="8"/>
        <w:spacing w:after="0" w:line="286" w:lineRule="auto"/>
        <w:tabs>
          <w:tab w:leader="none" w:pos="178"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Excludes noncontrolling interest's share of $4.0 million and $2.2 million during the three months ended September 30, 2014 and 2013, respectively, and $11.7 million and $3.2 million during the nine months ended September 30, 2014 and 2013, respectively, of depreciation, depletion and amortization attributable to Rendezvous Gas Services, L.L.C and QEP Midstream.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QEP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8"/>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3240" w:type="dxa"/>
            <w:vAlign w:val="bottom"/>
            <w:gridSpan w:val="7"/>
          </w:tcPr>
          <w:p>
            <w:pPr>
              <w:jc w:val="right"/>
              <w:ind w:right="4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Change</w:t>
            </w:r>
          </w:p>
        </w:tc>
        <w:tc>
          <w:tcPr>
            <w:tcW w:w="340" w:type="dxa"/>
            <w:vAlign w:val="bottom"/>
          </w:tcPr>
          <w:p>
            <w:pPr>
              <w:spacing w:after="0"/>
              <w:rPr>
                <w:sz w:val="20"/>
                <w:szCs w:val="20"/>
                <w:color w:val="auto"/>
              </w:rPr>
            </w:pPr>
          </w:p>
        </w:tc>
        <w:tc>
          <w:tcPr>
            <w:tcW w:w="7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Change</w:t>
            </w:r>
          </w:p>
        </w:tc>
        <w:tc>
          <w:tcPr>
            <w:tcW w:w="0" w:type="dxa"/>
            <w:vAlign w:val="bottom"/>
          </w:tcPr>
          <w:p>
            <w:pPr>
              <w:spacing w:after="0"/>
              <w:rPr>
                <w:sz w:val="1"/>
                <w:szCs w:val="1"/>
                <w:color w:val="auto"/>
              </w:rPr>
            </w:pPr>
          </w:p>
        </w:tc>
      </w:tr>
      <w:tr>
        <w:trPr>
          <w:trHeight w:val="33"/>
        </w:trPr>
        <w:tc>
          <w:tcPr>
            <w:tcW w:w="4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Gas sales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Oil sales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393.4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1,040.6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656.3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Purchased gas, oil and NGL sales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538.5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1,953.3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1,575.2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Purchased gas, oil and NGL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w w:val="94"/>
              </w:rPr>
              <w:t>Gas, oil and NGL transportation and other handling costs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Production and property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159.8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Exploration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522.6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1,514.5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1,409.3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gain (loss) from asset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3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118.4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Unrealized gains (losses) on derivative instruments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63.8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w w:val="96"/>
              </w:rPr>
              <w:t>Income from continuing operations before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219.5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income attributable to QEP Energy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Production volumes (Bcfe)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Pinedale</w:t>
            </w:r>
          </w:p>
        </w:tc>
        <w:tc>
          <w:tcPr>
            <w:tcW w:w="28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26.4</w:t>
            </w: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94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72.6</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70.1</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Uinta Basin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Southern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Permian Basin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236.8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Total equivalent prices (per Mcfe)</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6"/>
                <w:szCs w:val="16"/>
                <w:color w:val="auto"/>
              </w:rPr>
              <w:t>Average equivalent field-level price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7.77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7.72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6"/>
                <w:szCs w:val="16"/>
                <w:color w:val="auto"/>
              </w:rPr>
              <w:t>Net realized equivalent price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7.69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0"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volume and price related changes for each of QEP Energy’s major revenue categories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compared to the three and nine months ended September 30,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September 30, 2013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 2014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Nine months ended September 30, 2013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610.5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 2014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1,828.9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0" w:hanging="314"/>
        <w:spacing w:after="0" w:line="223"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nine months ended September 30, 2014, as compared to the three and nine months ended September 30, 2013, by the average field-level price for the three and nine months ended September 30, 2013.</w:t>
      </w:r>
    </w:p>
    <w:p>
      <w:pPr>
        <w:ind w:left="660" w:right="120" w:hanging="314"/>
        <w:spacing w:after="0" w:line="22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prices from the three and nine months ended September 30, 2014, as compared to the three and nine months ended September 30, 2013, by volumes for the three and nine months ended September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54.9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Gas revenues decreased $23.1 million, or 12%, in the third quarter of 2014 when compared to the third quarter of 2013, due to lower gas production partially offset by higher field-level prices. The decrease in production was primarily driven by the divestiture of non-core Midcontinent properties in the third quarter 2013 and second quarter 2014 and a production decrease in Haynesville/Cotton Valley due to the continued suspension of QEP's operated drilling program. Additionally, gas production</w:t>
      </w:r>
    </w:p>
    <w:p>
      <w:pPr>
        <w:sectPr>
          <w:pgSz w:w="11900" w:h="16838" w:orient="portrait"/>
          <w:cols w:equalWidth="0" w:num="1">
            <w:col w:w="11420"/>
          </w:cols>
          <w:pgMar w:left="240" w:top="79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96" w:right="239" w:bottom="1440" w:gutter="0" w:footer="0" w:header="0"/>
          <w:type w:val="continuous"/>
        </w:sectPr>
      </w:pPr>
    </w:p>
    <w:bookmarkStart w:id="40" w:name="page41"/>
    <w:bookmarkEnd w:id="40"/>
    <w:p>
      <w:pPr>
        <w:ind w:right="240"/>
        <w:spacing w:after="0" w:line="277" w:lineRule="auto"/>
        <w:rPr>
          <w:sz w:val="20"/>
          <w:szCs w:val="20"/>
          <w:color w:val="auto"/>
        </w:rPr>
      </w:pPr>
      <w:r>
        <w:rPr>
          <w:rFonts w:ascii="Arial" w:cs="Arial" w:eastAsia="Arial" w:hAnsi="Arial"/>
          <w:sz w:val="18"/>
          <w:szCs w:val="18"/>
          <w:color w:val="auto"/>
        </w:rPr>
        <w:t>decreased in QEP's Pinedale field due to ethane recovery in the third quarter of 2014, in which ethane is extracted from the gas stream and sold as an NGL, compared to ethane rejection in 2013, in which ethane is sold in the gas stream.</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Gas revenues decreased $1.2 million in the first three quarters of 2014 when compared to the first three quarters of 2013, due to lower gas production partially offset by higher field-level prices. The decrease in production volumes was primarily driven by the continued suspension of QEP's Haynesville/Cotton Valley operated drilling program and a production decrease in the Midcontinent due to the divestitures of non-core properties in the Midcontinent in the third quarter of 2013 and second quarter 2014 and fewer net well completions in the second half of 2013 and in 2014. Additionally, production decreased in QEP's Pinedale field due to partial ethane recovery in the first three quarters of 2014, compared to ethane rejection in 2013, as well as completions of wells in late 2013 in which QEP had no working interest.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172.1</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180.7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464.9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490.6</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230.3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474.1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4,672.4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2,644.7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11,965.0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7,168.8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4,796.2</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83.74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86.19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84.21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86.98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Oil revenues increased $139.6 million, or 55%, in the third quarter of 2014 when compared to the third quarter of 2013 due to higher volumes partially offset by lower average field-level prices. The increase in production volumes was primarily driven by increases in the Williston Basin due to the continued development of the properties acquired in 2012. The Company also had an additional 474.1 Mbbls of production in the third quarter of 2014 from its Permian Basin Acquisition. These production increases were partially offset by a decrease in the Midcontinent due to the divestitures of non-core properties in the third quarter 2013 and second quarter 2014 and fewer well completions. Field-level oil prices decreased 12% in the third quarter of 2014.</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Oil revenues increased $384.3 million, or 59%, in the first three quarters of 2014 when compared to the first three quarters of 2013 due to higher volumes, slightly offset by lower average field-level prices. The increase in production volumes was primarily driven by increases in the Williston Basin due to the continued development of the properties acquired in 2012. The Company also had an additional 1,032.3 Mbbls of production in the first three quarters of 2014 from its Permian Basin Acquisition. These increases were partially offset by a decrease in the Midcontinent due to divestitures of non-core properties in the third quarter of 2013 and second quarter 2014 and decreased well completions. Field-level oil prices decreased in the first three quarters of 2014 by 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33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915.3</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355.8</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559.5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2,484.1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1,005.4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179.9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1,563.5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5,017.8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34.19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36.24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32.68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35.68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32.68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35.68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NGL revenues increased $3.4 million, or 7%, during the third quarter of 2014, when compared to the third quarter of 2013, due to increased production volumes partially offset by a decreased average price per barrel. Pinedale and Uinta NGL volumes increased due to ethane recovery in the third quarter of 2014 compared to ethane rejection in the third quarter of 2013, while the Williston Basin volumes grew as a result of increased development drilling. Additionally, the Permian Basin Acquisition contributed to the increased NGL production. These increases were partially offset by a decrease in the Midcontinent due to divestitures of non-core properties in the third quarter of 2013 and the second quarter of 2014 and decreased well completions. NGL prices decreased 21% during the third quarter of 2014 primarily as a result of recovering ethane from the wet gas production stream in Pinedale and Uinta during the third quarter of 2014, compared to no recovery in the third quarter of 2013. When ethane is recovered as an NGL instead of being sold as part of the gas stream, the average NGL barrel sales price decreases as the ethane price is lower than the remaining NGL components.</w:t>
      </w:r>
    </w:p>
    <w:p>
      <w:pPr>
        <w:spacing w:after="0" w:line="16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NGL revenues increased $34.6 million, or 24%, during the first three quarters of 2014, when compared to the first three quarters of 2013, due to increased production volumes partially offset by a decreased average price per barrel. Pinedale and Uinta NGL volumes increased due to partial ethane recovery in the first three quarters of 2014 compared to ethane rejection in the first three quarters of 2013, while the Williston Basin NGL volumes grew as a result of increased development drilling. Additionally, the Permian Basin Acquisition contributed to the increased NGL production. These increases were partially offset by a decrease in the Midcontinent due to divestitures of non-core properties in the third quarter of 2013 and second quarter 2014 and decreased well completions. NGL prices decreased 17% during the first three quarters of 2014 primarily as a result of partially recovering ethane from the gas stream in Pinedale and Uinta during the first three quarters of 2014, compared to no recovery in the first three quarters of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its gas, oil and NGL resale activities: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gridSpan w:val="8"/>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0"/>
                <w:szCs w:val="20"/>
                <w:color w:val="auto"/>
              </w:rPr>
            </w:pPr>
          </w:p>
        </w:tc>
        <w:tc>
          <w:tcPr>
            <w:tcW w:w="32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Resale 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third quarter of 2014, QEP Energy recorded income on resale margin of $0.5 million compared to $0.1 million of income in the third quarter of 2013 as a result of its activities to utilize pipeline transportation commitments in Louisiana.</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first three quarters of 2014, QEP Energy recorded a loss on resale margin of $0.7 million compared to a loss of $3.2 million in the first three quarters of 2013 as a result of its activities to utilize pipeline transportation commitments in Louisiana.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operated and non-operated well completions, excluding divested wells, for the three and nine months ended September 30,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right"/>
              <w:ind w:right="4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Nine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September 30, 2014</w:t>
            </w:r>
          </w:p>
        </w:tc>
        <w:tc>
          <w:tcPr>
            <w:tcW w:w="2300" w:type="dxa"/>
            <w:vAlign w:val="bottom"/>
            <w:gridSpan w:val="4"/>
          </w:tcPr>
          <w:p>
            <w:pPr>
              <w:ind w:left="380"/>
              <w:spacing w:after="0"/>
              <w:rPr>
                <w:sz w:val="20"/>
                <w:szCs w:val="20"/>
                <w:color w:val="auto"/>
              </w:rPr>
            </w:pPr>
            <w:r>
              <w:rPr>
                <w:rFonts w:ascii="Arial" w:cs="Arial" w:eastAsia="Arial" w:hAnsi="Arial"/>
                <w:sz w:val="18"/>
                <w:szCs w:val="18"/>
                <w:color w:val="auto"/>
              </w:rPr>
              <w:t>September 30, 2014</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September 30, 2014</w:t>
            </w:r>
          </w:p>
        </w:tc>
        <w:tc>
          <w:tcPr>
            <w:tcW w:w="21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30, 2014</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38</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675"/>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following table presents operated and non-operated wells being drilled or waiting on completion, excluding divested wells, at September 30,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Pinedale</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3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3140" w:type="dxa"/>
            <w:vAlign w:val="bottom"/>
            <w:gridSpan w:val="4"/>
          </w:tcPr>
          <w:p>
            <w:pPr>
              <w:ind w:left="40"/>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Wells drilled are not brought into production until all wells on the pad are drilled and completed and the drilling rig is moved from the location. As a result, QEP had 73 gross operated wells waiting on completion as of September 30,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QEP Energy operating expenses on a per unit of production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280" w:type="dxa"/>
            <w:vAlign w:val="bottom"/>
          </w:tcPr>
          <w:p>
            <w:pPr>
              <w:spacing w:after="0"/>
              <w:rPr>
                <w:sz w:val="20"/>
                <w:szCs w:val="20"/>
                <w:color w:val="auto"/>
              </w:rPr>
            </w:pPr>
          </w:p>
        </w:tc>
        <w:tc>
          <w:tcPr>
            <w:tcW w:w="324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Gas, oil and NGL transportation and other handling</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Production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Depreciation, depletion and amortization (DD&amp;A). </w:t>
      </w:r>
      <w:r>
        <w:rPr>
          <w:rFonts w:ascii="Arial" w:cs="Arial" w:eastAsia="Arial" w:hAnsi="Arial"/>
          <w:sz w:val="17"/>
          <w:szCs w:val="17"/>
          <w:color w:val="auto"/>
        </w:rPr>
        <w:t>DD&amp;A expense increased $13.0 million, or $0.12 per Mcfe, in the third quarter of 2014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quarter of 2013 due to an increase in the Williston Basin expense and additional expenses related to the Permian Basin Acquisition expense partially offset by decreases in the Midcontinent and Haynesville/Cotton Valley. The increase in the Williston Basin expense relates to increased production partially offset by a reduction in the DD&amp;A expense related to the retirement of properties sold in the Williston Basin during the second quarter of 2014 and a lower rate due to additional proved reserves added at the end of the 2013. The decrease in the Midcontinent DD&amp;A expense was a result of the second quarter 2014 property sales (see Note 3 - Acquisitions and Divestitures). Upon entering into purchase and sale agreements during the second quarter of 2014, the divested Midcontinent properties were characterized as held for sale resulting in no further depletion on the fields. The decrease in expense at Haynesville/Cotton Valley was a result of declining production.</w:t>
      </w:r>
    </w:p>
    <w:p>
      <w:pPr>
        <w:spacing w:after="0" w:line="17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During the first three quarters of 2014, DD&amp;A expense decreased $7.4 million, or $0.06 per Mcfe, due to expense decreases in the Midcontinent and Haynesville/Cotton Valley partially offset by an increase in the Williston Basin expense and additional expenses related to the Permian Basin Acquisition. The decrease in the Midcontinent DD&amp;A expense was a result of the second quarter 2014 property sales (see Note 3 - Acquisitions and Divestitures). Upon entering into purchase and sale agreements during the second quarter of 2014, the divested Midcontinent properties were characterized as held for sale resulting in no further depletion on the fields. The decrease in expense in Haynesville/Cotton Valley relates to decreased production. The increase in the Williston Basin expense relates to increased production partially offset by a reduction in the DD&amp;A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related to the retirement of properties sold in the Williston Basin during the second quarter of 2014 and a lower rate due to additional proved reserves added at the end of the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900" w:type="dxa"/>
            <w:vAlign w:val="bottom"/>
            <w:gridSpan w:val="7"/>
          </w:tcPr>
          <w:p>
            <w:pPr>
              <w:ind w:left="52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4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7"/>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3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0.58</w:t>
            </w:r>
          </w:p>
        </w:tc>
        <w:tc>
          <w:tcPr>
            <w:tcW w:w="9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0.51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8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1.02</w:t>
            </w: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0.62</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0.87</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0.36</w:t>
            </w: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0.77</w:t>
            </w: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0.56</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0.75</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QEP Energy’s LOE increased $17.6 million, or $0.21 per Mcfe, during the third quarter of 2014 compared to the third quarter of 2013. The Southern Region's LOE per Mcfe increase during the third quarter of 2014 was driven primarily by the Permian Basin Acquisition oil wells in the first quarter of 2014 as well as a per Mcfe increase in Haynesville/Cotton Valley and Midcontinent. The Haynesville increase is due to declining production volume but relatively flat labor costs, fixed operating expenses due to the consistent well count and increased workover costs. The Midcontinent increase was due to the divestiture of non-core properties in the second quarter of 2014 with the remaining wells in the area having higher per Mcfe LOE costs. QEP also incurred repair expenses in the Permian Basin of $1.9 million in the third quarter of 2014. The Northern Region increase was driven primarily by increased well count and greater production from the Williston Basin oil wells which have higher operating costs compared to the other properties, which are primarily lower cost gas wells.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 Energy’s LOE increased $46.8 million, or $0.19 per Mcfe, during the first three quarters of 2014 compared to the first three quarters of 2013. The Southern Region's LOE per Mcfe increase during the first three quarters of 2014 was driven primarily by the Permian Basin Acquisition oil wells in the first quarter of 2014 as well as a per Mcfe increase in Haynesville/Cotton Valley. The Haynesville increase is due to declining production volume but relatively flat labor costs, and other fixed operating expenses due to the consistent well count and increased workover costs. QEP also incurred repair expenses in the Permian Basin of $4.2 million in the first three quarters of 2014. The Northern Region increase was driven primarily by increased well count and greater production from the Williston Basin oil wells which have higher operating costs compared to the other properties, which are primarily lower cost gas wells.</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Gas, oil and NGL transportation and other handling costs. </w:t>
      </w:r>
      <w:r>
        <w:rPr>
          <w:rFonts w:ascii="Arial" w:cs="Arial" w:eastAsia="Arial" w:hAnsi="Arial"/>
          <w:sz w:val="18"/>
          <w:szCs w:val="18"/>
          <w:color w:val="auto"/>
        </w:rPr>
        <w:t>Gas, oil and NGL transportation and other handling costs increased $10.1 million, or $0.11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Mcfe, in the third quarter of 2014 when compared to the third quarter of 2013. The expense increase was primarily attributable to the Williston Basin increased production as well as additional expenses incurred for the Permian Basin Acquisition.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Gas, oil and NGL transportation and other handling costs increased $31.0 million, or $0.12 per Mcfe, in the first three quarters of 2014 when compared to the first three quarters of 2013. The expense increase was primarily due to an increase in the Williston Basin increased production and additional expenses incurred for the Permian Basin Acquisition.</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volume-based. Production taxes increased $18.9 million, or $0.24 per Mcfe, during the third quarter of 2014 and $47.1 million, or $0.19 per Mcfe, during the first three quarters of 2014, as a result of increased oil and NGL revenues due to higher oil and NGL production.</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decreased $1.0 million during the third quarter of 2014 and $4.8 million in the first three quarters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equivalent 2013 periods. These decreases primarily related to lower exploration-related labor.</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Impairment expense was $0.1 million during the third quarter of 2014 and $3.6 million during the first three quarters of 2014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unproved property impairments due to expiring leases and changes in drilling plans.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QEP MARKETING AND OTHER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QEP Marketing and Other includes the results of operations from QEP Marketing, the retained interest in the Haynesville Gathering System and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Other's financial and operating results: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0"/>
                <w:szCs w:val="20"/>
                <w:color w:val="auto"/>
              </w:rPr>
            </w:pPr>
          </w:p>
        </w:tc>
        <w:tc>
          <w:tcPr>
            <w:tcW w:w="3260" w:type="dxa"/>
            <w:vAlign w:val="bottom"/>
            <w:gridSpan w:val="7"/>
          </w:tcPr>
          <w:p>
            <w:pPr>
              <w:jc w:val="right"/>
              <w:ind w:right="37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621.1</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617.4</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4"/>
              </w:rPr>
              <w:t>Unrealized gains (losses) on derivative instruments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 Marketing’s financial results from resale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40" w:type="dxa"/>
            <w:vAlign w:val="bottom"/>
            <w:gridSpan w:val="8"/>
          </w:tcPr>
          <w:p>
            <w:pPr>
              <w:ind w:left="32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2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on derivative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Purchased gas, oil and NGL sales increased by $230.8 million, or 53%, during the third quarter of 2014, compared to the third quarter of 2013, due to a</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$248.0 million increase in resale oil and NGL sales, partially offset by a $17.2 million decrease in resale gas sales. Resale oil and NGL sales increased due to a 132% increase in resale volumes and a 19% decrease in resale price. Resale gas sales decreased due to a 24% decrease in resale volumes, partially offset by a 17% increase in resale price.</w:t>
      </w:r>
    </w:p>
    <w:p>
      <w:pPr>
        <w:spacing w:after="0" w:line="19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Purchased gas, oil and NGL expense, which includes transportation expense, increased 53% in the third quarter of 2014, compared to the third quarter of 2013, due to a $248.3 million increase in resale oil and NGL purchases, partially offset by a $18.2 million decrease in resale gas purchases. Resale oil and NGL sales increased due to a 136% increase in resale purchase</w:t>
      </w:r>
    </w:p>
    <w:p>
      <w:pPr>
        <w:sectPr>
          <w:pgSz w:w="11900" w:h="16838" w:orient="portrait"/>
          <w:cols w:equalWidth="0" w:num="1">
            <w:col w:w="11420"/>
          </w:cols>
          <w:pgMar w:left="240" w:top="58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0" w:right="239" w:bottom="1440" w:gutter="0" w:footer="0" w:header="0"/>
          <w:type w:val="continuous"/>
        </w:sectPr>
      </w:pPr>
    </w:p>
    <w:bookmarkStart w:id="46" w:name="page47"/>
    <w:bookmarkEnd w:id="46"/>
    <w:p>
      <w:pPr>
        <w:ind w:right="80"/>
        <w:spacing w:after="0" w:line="277" w:lineRule="auto"/>
        <w:rPr>
          <w:sz w:val="20"/>
          <w:szCs w:val="20"/>
          <w:color w:val="auto"/>
        </w:rPr>
      </w:pPr>
      <w:r>
        <w:rPr>
          <w:rFonts w:ascii="Arial" w:cs="Arial" w:eastAsia="Arial" w:hAnsi="Arial"/>
          <w:sz w:val="18"/>
          <w:szCs w:val="18"/>
          <w:color w:val="auto"/>
        </w:rPr>
        <w:t>volumes, partially offset by a 20% decrease in resale purchase price. Resale gas purchased expense decreased due to a 5% decrease in the resale volumes and a 8% decrease in resale purchase price.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Purchased gas, oil and NGL sales increased by $628.4 million, or 55%, during the first three quarters of 2014, compared to the first three quarters of 2013, due to a $626.1 million increase in resale oil and NGL sales and a $2.4 million increase in resale gas sales. Resale oil and NGL sales increased due to a 114% increase in resale volumes, partially offset by a 10% decrease in resale oil and NGL price. Resale gas sales increased due to a 26% increase in resale price, partially offset by a 13% decrease in resale volumes.</w:t>
      </w:r>
    </w:p>
    <w:p>
      <w:pPr>
        <w:spacing w:after="0" w:line="18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Purchased gas, oil and NGL expense, which includes transportation expense, increased 54% in the first three quarters of 2014, compared to the first three quarters of 2013, due to a $624.8 million increase in resale oil and NGL purchases offset by a $3.8 million decrease in resale gas purchases. Resale oil and NGL sales increased due to a 117% increase in resale purchase volumes, partially offset by a 11% decrease in resale purchase price. Resale gas purchased expense decreased due to a 13% decrease in resale purchase volumes partially offset by a 14% increase in resale purchase price.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CONSOLIDATED EXPENSES AND INCOME FROM </w:t>
      </w:r>
      <w:r>
        <w:rPr>
          <w:rFonts w:ascii="Arial" w:cs="Arial" w:eastAsia="Arial" w:hAnsi="Arial"/>
          <w:sz w:val="19"/>
          <w:szCs w:val="19"/>
          <w:b w:val="1"/>
          <w:bCs w:val="1"/>
          <w:color w:val="auto"/>
        </w:rPr>
        <w:t>CONTINUING</w:t>
      </w:r>
      <w:r>
        <w:rPr>
          <w:rFonts w:ascii="Arial" w:cs="Arial" w:eastAsia="Arial" w:hAnsi="Arial"/>
          <w:sz w:val="18"/>
          <w:szCs w:val="18"/>
          <w:b w:val="1"/>
          <w:bCs w:val="1"/>
          <w:color w:val="auto"/>
        </w:rPr>
        <w:t xml:space="preserve"> OPERATIONS</w:t>
      </w:r>
    </w:p>
    <w:p>
      <w:pPr>
        <w:spacing w:after="0" w:line="2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During the third quarter of 2014, general and administrative (G&amp;A) expense increased $8.7 million, or 21%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third quarter of 2013 primarily due to the following: a $3.5 million increase in labor and benefits costs associated with an increase in the number of employees and the Company's annual compensation program and a $2.8 million increase in professional and outside services and compensation expense mainly related to the Enterprise Resource Planning (ERP) system implementation. These increases were partially offset by a $0.7 million decrease in legal costs.</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first three quarters of 2014, G&amp;A expense increased $30.2 million, or 26% compared to the first three quarters of 2013. The increase in G&amp;A in 2014 was primarily due to the following: a $13.7 million increase in labor and benefits costs due to the increased number of employees and the Company's annual compensation program; a $10.2 million increase in professional and outside services and compensation expenses mainly related to the ERP system implementation; and a $4.8 million increase in the mark-to-market value of the deferred compensation wrap plan and the cash incentive plan due to an increase in our stock price.</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QEP recognized a loss on sale of assets of $210.3 million during the first three quarters of 2014 compared to a gain on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$113.4 million in the first three quarters of 2013. The loss on sale of assets recognized during the first three quarters of 2014 primarily related to QEP Energy's sale of its interest in non-core oil and gas properties in the Midcontinent area for a pre-tax loss on sale of $210.4 million. The gain on sale recognized during the first three quarters of 2013 related to QEP Energy's sale of its interest in non-core oil and gas properties located in both the Northern and Southern Regions for a pre-tax gain on sale of $114.9 million.</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Realized and unrealized gains (losses) on derivative contracts. </w:t>
      </w:r>
      <w:r>
        <w:rPr>
          <w:rFonts w:ascii="Arial" w:cs="Arial" w:eastAsia="Arial" w:hAnsi="Arial"/>
          <w:sz w:val="17"/>
          <w:szCs w:val="17"/>
          <w:color w:val="auto"/>
        </w:rPr>
        <w:t>Gains and losses on derivative instruments are comprised of both realized and unrealized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gains and losses on QEP’s commodity derivative contracts and interest rate swaps, which are marked-to-market each quarter. During the third quarter of 2014, gains on commodity derivative instruments were $154.4 million, of which 161.5 million were unrealized gains partially offset by $7.1 million of realized losses. During the third quarter of 2013, losses on commodity derivative instruments were $25.8 million, of which $52.7 million were unrealized losses partially offset by $26.9 million of realized gains. Additionally, during the third quarter of 2014, gains from interest rate swaps were $1.3 million, of which $2.6 million were unrealized gains partially offset by $1.3 million of realized losses, compared to losses of $2.0 million during the third quarter of 2013, of which $0.6 million were realized losses and $1.4 million were unrealized losses.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first three quarters of 2014, losses on commodity derivative instruments were $11.1 million, of which $76.0 million were realized losses partially offset by $64.9 million of unrealized gains. During the first three quarters of 2013, gains on commodity derivative instruments were $50.0 million, of which $109.0 million were realized gains partially offset by $59.0 million of unrealized losses. Additionally, during the first three quarters of 2014, losses from interest rate swaps were $2.1 million, of which $3.2 million were realized losses partially offset by $1.1 million of unrealized gains, compared to gains of $1.6 million during the first three quarters of 2013, of which $3.5 million of unrealized gains partially offset by $1.9 million of realized losses.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relatively flat during the three and nine months ended September 30, 2014, compared to the three and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2013.</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was $79.9 million during the third quarter of 2014 compared to an income tax provision of $8.1 million during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The income tax rate was 34.2% during the third quarter of 2014 compared to a rate of 40.1% during the third quarter of 2013. The decrease in the effective rate was largely driven by miscellaneous tax adjustments recorded in the third quarter 2013, which were magnified due to the smaller net income during the period.</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Income tax provision was $26.1 million during the first three quarters of 2014 compared to an income tax provision of $82.5 million during the first three quarters of 2013. The income tax rate was 30.2% during the first three quarters of 2014 compared to a rate of 37.7% during the first three quarters of 2013. The decrease in the income tax rate is primarily a result of a reduction in the state income tax blended rate and a valuation allowance recorded in the second quarter of 2014 related to Oklahoma net operating loss carryforwards. The state income tax rate reduction and the valuation allowance were driven by changes in the Company's asset mix due to acquisitions and divestitures in the nine months ended September 30,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Discontinued operations represent results of operations from QEP Field Services, excluding QEP’s retention of the Haynesville Gathering System. During the third quarter of 2014 and 2013, net income from discontinued operations was $17.4 million and $25.2 million, respectively. The decrease in net income was primarily due to decreased gathering revenue and increased income attributable to non-controlling interest due to the QEP Midstream offering in August 2013. During the first three quarters of 2014 and 2013, net income from discontinued operations was $58.2 million and $74.8 million, respectively. The decrease in net income from discontinued operations is due to decreased gathering revenue, higher transportation and shrink expense, and increased income attributable to non-controlling interest due to the QEP Midstream initial public offering in August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equity capital markets and sells assets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2014</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2013</w:t>
            </w:r>
          </w:p>
        </w:tc>
      </w:tr>
      <w:tr>
        <w:trPr>
          <w:trHeight w:val="27"/>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70"/>
        </w:trPr>
        <w:tc>
          <w:tcPr>
            <w:tcW w:w="6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1,198.7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1,016.2</w:t>
            </w:r>
          </w:p>
        </w:tc>
      </w:tr>
      <w:tr>
        <w:trPr>
          <w:trHeight w:val="257"/>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1,028.1</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3,115.5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2,997.5</w:t>
            </w:r>
          </w:p>
        </w:tc>
      </w:tr>
      <w:tr>
        <w:trPr>
          <w:trHeight w:val="27"/>
        </w:trPr>
        <w:tc>
          <w:tcPr>
            <w:tcW w:w="6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3,376.6</w:t>
            </w:r>
          </w:p>
        </w:tc>
      </w:tr>
      <w:tr>
        <w:trPr>
          <w:trHeight w:val="252"/>
        </w:trPr>
        <w:tc>
          <w:tcPr>
            <w:tcW w:w="68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82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ind w:left="660" w:right="60" w:hanging="314"/>
        <w:spacing w:after="0" w:line="211"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QEP's credit facility is reduced by outstanding letters of credit of $3.8 million as of September 30, 2014, and December 31, 2013.</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QEP’s unsecured revolving credit facility, which matures in August 2016, provides for loan commitments of $1.5 billion from a group of financial institutions. The credit facility provides for borrowings at short-term interest rates and contains customary covenants and restrictions. The credit facility also contains an accordion provision that would allow for the amount of the facility to be increased to $2.0 billion and a provision whereby the maturity can be extended for up to two additional one-year periods, with the agreement of the lenders. QEP’s weighted-average interest rate on borrowings from its credit facility was 2.22% during the nine months ended September 30, 2014. At September 30, 2014, QEP was in compliance with the debt covenants under the credit agreement. QEP's borrowings under its credit facility were increased to $361.5 million as of October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QEP's $600.0 million unsecured term loan facility provides for borrowings at short-term interest rates and contains covenants, restrictions and interest rates that are substantially the same as QEP’s revolving credit facility. The term loan matures in April 2017, and the maturity date may be extended one year with the agreement of the lenders. In conjunction with the Permian Basin Acquisition, QEP borrowed the incremental $300.0 million available under the facility and increased total borrowings under the term loan to $600.0 million. There were no changes to the maturity date, pricing or covenants in the credit agreement. QEP incurred $1.1 million of debt issuance costs associated with the new term loan issuance.</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nine months ended September 30, 2014, QEP’s weighted-average interest rate on borrowings under the term loan was 2.26%. In conjunction with the term loan, QEP entered into interest rate swap contracts with a combined notional principal amount of $600.0 million which will mature in March 2017. Under the aggregated swap contracts, QEP pays 0.96% for the life of the swaps and receives one-month LIBOR. The interest rate at September 30, 2014, under the term loan is one-month LIBOR, plus 2.00% (the Applicable Margin) which, when combined with the fixed interest rate swaps, results in an effective rate of 3.21% for borrowings under the term loan. To the extent that the Applicable Margin under the term loan changes, the effective fixed rate paid for borrowings under the term loan will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September 30, 2014, totaled $2,221.8 million principal amount and are comprised of six issuances as follows:</w:t>
      </w:r>
    </w:p>
    <w:p>
      <w:pPr>
        <w:spacing w:after="0" w:line="2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Net cash provided by operating activities during the first three quarters of 2014 increased $240.8 million compared to the first three quarters of 2013, due to higher non-cash adjustments to net income and an increase in changes in operating assets and liabilities partially offset by a net loss incurred during the nine months ended September 30, 2014. Non-cash adjustments to net income increased in the first three quarters of 2014 compared to the first three quarters of 2013 due to the loss on asset sales in the third quarter of 2014. Changes in operating assets and liabilities provided $62.0 million of cash in the first three quarters of 2014, mainly due to an increase of accounts payable and accrued expenses offset by an increase in accounts receivable. Changes in operating assets and liabilities used $8.1 million of cash in the first three quarters of 2013 primarily due to a decrease in accounts payable and accrued expenses due to the $115.0 million Chieftain settlement payment in the first quarter of 2013 and an increase in accounts receivable. Net cash provided by operating activities is presented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251.8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the first three quarters of 2014, net cash used in investing activities was $1,460.7 million, compared to $920.6 million in the first three quarters of 2013. This increase in investing activities was largely due to the Permian Basin Acquisition, which closed in the first quarter of 2014 for a total purchase price of $941.8 million. A comparison of capital expenditures for the first three quarters of 2014 and 2013 and a forecast for calendar year 2014 are presented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Corporate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1,865.0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accruals and purchase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1,865.0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 and excludes approximately $941.8 million for the Permian Basin Acquisition.</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June 30, 2014 Form 10-Q, filed on August 6, 2014.</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first three quarters of 2014, capital expenditures on a cash basis increased 97% to $2,220.1 million, compared to $1,128.9 million during the first three quarters of 2013. The increase of $1,091.2 million in cash capital expenditures during the first three quarters of 2014 was primarily the result of QEP Energy's increased capital expenditures related to the Permian Basin Acquisition.</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first three quarters of 2014, QEP Energy's capital expenditures, on an accrual basis, increased $1,117.0 million over the first three quarters of 2013 to a total of $2,225.9 million. This increase was primarily due to the Permian Basin Acquisition, which closed in the first three quarters of 2014 for a total purchase price of $941.8 million. In addition, capital expenditures increased $78.8 million in the Williston Basin, $215.4 million in the Permian Basin, $17.9 million in Pinedale, and $14.0 in Haynesville/Cotton Valley due to additional drilling activity and operations in these areas. These increases were partially offset by decreases of $128.7 million in the Midcontinent following decreased drilling and operations due to divestitures of non-core properties and $31.7 million in the Uinta Basin due to a decreased rig count.</w:t>
      </w:r>
    </w:p>
    <w:p>
      <w:pPr>
        <w:spacing w:after="0" w:line="193"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In the first three quarters of 2014, compared to the first three quarters of 2013, capital expenditures for QEP Field Services, (the operations of which are classified as discontinued operations throughout this Quarterly Report Form 10-Q), decreased $4.9 million to $50.6 million on an accrual basis. Capital expenditures during the first three quarters of 2014 primarily related to $13.8 million for expansion of the Uinta Basin Gathering system, $8.7 million for expansion of the Vermillion Processing Plant and $5.8 million of expansions related to other minor projects on various plants and gathering systems. The remaining expenditures related to maintenance capital expenditures.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50" w:name="page51"/>
    <w:bookmarkEnd w:id="50"/>
    <w:p>
      <w:pPr>
        <w:spacing w:after="0" w:line="286" w:lineRule="auto"/>
        <w:rPr>
          <w:sz w:val="20"/>
          <w:szCs w:val="20"/>
          <w:color w:val="auto"/>
        </w:rPr>
      </w:pPr>
      <w:r>
        <w:rPr>
          <w:rFonts w:ascii="Arial" w:cs="Arial" w:eastAsia="Arial" w:hAnsi="Arial"/>
          <w:sz w:val="16"/>
          <w:szCs w:val="16"/>
          <w:color w:val="auto"/>
        </w:rPr>
        <w:t>At September 30, 2014, forecasted capital investments for 2014, excluding acquisitions, are expected to be approximately $1,834.0 million, comprised of $1,744.0 million for QEP Energy, $75.0 million for discontinued operations, and $15.0 million for QEP Marketing and Other. For the remainder of 2014, QEP intends to fund capital expenditures with cash flow from operating activities, and, if needed, borrowings under its revolving credit facility. QEP plans minimal capital expenditures for the Haynesville Shale and other dry-gas development areas and plans to direct the majority of its capital expenditures for higher return projects, including oil-directed horizontal drilling in the Williston Basin and the Permian Basin, the latter of which was acquired in the first quarter of 2014. Approximately 96% of QEP's forecasted 2014 drilling and completion capital expenditure budget is directed to oil and liquids-rich gas plays. QEP plans to invest a total of approximately $75.0 million in capital expenditures during 2014 in its discontinued midstream business (including QEP Midstream), including an expansion of the Vermillion processing plant as well as additional gathering facilities in the Uinta Basin. QEP plans to invest approximately $15.0 million in capital expenditures related to corporate activities, primarily the implementation of a new ERP system and building improvements. The aggregate levels of capital expenditures for 2014,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investment can generate the best return. Accordingly, the actual levels of capital expenditures and the allocation of those expenditures may vary materially from QEP’s estimates.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first three quarters of 2014, QEP had proceeds from disposition of assets of $706.2 million primarily related to QEP Energy's sale of its interest in non-core oil and gas properties in the Midcontinent area and other non-core assets in the Williston Basin. In the first three quarters of 2013, QEP had proceeds from disposition of assets of $208.3 million due to QEP Energy's sale of its interest in non-core oil and gas properties located in both the Northern and Southern Regions.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first three quarters of 2014, net cash proceeds from financing activities were $229.1 million compared to $64.7 million in the first three quarters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2013. Included in the 2014 amount is $230.0 million of borrowings on QEP Midstream's credit facility, which was offset by payments of the same amount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QEP's credit facility. During the first three quarters of 2014, QEP had net borrowings from the QEP credit facility of $47.5 million and issued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under its term loan. These increased borrowings were offset by decreased checks outstanding in excess of cash balances of $81.1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noncontrolling interest of $23.3 million and $10.8 million of regular quarterly dividend payments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During the first three quarters of 2013, QEP received proceeds of $449.6 million from the QEP Midstream initial public offering,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offset by net repayments on the credit facility of $325.0 million, a decrease in checks outstanding in excess of cash balances of $38.1 million, and regular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quarterly dividend payments of $10.8 million.</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September 30, 2014, long-term debt consisted of $297.5 million outstanding under the credit facility, $600.0 million under the term loan and $2,221.8 million in senior notes (including $3.8 million of net original issue discount). The Company used the $300.0 million increase in the term loan during the first nine months of 2014 to fund part of the Permian Basin Acquisition. The $182.5 million decrease in borrowings under the credit facility was due to repayments with the proceeds of the Midcontinent divestitures, offset by borrowings used to fund the Permian Basin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QEP Field Services,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interest rate swaps to manage interest rate risk.</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84"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September 30, 2014, QEP held commodity price derivative contracts totaling 68.7 million MMBtu of gas and 12.1 million barrels of oil. At December 31, 2013, the QEP derivative contracts covered 139.4 million MMBtu of gas and 6.9 million barrels of oil.</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open 2014 derivative positions as of October 31, 2014. See Note 8 - Derivative Contracts, under Part 1, Item 1 of this Quarterly Report on Form 10-Q for open derivative positions as of September 30, 2014.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2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30"/>
        </w:trPr>
        <w:tc>
          <w:tcPr>
            <w:tcW w:w="3840" w:type="dxa"/>
            <w:vAlign w:val="bottom"/>
          </w:tcPr>
          <w:p>
            <w:pPr>
              <w:ind w:left="176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price per unit</w:t>
            </w:r>
          </w:p>
        </w:tc>
      </w:tr>
      <w:tr>
        <w:trPr>
          <w:trHeight w:val="27"/>
        </w:trPr>
        <w:tc>
          <w:tcPr>
            <w:tcW w:w="3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6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rPr>
              <w:t>NYMEX</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3840" w:type="dxa"/>
            <w:vAlign w:val="bottom"/>
          </w:tcPr>
          <w:p>
            <w:pPr>
              <w:jc w:val="center"/>
              <w:ind w:right="2990"/>
              <w:spacing w:after="0"/>
              <w:rPr>
                <w:sz w:val="20"/>
                <w:szCs w:val="20"/>
                <w:color w:val="auto"/>
              </w:rPr>
            </w:pPr>
            <w:r>
              <w:rPr>
                <w:rFonts w:ascii="Arial" w:cs="Arial" w:eastAsia="Arial" w:hAnsi="Arial"/>
                <w:sz w:val="18"/>
                <w:szCs w:val="18"/>
                <w:b w:val="1"/>
                <w:bCs w:val="1"/>
                <w:color w:val="auto"/>
                <w:w w:val="89"/>
              </w:rPr>
              <w:t>Oil Sales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90.04</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BRENT ICE</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104.95</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891"/>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4"/>
          </w:tcPr>
          <w:p>
            <w:pPr>
              <w:jc w:val="center"/>
              <w:ind w:right="1420"/>
              <w:spacing w:after="0"/>
              <w:rPr>
                <w:sz w:val="20"/>
                <w:szCs w:val="20"/>
                <w:color w:val="auto"/>
              </w:rPr>
            </w:pPr>
            <w:r>
              <w:rPr>
                <w:rFonts w:ascii="Arial" w:cs="Arial" w:eastAsia="Arial" w:hAnsi="Arial"/>
                <w:sz w:val="18"/>
                <w:szCs w:val="18"/>
                <w:b w:val="1"/>
                <w:bCs w:val="1"/>
                <w:color w:val="auto"/>
                <w:w w:val="90"/>
              </w:rPr>
              <w:t>QEP Energy Oil Basis Swaps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3"/>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r>
      <w:tr>
        <w:trPr>
          <w:trHeight w:val="216"/>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r>
      <w:tr>
        <w:trPr>
          <w:trHeight w:val="230"/>
        </w:trPr>
        <w:tc>
          <w:tcPr>
            <w:tcW w:w="3840" w:type="dxa"/>
            <w:vAlign w:val="bottom"/>
          </w:tcPr>
          <w:p>
            <w:pPr>
              <w:ind w:left="178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7"/>
              </w:rPr>
              <w:t>Differential</w:t>
            </w:r>
          </w:p>
        </w:tc>
      </w:tr>
      <w:tr>
        <w:trPr>
          <w:trHeight w:val="27"/>
        </w:trPr>
        <w:tc>
          <w:tcPr>
            <w:tcW w:w="3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Oil basis swaps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13.78</w:t>
            </w:r>
          </w:p>
        </w:tc>
      </w:tr>
      <w:tr>
        <w:trPr>
          <w:trHeight w:val="27"/>
        </w:trPr>
        <w:tc>
          <w:tcPr>
            <w:tcW w:w="3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4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jc w:val="center"/>
              <w:ind w:right="303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3840" w:type="dxa"/>
            <w:vAlign w:val="bottom"/>
          </w:tcPr>
          <w:p>
            <w:pPr>
              <w:jc w:val="center"/>
              <w:ind w:right="3030"/>
              <w:spacing w:after="0"/>
              <w:rPr>
                <w:sz w:val="20"/>
                <w:szCs w:val="20"/>
                <w:color w:val="auto"/>
              </w:rPr>
            </w:pPr>
            <w:r>
              <w:rPr>
                <w:rFonts w:ascii="Arial" w:cs="Arial" w:eastAsia="Arial" w:hAnsi="Arial"/>
                <w:sz w:val="18"/>
                <w:szCs w:val="18"/>
                <w:color w:val="auto"/>
                <w:w w:val="89"/>
              </w:rPr>
              <w:t>2015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rPr>
              <w:t>NYMEX WTI</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LLS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567"/>
        </w:trPr>
        <w:tc>
          <w:tcPr>
            <w:tcW w:w="3840" w:type="dxa"/>
            <w:vAlign w:val="bottom"/>
          </w:tcPr>
          <w:p>
            <w:pPr>
              <w:spacing w:after="0"/>
              <w:rPr>
                <w:sz w:val="24"/>
                <w:szCs w:val="24"/>
                <w:color w:val="auto"/>
              </w:rPr>
            </w:pPr>
          </w:p>
        </w:tc>
        <w:tc>
          <w:tcPr>
            <w:tcW w:w="2480" w:type="dxa"/>
            <w:vAlign w:val="bottom"/>
            <w:gridSpan w:val="4"/>
          </w:tcPr>
          <w:p>
            <w:pPr>
              <w:jc w:val="center"/>
              <w:ind w:left="117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180" w:type="dxa"/>
            <w:vAlign w:val="bottom"/>
            <w:gridSpan w:val="6"/>
          </w:tcPr>
          <w:p>
            <w:pPr>
              <w:ind w:left="180"/>
              <w:spacing w:after="0"/>
              <w:rPr>
                <w:sz w:val="20"/>
                <w:szCs w:val="20"/>
                <w:color w:val="auto"/>
              </w:rPr>
            </w:pPr>
            <w:r>
              <w:rPr>
                <w:rFonts w:ascii="Arial" w:cs="Arial" w:eastAsia="Arial" w:hAnsi="Arial"/>
                <w:sz w:val="18"/>
                <w:szCs w:val="18"/>
                <w:b w:val="1"/>
                <w:bCs w:val="1"/>
                <w:color w:val="auto"/>
              </w:rPr>
              <w:t>QEP Marketing Commodity Derivative Positions</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88"/>
              </w:rPr>
              <w:t>Average Swap</w:t>
            </w:r>
          </w:p>
        </w:tc>
      </w:tr>
      <w:tr>
        <w:trPr>
          <w:trHeight w:val="216"/>
        </w:trPr>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2"/>
              </w:rPr>
              <w:t>price</w:t>
            </w:r>
          </w:p>
        </w:tc>
      </w:tr>
      <w:tr>
        <w:trPr>
          <w:trHeight w:val="230"/>
        </w:trPr>
        <w:tc>
          <w:tcPr>
            <w:tcW w:w="3640" w:type="dxa"/>
            <w:vAlign w:val="bottom"/>
          </w:tcPr>
          <w:p>
            <w:pPr>
              <w:ind w:left="178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Volumes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7"/>
              </w:rPr>
              <w:t>per MMBtu</w:t>
            </w:r>
          </w:p>
        </w:tc>
      </w:tr>
      <w:tr>
        <w:trPr>
          <w:trHeight w:val="27"/>
        </w:trPr>
        <w:tc>
          <w:tcPr>
            <w:tcW w:w="3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(MMBtu)</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432"/>
        </w:trPr>
        <w:tc>
          <w:tcPr>
            <w:tcW w:w="8820" w:type="dxa"/>
            <w:vAlign w:val="bottom"/>
            <w:gridSpan w:val="7"/>
          </w:tcPr>
          <w:p>
            <w:pPr>
              <w:spacing w:after="0"/>
              <w:rPr>
                <w:sz w:val="20"/>
                <w:szCs w:val="20"/>
                <w:color w:val="auto"/>
              </w:rPr>
            </w:pPr>
            <w:r>
              <w:rPr>
                <w:rFonts w:ascii="Arial" w:cs="Arial" w:eastAsia="Arial" w:hAnsi="Arial"/>
                <w:sz w:val="18"/>
                <w:szCs w:val="18"/>
                <w:color w:val="auto"/>
                <w:w w:val="92"/>
              </w:rPr>
              <w:t>Changes in the fair value of derivative contracts from December 31, 2013 to September 30, 2014, are presented below:</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3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3"/>
          </w:tcPr>
          <w:p>
            <w:pPr>
              <w:jc w:val="center"/>
              <w:ind w:right="250"/>
              <w:spacing w:after="0"/>
              <w:rPr>
                <w:sz w:val="20"/>
                <w:szCs w:val="20"/>
                <w:color w:val="auto"/>
              </w:rPr>
            </w:pPr>
            <w:r>
              <w:rPr>
                <w:rFonts w:ascii="Arial" w:cs="Arial" w:eastAsia="Arial" w:hAnsi="Arial"/>
                <w:sz w:val="18"/>
                <w:szCs w:val="18"/>
                <w:color w:val="auto"/>
                <w:w w:val="98"/>
              </w:rPr>
              <w:t>(in millions)</w:t>
            </w:r>
          </w:p>
        </w:tc>
      </w:tr>
      <w:tr>
        <w:trPr>
          <w:trHeight w:val="27"/>
        </w:trPr>
        <w:tc>
          <w:tcPr>
            <w:tcW w:w="6420" w:type="dxa"/>
            <w:vAlign w:val="bottom"/>
            <w:gridSpan w:val="5"/>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6"/>
              </w:rPr>
              <w:t>Net fair value of oil and gas derivative contracts outstanding at December 31, 2013</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3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Change in oil and gas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6420" w:type="dxa"/>
            <w:vAlign w:val="bottom"/>
            <w:tcBorders>
              <w:bottom w:val="single" w:sz="8" w:color="CCEEFF"/>
            </w:tcBorders>
            <w:gridSpan w:val="5"/>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fair value of oil and gas derivative contracts outstanding at September 30, 2014</w:t>
            </w:r>
          </w:p>
        </w:tc>
        <w:tc>
          <w:tcPr>
            <w:tcW w:w="2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September 30, 2014</w:t>
            </w:r>
          </w:p>
        </w:tc>
      </w:tr>
      <w:tr>
        <w:trPr>
          <w:trHeight w:val="27"/>
        </w:trPr>
        <w:tc>
          <w:tcPr>
            <w:tcW w:w="9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650"/>
              <w:spacing w:after="0"/>
              <w:rPr>
                <w:sz w:val="20"/>
                <w:szCs w:val="20"/>
                <w:color w:val="auto"/>
              </w:rPr>
            </w:pPr>
            <w:r>
              <w:rPr>
                <w:rFonts w:ascii="Arial" w:cs="Arial" w:eastAsia="Arial" w:hAnsi="Arial"/>
                <w:sz w:val="18"/>
                <w:szCs w:val="18"/>
                <w:color w:val="auto"/>
              </w:rPr>
              <w:t>(in millions)</w:t>
            </w: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Fair value if market prices of oil and gas and basis differentials decline by 10%</w:t>
            </w: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b w:val="1"/>
                <w:bCs w:val="1"/>
                <w:color w:val="auto"/>
              </w:rPr>
              <w:t>170.2</w:t>
            </w:r>
          </w:p>
        </w:tc>
      </w:tr>
      <w:tr>
        <w:trPr>
          <w:trHeight w:val="27"/>
        </w:trPr>
        <w:tc>
          <w:tcPr>
            <w:tcW w:w="9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and gas and basis differentials increase by 10%</w:t>
            </w:r>
          </w:p>
        </w:tc>
        <w:tc>
          <w:tcPr>
            <w:tcW w:w="30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r>
      <w:tr>
        <w:trPr>
          <w:trHeight w:val="27"/>
        </w:trPr>
        <w:tc>
          <w:tcPr>
            <w:tcW w:w="9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Utilizing the actual derivative volumes, a 10% increase in underlying commodity prices would reduce the fair value of these instruments by $128.8 million, while a 10% decrease in underlying commodity prices would increase the fair value of these instruments by $128.8 million as of September 30, 2014. However, a gain or loss eventually would be offset by the actual sales value of the physical production covered by the derivative instruments. For additional information regarding the Company’s commodity derivative transactions, see Note 8 – Derivative Contracts under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ability to borrow and the rates offered by lenders can be adversely affected by illiquid credit markets as described in the risk factors in Part I, Item 1A of the Company’s Annual Report on Form 10-K for the year ended December 31, 2013. The Company’s credit facility has a floating interest rate, which exposes QEP to interest rate risk. At September 30, 2014, the Company had $297.5 million outstanding under its revolving credit facility. If interest rates were to increase or decrease 10% over the nine months ended September 30, 2014, at our average level of borrowing for those same periods, our interest expense would increase or decrease by $1.2 million for the nine months ended September 30, 2014.</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term loan has a floating interest rate, which also exposes QEP to interest rate risk. QEP uses interest rate swaps to mitigate a portion of its exposure to interest rate volatility risk associated with its $600.0 million term loan. For the $300.0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86" w:right="239" w:bottom="1440" w:gutter="0" w:footer="0" w:header="0"/>
        </w:sectPr>
      </w:pPr>
    </w:p>
    <w:bookmarkStart w:id="53" w:name="page54"/>
    <w:bookmarkEnd w:id="53"/>
    <w:p>
      <w:pPr>
        <w:ind w:right="100"/>
        <w:spacing w:after="0" w:line="257" w:lineRule="auto"/>
        <w:rPr>
          <w:sz w:val="20"/>
          <w:szCs w:val="20"/>
          <w:color w:val="auto"/>
        </w:rPr>
      </w:pPr>
      <w:r>
        <w:rPr>
          <w:rFonts w:ascii="Arial" w:cs="Arial" w:eastAsia="Arial" w:hAnsi="Arial"/>
          <w:sz w:val="18"/>
          <w:szCs w:val="18"/>
          <w:color w:val="auto"/>
        </w:rPr>
        <w:t>million term loan issued during 2012, QEP locked in a fixed interest rate of 1.07% in exchange for a variable interest rate indexed to the one-month LIBOR. For the $300.0 million term loan issued during 2014, QEP locked in a fixed interest rate of 0.86%. The interest rate swaps settle monthly and will mature in March 2017. At September 30, 2014, the fair value of the interest rate swaps was a derivative liability balance of $0.8 million. A 50 basis point decrease would cause the fair value of the interest rate swaps to decrease by $7.2 million while a 50 basis point increase would cause the fair value of the interest rate swaps to increase by $7.1 million.</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10 – Debt under Part I, Item 1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benefits of the sale of QEP Field Services' midstream business;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fair value and critical accounting estimates;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operate in ethane recovery mode;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the closing of sales of non-core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gas, oil and NGL prices, their impact on operations and factors affecting the volatility of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one of the lowest cash operating cost structures;</w:t>
      </w:r>
    </w:p>
    <w:p>
      <w:pPr>
        <w:spacing w:after="0" w:line="9" w:lineRule="exact"/>
        <w:rPr>
          <w:rFonts w:ascii="Arial" w:cs="Arial" w:eastAsia="Arial" w:hAnsi="Arial"/>
          <w:sz w:val="18"/>
          <w:szCs w:val="18"/>
          <w:color w:val="auto"/>
        </w:rPr>
      </w:pPr>
    </w:p>
    <w:p>
      <w:pPr>
        <w:ind w:left="740" w:right="60" w:hanging="327"/>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liquidity and sufficiency of cash flow from operations, cash-on-hand and availability under its credit facility to fund the Company's planned capital expenditures and operating expenses;</w:t>
      </w: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divest of non-core assets and use of proceeds from such divestitures;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refinery and pipeline and other infrastructure constraints on oil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assumptions regarding equity-based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enter into derivative contracts and managing counterparty risk;</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 and returns from plan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Adjusted EBITDA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for future asset impairments;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factors impacting the timing and amount of share repurchases;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enhancements from the new ERP system and controls maintained during implementation;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new internal controls framework.</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584" w:right="299" w:bottom="1440" w:gutter="0" w:footer="0" w:header="0"/>
        </w:sectPr>
      </w:pPr>
    </w:p>
    <w:bookmarkStart w:id="54" w:name="page55"/>
    <w:bookmarkEnd w:id="54"/>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2013;</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ability to successfully integrate acquired assets or divest of non-core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success in closing the sale of QEP Field Services' midstream business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QEP's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processing margins;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costs for constructing, modifying or operating midstream facilities;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58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the Exchange Act) as of September 30, 2014. Based on such evaluation, such officers have concluded that, as of September 30, 2014,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maintains a system of internal controls over financial reporting that is designed to provide reasonable assurance that its books and records accurately reflect transactions and that established policies and procedures are followed. During the quarter ended June 30, 2014, the Company completed the implementation of a new ERP system. The ERP system was implemented by QEP to improve standardization and automation, and not in response to a deficiency in internal control over financial reporting. The Company believes the implementation of the ERP system and related changes to internal controls will enhance its internal controls over financial reporting while providing the ability to scale its business in the future. The Company believes it has taken the necessary steps to monitor and maintain appropriate internal control over financial reporting during this period of change and will continue to evaluate the operating effectiveness of related key controls during subsequent periods.</w:t>
      </w:r>
    </w:p>
    <w:p>
      <w:pPr>
        <w:spacing w:after="0" w:line="17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On May 14, 2013, the Committee of Sponsoring Organizations of the Treadway Commission (COSO) issued an updated version of its Internal Control - Integrated Framework (the 2013 Framework). Originally issued in 1992 (the 1992 Framework), the framework helps organizations design, implement and evaluate the effectiveness of internal control concepts and simplify their use and application. The 1992 Framework remains available during the transition period, which extends to December 15, 2014, after which time COSO will consider it as superseded by the 2013 Framework. QEP believes it will meet the required implementation date for the 2013 Framework of December 15, 2014.</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regarding legal proceedings is set forth in Note 11 - Contingencies to the Company's condensed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2013. Below are material changes to such risk factors that have occurred during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to reduce gas flaring could have an adverse effect on our operations.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Wells in the Bakken and Three Forks formations in North Dakota, where we have significant operations, produce natural gas as well as crude oil. Constraints in the current gas gathering network in certain areas have resulted in some of that natural gas being flared instead of gathered, processed and sold. The North Dakota Industrial Commission, the State's chief energy regulator, recently issued an order to reduce the volume of natural gas flared from oil wells in the Bakken and Three Forks formations. In addition, the Commission is requiring operators to develop gas capture plans that describe how much natural gas is expected to be produced, how it will be delivered to a processor and where it will be processed. Production caps or penalties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580" w:right="279" w:bottom="1440" w:gutter="0" w:footer="0" w:header="0"/>
        </w:sectPr>
      </w:pPr>
    </w:p>
    <w:bookmarkStart w:id="56" w:name="page57"/>
    <w:bookmarkEnd w:id="56"/>
    <w:p>
      <w:pPr>
        <w:jc w:val="both"/>
        <w:ind w:right="140"/>
        <w:spacing w:after="0" w:line="264" w:lineRule="auto"/>
        <w:rPr>
          <w:sz w:val="20"/>
          <w:szCs w:val="20"/>
          <w:color w:val="auto"/>
        </w:rPr>
      </w:pPr>
      <w:r>
        <w:rPr>
          <w:rFonts w:ascii="Arial" w:cs="Arial" w:eastAsia="Arial" w:hAnsi="Arial"/>
          <w:sz w:val="18"/>
          <w:szCs w:val="18"/>
          <w:color w:val="auto"/>
        </w:rPr>
        <w:t>will be imposed on certain wells that cannot meet the capture goals. These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Crude oil from the Bakken and Three Forks formations may pose unique hazards that may have an adverse effect on our operations.</w:t>
      </w:r>
    </w:p>
    <w:p>
      <w:pPr>
        <w:spacing w:after="0" w:line="23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U.S. Department of Transportation has started rulemaking to develop new requirements for shipping crude oil by rail. Any new regulations that significantly affect transportation of crude oil production could materially and adversely affect our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QEP is subject to complex federal and other laws and regulations that could adversely affect its cost of doing business and recording of proved reserves.</w:t>
      </w:r>
    </w:p>
    <w:p>
      <w:pPr>
        <w:spacing w:after="0" w:line="2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Current federal regulations restrict activities during certain times of the year on significant portions of QEP Energy leasehold due to wildlife activity and/or habitat. QEP Energy has worked with federal and state officials in Wyoming to obtain authorization for limited winter-drilling activities on the Pinedale Anticline and has developed measures, such as drilling multiple wells from a single pad location, to minimize the impact of its activities on wildlife and wildlife habitat in its operations on federal lands. Various wildlife species inhabit certain of QEP Energy's leaseholds. The presence of wildlife or plants, including species that are protected under the federal Endangered Species Act, could limit access to leases held by QEP Energy on public and other lands.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In September 2008, the BLM issued a Record of Decision (ROD) on the Final Supplemental Environmental Impact Statement (FSEIS) for long-term development of gas resources in the Pinedale Anticline Project Area (PAPA). Under the ROD, QEP Energy is allowed to drill and complete wells year-round in one of five Concentrated Development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 shares</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shares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under the</w:t>
            </w:r>
          </w:p>
        </w:tc>
      </w:tr>
      <w:tr>
        <w:trPr>
          <w:trHeight w:val="261"/>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paid per share</w:t>
            </w:r>
          </w:p>
        </w:tc>
        <w:tc>
          <w:tcPr>
            <w:tcW w:w="12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July 1, 2014 - July 31,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0"/>
                <w:szCs w:val="20"/>
                <w:color w:val="auto"/>
              </w:rPr>
            </w:pP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August 1, 2014 - August 31, 2014</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7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September 1, 2014 - September 30,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36,780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3"/>
                <w:szCs w:val="23"/>
                <w:color w:val="auto"/>
              </w:rPr>
            </w:pPr>
          </w:p>
        </w:tc>
        <w:tc>
          <w:tcPr>
            <w:tcW w:w="23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39"/>
        </w:trPr>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jc w:val="both"/>
        <w:ind w:left="660" w:right="160" w:hanging="314"/>
        <w:spacing w:after="0" w:line="257" w:lineRule="auto"/>
        <w:tabs>
          <w:tab w:leader="none" w:pos="6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All of the 38,520 shares purchased during the three-month period ended September 30, 2014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January 2014, QEP's Board of Directors authorized the repurchase of up to $500.0 million of the Company's outstanding shares of common stock. This authorization was effective until January 2015, however QEP's Board of Directors has extended the program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nine months ended September 30, 2014, no shares were repurchased.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QEP Resources, Inc. Deferred Compensation Plan for Directors, Amended and Restated, effective as of August 1, 2014 (Incorporated</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by reference to Exhibit 10.1 to the Company's Quarterly Report on Form 10-Q for the quarter ended June 30, 2014, filed with the</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and Exchange Commission on August 6, 2014.)</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89"/>
              </w:rPr>
              <w:t>Membership Interest Purchase Agreement, dated as of October 19, 2014, by and between QEP Field Services Company, as seller, and</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Tesoro Logistics LP, as purchaser (Incorporated by reference to Exhibit 10.1 to the Company's Current report on Form 8-K filed with</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the Securities and Exchange Commission on October 20, 2014.)</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67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080"/>
          </w:cols>
          <w:pgMar w:left="240" w:top="580" w:right="57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3460" w:type="dxa"/>
            <w:vAlign w:val="bottom"/>
            <w:gridSpan w:val="2"/>
          </w:tcPr>
          <w:p>
            <w:pPr>
              <w:spacing w:after="0"/>
              <w:rPr>
                <w:sz w:val="20"/>
                <w:szCs w:val="20"/>
                <w:color w:val="auto"/>
              </w:rPr>
            </w:pPr>
            <w:r>
              <w:rPr>
                <w:rFonts w:ascii="Arial" w:cs="Arial" w:eastAsia="Arial" w:hAnsi="Arial"/>
                <w:sz w:val="18"/>
                <w:szCs w:val="18"/>
                <w:color w:val="auto"/>
              </w:rPr>
              <w:t>November 5, 2014</w:t>
            </w:r>
          </w:p>
        </w:tc>
        <w:tc>
          <w:tcPr>
            <w:tcW w:w="2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1"/>
        </w:trPr>
        <w:tc>
          <w:tcPr>
            <w:tcW w:w="134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r>
        <w:trPr>
          <w:trHeight w:val="243"/>
        </w:trPr>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13"/>
        </w:trPr>
        <w:tc>
          <w:tcPr>
            <w:tcW w:w="3460" w:type="dxa"/>
            <w:vAlign w:val="bottom"/>
            <w:gridSpan w:val="2"/>
          </w:tcPr>
          <w:p>
            <w:pPr>
              <w:spacing w:after="0"/>
              <w:rPr>
                <w:sz w:val="20"/>
                <w:szCs w:val="20"/>
                <w:color w:val="auto"/>
              </w:rPr>
            </w:pPr>
            <w:r>
              <w:rPr>
                <w:rFonts w:ascii="Arial" w:cs="Arial" w:eastAsia="Arial" w:hAnsi="Arial"/>
                <w:sz w:val="18"/>
                <w:szCs w:val="18"/>
                <w:color w:val="auto"/>
              </w:rPr>
              <w:t>November 5, 2014</w:t>
            </w:r>
          </w:p>
        </w:tc>
        <w:tc>
          <w:tcPr>
            <w:tcW w:w="246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1"/>
        </w:trPr>
        <w:tc>
          <w:tcPr>
            <w:tcW w:w="1340" w:type="dxa"/>
            <w:vAlign w:val="bottom"/>
            <w:tcBorders>
              <w:top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r>
      <w:tr>
        <w:trPr>
          <w:trHeight w:val="243"/>
        </w:trPr>
        <w:tc>
          <w:tcPr>
            <w:tcW w:w="13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3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September 30, 2014,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November 5,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November 5, 2014</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2019-12-06T23:16:56Z</dcterms:created>
  <dcterms:modified xsi:type="dcterms:W3CDTF">2019-12-06T23:16:56Z</dcterms:modified>
</cp:coreProperties>
</file>