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color w:val="auto"/>
        </w:rPr>
        <w:t>UNITED STATES</w:t>
      </w:r>
    </w:p>
    <w:p>
      <w:pPr>
        <w:jc w:val="center"/>
        <w:ind w:right="60"/>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60"/>
        <w:spacing w:after="0"/>
        <w:rPr>
          <w:sz w:val="20"/>
          <w:szCs w:val="20"/>
          <w:color w:val="auto"/>
        </w:rPr>
      </w:pPr>
      <w:r>
        <w:rPr>
          <w:rFonts w:ascii="Arial" w:cs="Arial" w:eastAsia="Arial" w:hAnsi="Arial"/>
          <w:sz w:val="22"/>
          <w:szCs w:val="22"/>
          <w:color w:val="auto"/>
        </w:rPr>
        <w:t>Washington, D.C. 20549</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SCHEDULE 13D</w:t>
      </w:r>
    </w:p>
    <w:p>
      <w:pPr>
        <w:spacing w:after="0" w:line="229" w:lineRule="exact"/>
        <w:rPr>
          <w:sz w:val="24"/>
          <w:szCs w:val="24"/>
          <w:color w:val="auto"/>
        </w:rPr>
      </w:pPr>
    </w:p>
    <w:p>
      <w:pPr>
        <w:jc w:val="center"/>
        <w:ind w:left="360" w:right="2360"/>
        <w:spacing w:after="0" w:line="250" w:lineRule="auto"/>
        <w:rPr>
          <w:sz w:val="20"/>
          <w:szCs w:val="20"/>
          <w:color w:val="auto"/>
        </w:rPr>
      </w:pPr>
      <w:r>
        <w:rPr>
          <w:rFonts w:ascii="Arial" w:cs="Arial" w:eastAsia="Arial" w:hAnsi="Arial"/>
          <w:sz w:val="20"/>
          <w:szCs w:val="20"/>
          <w:color w:val="auto"/>
        </w:rPr>
        <w:t>INFORMATION TO BE INCLUDED IN STATEMENTS FILED PURSUANT TO RULE 13d-1(a) AND AMENDMENTS THERETO FILED PURSUANT TO RULE 13d-2(a)</w:t>
      </w:r>
    </w:p>
    <w:p>
      <w:pPr>
        <w:spacing w:after="0" w:line="199"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(Amendment No. __)*</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QEP Resources,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74733V100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51" w:lineRule="exact"/>
        <w:rPr>
          <w:sz w:val="24"/>
          <w:szCs w:val="24"/>
          <w:color w:val="auto"/>
        </w:rPr>
      </w:pPr>
    </w:p>
    <w:p>
      <w:pPr>
        <w:ind w:left="5140"/>
        <w:spacing w:after="0"/>
        <w:rPr>
          <w:sz w:val="20"/>
          <w:szCs w:val="20"/>
          <w:color w:val="auto"/>
        </w:rPr>
      </w:pPr>
      <w:r>
        <w:rPr>
          <w:rFonts w:ascii="Arial" w:cs="Arial" w:eastAsia="Arial" w:hAnsi="Arial"/>
          <w:sz w:val="20"/>
          <w:szCs w:val="20"/>
          <w:color w:val="auto"/>
        </w:rPr>
        <w:t>Paul Glazer</w:t>
      </w:r>
    </w:p>
    <w:p>
      <w:pPr>
        <w:spacing w:after="0" w:line="16" w:lineRule="exact"/>
        <w:rPr>
          <w:sz w:val="24"/>
          <w:szCs w:val="24"/>
          <w:color w:val="auto"/>
        </w:rPr>
      </w:pPr>
    </w:p>
    <w:p>
      <w:pPr>
        <w:ind w:left="4820"/>
        <w:spacing w:after="0"/>
        <w:rPr>
          <w:sz w:val="20"/>
          <w:szCs w:val="20"/>
          <w:color w:val="auto"/>
        </w:rPr>
      </w:pPr>
      <w:r>
        <w:rPr>
          <w:rFonts w:ascii="Arial" w:cs="Arial" w:eastAsia="Arial" w:hAnsi="Arial"/>
          <w:sz w:val="20"/>
          <w:szCs w:val="20"/>
          <w:color w:val="auto"/>
        </w:rPr>
        <w:t>Glazer Capital, LLC</w:t>
      </w:r>
    </w:p>
    <w:p>
      <w:pPr>
        <w:ind w:left="4360"/>
        <w:spacing w:after="0" w:line="184" w:lineRule="auto"/>
        <w:rPr>
          <w:sz w:val="20"/>
          <w:szCs w:val="20"/>
          <w:color w:val="auto"/>
        </w:rPr>
      </w:pPr>
      <w:r>
        <w:rPr>
          <w:rFonts w:ascii="Arial" w:cs="Arial" w:eastAsia="Arial" w:hAnsi="Arial"/>
          <w:sz w:val="20"/>
          <w:szCs w:val="20"/>
          <w:color w:val="auto"/>
        </w:rPr>
        <w:t>250 West 55</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Street, Suite 30A</w:t>
      </w:r>
    </w:p>
    <w:p>
      <w:pPr>
        <w:ind w:left="4760"/>
        <w:spacing w:after="0"/>
        <w:rPr>
          <w:sz w:val="20"/>
          <w:szCs w:val="20"/>
          <w:color w:val="auto"/>
        </w:rPr>
      </w:pPr>
      <w:r>
        <w:rPr>
          <w:rFonts w:ascii="Arial" w:cs="Arial" w:eastAsia="Arial" w:hAnsi="Arial"/>
          <w:sz w:val="20"/>
          <w:szCs w:val="20"/>
          <w:color w:val="auto"/>
        </w:rPr>
        <w:t>New York, NY 10019</w:t>
      </w:r>
    </w:p>
    <w:p>
      <w:pPr>
        <w:ind w:left="5060"/>
        <w:spacing w:after="0"/>
        <w:rPr>
          <w:sz w:val="20"/>
          <w:szCs w:val="20"/>
          <w:color w:val="auto"/>
        </w:rPr>
      </w:pPr>
      <w:r>
        <w:rPr>
          <w:rFonts w:ascii="Arial" w:cs="Arial" w:eastAsia="Arial" w:hAnsi="Arial"/>
          <w:sz w:val="20"/>
          <w:szCs w:val="20"/>
          <w:color w:val="auto"/>
        </w:rPr>
        <w:t>(212) 808-7304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color w:val="auto"/>
        </w:rPr>
        <w:t>(Name, Address and Telephone Number of Person</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Authorized to Receive Notices and Communications)</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March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24" w:lineRule="exact"/>
        <w:rPr>
          <w:sz w:val="24"/>
          <w:szCs w:val="24"/>
          <w:color w:val="auto"/>
        </w:rPr>
      </w:pPr>
    </w:p>
    <w:p>
      <w:pPr>
        <w:ind w:right="100"/>
        <w:spacing w:after="0" w:line="287"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(Page 1 of 8 Pages)</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ind w:right="340" w:firstLine="8"/>
        <w:spacing w:after="0" w:line="297" w:lineRule="auto"/>
        <w:tabs>
          <w:tab w:leader="none" w:pos="148"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4"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00"/>
          </w:cols>
          <w:pgMar w:left="320" w:top="429"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6"/>
        </w:trPr>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3"/>
              </w:rPr>
              <w:t>CUSIP No. 74733V100</w:t>
            </w:r>
          </w:p>
        </w:tc>
        <w:tc>
          <w:tcPr>
            <w:tcW w:w="6320" w:type="dxa"/>
            <w:vAlign w:val="bottom"/>
          </w:tcPr>
          <w:p>
            <w:pPr>
              <w:ind w:left="3060"/>
              <w:spacing w:after="0"/>
              <w:rPr>
                <w:sz w:val="20"/>
                <w:szCs w:val="20"/>
                <w:color w:val="auto"/>
              </w:rPr>
            </w:pPr>
            <w:r>
              <w:rPr>
                <w:rFonts w:ascii="Arial" w:cs="Arial" w:eastAsia="Arial" w:hAnsi="Arial"/>
                <w:sz w:val="20"/>
                <w:szCs w:val="20"/>
                <w:b w:val="1"/>
                <w:bCs w:val="1"/>
                <w:color w:val="auto"/>
              </w:rPr>
              <w:t>SCHEDULE 13D</w:t>
            </w:r>
          </w:p>
        </w:tc>
        <w:tc>
          <w:tcPr>
            <w:tcW w:w="3080" w:type="dxa"/>
            <w:vAlign w:val="bottom"/>
          </w:tcPr>
          <w:p>
            <w:pPr>
              <w:ind w:left="1760"/>
              <w:spacing w:after="0"/>
              <w:rPr>
                <w:sz w:val="20"/>
                <w:szCs w:val="20"/>
                <w:color w:val="auto"/>
              </w:rPr>
            </w:pPr>
            <w:r>
              <w:rPr>
                <w:rFonts w:ascii="Arial" w:cs="Arial" w:eastAsia="Arial" w:hAnsi="Arial"/>
                <w:sz w:val="18"/>
                <w:szCs w:val="18"/>
                <w:b w:val="1"/>
                <w:bCs w:val="1"/>
                <w:color w:val="auto"/>
                <w:w w:val="84"/>
              </w:rPr>
              <w:t>Page 2 of 8 Pages</w:t>
            </w:r>
          </w:p>
        </w:tc>
        <w:tc>
          <w:tcPr>
            <w:tcW w:w="0" w:type="dxa"/>
            <w:vAlign w:val="bottom"/>
          </w:tcPr>
          <w:p>
            <w:pPr>
              <w:spacing w:after="0"/>
              <w:rPr>
                <w:sz w:val="1"/>
                <w:szCs w:val="1"/>
                <w:color w:val="auto"/>
              </w:rPr>
            </w:pPr>
          </w:p>
        </w:tc>
      </w:tr>
      <w:tr>
        <w:trPr>
          <w:trHeight w:val="347"/>
        </w:trPr>
        <w:tc>
          <w:tcPr>
            <w:tcW w:w="18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1</w:t>
            </w:r>
          </w:p>
        </w:tc>
        <w:tc>
          <w:tcPr>
            <w:tcW w:w="6320" w:type="dxa"/>
            <w:vAlign w:val="bottom"/>
          </w:tcPr>
          <w:p>
            <w:pPr>
              <w:ind w:left="80"/>
              <w:spacing w:after="0"/>
              <w:rPr>
                <w:sz w:val="20"/>
                <w:szCs w:val="20"/>
                <w:color w:val="auto"/>
              </w:rPr>
            </w:pPr>
            <w:r>
              <w:rPr>
                <w:rFonts w:ascii="Arial" w:cs="Arial" w:eastAsia="Arial" w:hAnsi="Arial"/>
                <w:sz w:val="16"/>
                <w:szCs w:val="16"/>
                <w:color w:val="auto"/>
              </w:rPr>
              <w:t>NAME OF REPORTING PERSON</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320" w:type="dxa"/>
            <w:vAlign w:val="bottom"/>
            <w:vMerge w:val="restart"/>
          </w:tcPr>
          <w:p>
            <w:pPr>
              <w:ind w:left="400"/>
              <w:spacing w:after="0"/>
              <w:rPr>
                <w:sz w:val="20"/>
                <w:szCs w:val="20"/>
                <w:color w:val="auto"/>
              </w:rPr>
            </w:pPr>
            <w:r>
              <w:rPr>
                <w:rFonts w:ascii="Arial" w:cs="Arial" w:eastAsia="Arial" w:hAnsi="Arial"/>
                <w:sz w:val="20"/>
                <w:szCs w:val="20"/>
                <w:color w:val="auto"/>
              </w:rPr>
              <w:t>Glazer Capital, LLC</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2</w:t>
            </w:r>
          </w:p>
        </w:tc>
        <w:tc>
          <w:tcPr>
            <w:tcW w:w="632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080" w:type="dxa"/>
            <w:vAlign w:val="bottom"/>
            <w:vMerge w:val="restart"/>
          </w:tcPr>
          <w:p>
            <w:pPr>
              <w:ind w:left="184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32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80" w:type="dxa"/>
            <w:vAlign w:val="bottom"/>
          </w:tcPr>
          <w:p>
            <w:pPr>
              <w:ind w:left="184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5357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ind w:left="1920" w:hanging="1079"/>
        <w:spacing w:after="0" w:line="189" w:lineRule="auto"/>
        <w:tabs>
          <w:tab w:leader="none" w:pos="1920" w:val="left"/>
        </w:tabs>
        <w:numPr>
          <w:ilvl w:val="0"/>
          <w:numId w:val="2"/>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580" w:type="dxa"/>
            <w:vAlign w:val="bottom"/>
            <w:gridSpan w:val="2"/>
          </w:tcPr>
          <w:p>
            <w:pPr>
              <w:ind w:left="120"/>
              <w:spacing w:after="0"/>
              <w:rPr>
                <w:sz w:val="20"/>
                <w:szCs w:val="20"/>
                <w:color w:val="auto"/>
              </w:rPr>
            </w:pPr>
            <w:r>
              <w:rPr>
                <w:rFonts w:ascii="Arial" w:cs="Arial" w:eastAsia="Arial" w:hAnsi="Arial"/>
                <w:sz w:val="16"/>
                <w:szCs w:val="16"/>
                <w:color w:val="auto"/>
                <w:w w:val="93"/>
              </w:rPr>
              <w:t>SOURCE OF FUNDS</w:t>
            </w:r>
          </w:p>
        </w:tc>
        <w:tc>
          <w:tcPr>
            <w:tcW w:w="6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rPr>
              <w:t>AF</w:t>
            </w: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5</w:t>
            </w:r>
          </w:p>
        </w:tc>
        <w:tc>
          <w:tcPr>
            <w:tcW w:w="7940" w:type="dxa"/>
            <w:vAlign w:val="bottom"/>
            <w:gridSpan w:val="3"/>
            <w:vMerge w:val="restart"/>
          </w:tcPr>
          <w:p>
            <w:pPr>
              <w:ind w:left="120"/>
              <w:spacing w:after="0"/>
              <w:rPr>
                <w:sz w:val="20"/>
                <w:szCs w:val="20"/>
                <w:color w:val="auto"/>
              </w:rPr>
            </w:pPr>
            <w:r>
              <w:rPr>
                <w:rFonts w:ascii="Arial" w:cs="Arial" w:eastAsia="Arial" w:hAnsi="Arial"/>
                <w:sz w:val="16"/>
                <w:szCs w:val="16"/>
                <w:color w:val="auto"/>
                <w:w w:val="99"/>
              </w:rPr>
              <w:t>CHECK BOX IF DISCLOSURE OF LEGAL PROCEEDING IS REQUIRED PURSUANT TO ITEMS 2(d) or 2(e)</w:t>
            </w:r>
          </w:p>
        </w:tc>
        <w:tc>
          <w:tcPr>
            <w:tcW w:w="1500" w:type="dxa"/>
            <w:vAlign w:val="bottom"/>
          </w:tcPr>
          <w:p>
            <w:pPr>
              <w:ind w:left="26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9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7940" w:type="dxa"/>
            <w:vAlign w:val="bottom"/>
            <w:tcBorders>
              <w:bottom w:val="single" w:sz="8" w:color="auto"/>
            </w:tcBorders>
            <w:gridSpan w:val="3"/>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rPr>
              <w:t>Delaware</w:t>
            </w: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80" w:type="dxa"/>
            <w:vAlign w:val="bottom"/>
          </w:tcPr>
          <w:p>
            <w:pPr>
              <w:spacing w:after="0"/>
              <w:rPr>
                <w:sz w:val="20"/>
                <w:szCs w:val="20"/>
                <w:color w:val="auto"/>
              </w:rPr>
            </w:pPr>
          </w:p>
        </w:tc>
        <w:tc>
          <w:tcPr>
            <w:tcW w:w="636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360" w:type="dxa"/>
            <w:vAlign w:val="bottom"/>
            <w:vMerge w:val="restart"/>
          </w:tcPr>
          <w:p>
            <w:pPr>
              <w:jc w:val="right"/>
              <w:ind w:right="569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36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restart"/>
          </w:tcPr>
          <w:p>
            <w:pPr>
              <w:jc w:val="right"/>
              <w:ind w:right="569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36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restart"/>
          </w:tcPr>
          <w:p>
            <w:pPr>
              <w:jc w:val="right"/>
              <w:ind w:right="569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3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360" w:type="dxa"/>
            <w:vAlign w:val="bottom"/>
            <w:vMerge w:val="restart"/>
          </w:tcPr>
          <w:p>
            <w:pPr>
              <w:jc w:val="right"/>
              <w:ind w:right="5690"/>
              <w:spacing w:after="0"/>
              <w:rPr>
                <w:sz w:val="20"/>
                <w:szCs w:val="20"/>
                <w:color w:val="auto"/>
              </w:rPr>
            </w:pPr>
            <w:r>
              <w:rPr>
                <w:rFonts w:ascii="Arial" w:cs="Arial" w:eastAsia="Arial" w:hAnsi="Arial"/>
                <w:sz w:val="20"/>
                <w:szCs w:val="20"/>
                <w:color w:val="auto"/>
              </w:rPr>
              <w:t>-0-</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6440" w:type="dxa"/>
            <w:vAlign w:val="bottom"/>
            <w:tcBorders>
              <w:bottom w:val="single" w:sz="8" w:color="auto"/>
            </w:tcBorders>
            <w:gridSpan w:val="2"/>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12</w:t>
            </w:r>
          </w:p>
        </w:tc>
        <w:tc>
          <w:tcPr>
            <w:tcW w:w="794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00" w:type="dxa"/>
            <w:vAlign w:val="bottom"/>
          </w:tcPr>
          <w:p>
            <w:pPr>
              <w:ind w:left="36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9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6440" w:type="dxa"/>
            <w:vAlign w:val="bottom"/>
            <w:tcBorders>
              <w:bottom w:val="single" w:sz="8" w:color="auto"/>
            </w:tcBorders>
            <w:gridSpan w:val="2"/>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13</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(11)</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gridSpan w:val="2"/>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14</w:t>
            </w:r>
          </w:p>
        </w:tc>
        <w:tc>
          <w:tcPr>
            <w:tcW w:w="794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rPr>
              <w:t>IA, OO</w:t>
            </w:r>
          </w:p>
        </w:tc>
        <w:tc>
          <w:tcPr>
            <w:tcW w:w="6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3"/>
              </w:rPr>
              <w:t>CUSIP No. 74733V100</w:t>
            </w:r>
          </w:p>
        </w:tc>
        <w:tc>
          <w:tcPr>
            <w:tcW w:w="6320" w:type="dxa"/>
            <w:vAlign w:val="bottom"/>
          </w:tcPr>
          <w:p>
            <w:pPr>
              <w:ind w:left="3060"/>
              <w:spacing w:after="0"/>
              <w:rPr>
                <w:sz w:val="20"/>
                <w:szCs w:val="20"/>
                <w:color w:val="auto"/>
              </w:rPr>
            </w:pPr>
            <w:r>
              <w:rPr>
                <w:rFonts w:ascii="Arial" w:cs="Arial" w:eastAsia="Arial" w:hAnsi="Arial"/>
                <w:sz w:val="20"/>
                <w:szCs w:val="20"/>
                <w:b w:val="1"/>
                <w:bCs w:val="1"/>
                <w:color w:val="auto"/>
              </w:rPr>
              <w:t>SCHEDULE 13D</w:t>
            </w:r>
          </w:p>
        </w:tc>
        <w:tc>
          <w:tcPr>
            <w:tcW w:w="3080" w:type="dxa"/>
            <w:vAlign w:val="bottom"/>
          </w:tcPr>
          <w:p>
            <w:pPr>
              <w:ind w:left="1760"/>
              <w:spacing w:after="0"/>
              <w:rPr>
                <w:sz w:val="20"/>
                <w:szCs w:val="20"/>
                <w:color w:val="auto"/>
              </w:rPr>
            </w:pPr>
            <w:r>
              <w:rPr>
                <w:rFonts w:ascii="Arial" w:cs="Arial" w:eastAsia="Arial" w:hAnsi="Arial"/>
                <w:sz w:val="18"/>
                <w:szCs w:val="18"/>
                <w:b w:val="1"/>
                <w:bCs w:val="1"/>
                <w:color w:val="auto"/>
                <w:w w:val="84"/>
              </w:rPr>
              <w:t>Page 3 of 8 Pages</w:t>
            </w: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1</w:t>
            </w:r>
          </w:p>
        </w:tc>
        <w:tc>
          <w:tcPr>
            <w:tcW w:w="6320" w:type="dxa"/>
            <w:vAlign w:val="bottom"/>
          </w:tcPr>
          <w:p>
            <w:pPr>
              <w:ind w:left="80"/>
              <w:spacing w:after="0"/>
              <w:rPr>
                <w:sz w:val="20"/>
                <w:szCs w:val="20"/>
                <w:color w:val="auto"/>
              </w:rPr>
            </w:pPr>
            <w:r>
              <w:rPr>
                <w:rFonts w:ascii="Arial" w:cs="Arial" w:eastAsia="Arial" w:hAnsi="Arial"/>
                <w:sz w:val="16"/>
                <w:szCs w:val="16"/>
                <w:color w:val="auto"/>
              </w:rPr>
              <w:t>NAME OF REPORTING PERSON</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320" w:type="dxa"/>
            <w:vAlign w:val="bottom"/>
            <w:vMerge w:val="restart"/>
          </w:tcPr>
          <w:p>
            <w:pPr>
              <w:ind w:left="400"/>
              <w:spacing w:after="0"/>
              <w:rPr>
                <w:sz w:val="20"/>
                <w:szCs w:val="20"/>
                <w:color w:val="auto"/>
              </w:rPr>
            </w:pPr>
            <w:r>
              <w:rPr>
                <w:rFonts w:ascii="Arial" w:cs="Arial" w:eastAsia="Arial" w:hAnsi="Arial"/>
                <w:sz w:val="20"/>
                <w:szCs w:val="20"/>
                <w:color w:val="auto"/>
              </w:rPr>
              <w:t>Paul J. Glazer</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34"/>
              <w:spacing w:after="0" w:line="317" w:lineRule="exact"/>
              <w:rPr>
                <w:sz w:val="20"/>
                <w:szCs w:val="20"/>
                <w:color w:val="auto"/>
              </w:rPr>
            </w:pPr>
            <w:r>
              <w:rPr>
                <w:rFonts w:ascii="Arial" w:cs="Arial" w:eastAsia="Arial" w:hAnsi="Arial"/>
                <w:sz w:val="29"/>
                <w:szCs w:val="29"/>
                <w:b w:val="1"/>
                <w:bCs w:val="1"/>
                <w:color w:val="auto"/>
              </w:rPr>
              <w:t>2</w:t>
            </w:r>
          </w:p>
        </w:tc>
        <w:tc>
          <w:tcPr>
            <w:tcW w:w="632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080" w:type="dxa"/>
            <w:vAlign w:val="bottom"/>
            <w:vMerge w:val="restart"/>
          </w:tcPr>
          <w:p>
            <w:pPr>
              <w:ind w:left="1840"/>
              <w:spacing w:after="0" w:line="317"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3"/>
        </w:trPr>
        <w:tc>
          <w:tcPr>
            <w:tcW w:w="1840" w:type="dxa"/>
            <w:vAlign w:val="bottom"/>
            <w:vMerge w:val="continue"/>
          </w:tcPr>
          <w:p>
            <w:pPr>
              <w:spacing w:after="0"/>
              <w:rPr>
                <w:sz w:val="6"/>
                <w:szCs w:val="6"/>
                <w:color w:val="auto"/>
              </w:rPr>
            </w:pPr>
          </w:p>
        </w:tc>
        <w:tc>
          <w:tcPr>
            <w:tcW w:w="632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0"/>
        </w:trPr>
        <w:tc>
          <w:tcPr>
            <w:tcW w:w="18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80" w:type="dxa"/>
            <w:vAlign w:val="bottom"/>
          </w:tcPr>
          <w:p>
            <w:pPr>
              <w:ind w:left="184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-885190</wp:posOffset>
            </wp:positionV>
            <wp:extent cx="7132320" cy="5357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ind w:left="1920" w:hanging="1079"/>
        <w:spacing w:after="0" w:line="182" w:lineRule="auto"/>
        <w:tabs>
          <w:tab w:leader="none" w:pos="1920" w:val="left"/>
        </w:tabs>
        <w:numPr>
          <w:ilvl w:val="0"/>
          <w:numId w:val="3"/>
        </w:numPr>
        <w:rPr>
          <w:rFonts w:ascii="Arial" w:cs="Arial" w:eastAsia="Arial" w:hAnsi="Arial"/>
          <w:sz w:val="22"/>
          <w:szCs w:val="22"/>
          <w:b w:val="1"/>
          <w:bCs w:val="1"/>
          <w:color w:val="auto"/>
          <w:vertAlign w:val="subscript"/>
        </w:rPr>
      </w:pPr>
      <w:r>
        <w:rPr>
          <w:rFonts w:ascii="Arial" w:cs="Arial" w:eastAsia="Arial" w:hAnsi="Arial"/>
          <w:sz w:val="12"/>
          <w:szCs w:val="12"/>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580" w:type="dxa"/>
            <w:vAlign w:val="bottom"/>
            <w:gridSpan w:val="2"/>
          </w:tcPr>
          <w:p>
            <w:pPr>
              <w:ind w:left="120"/>
              <w:spacing w:after="0"/>
              <w:rPr>
                <w:sz w:val="20"/>
                <w:szCs w:val="20"/>
                <w:color w:val="auto"/>
              </w:rPr>
            </w:pPr>
            <w:r>
              <w:rPr>
                <w:rFonts w:ascii="Arial" w:cs="Arial" w:eastAsia="Arial" w:hAnsi="Arial"/>
                <w:sz w:val="16"/>
                <w:szCs w:val="16"/>
                <w:color w:val="auto"/>
                <w:w w:val="93"/>
              </w:rPr>
              <w:t>SOURCE OF FUNDS</w:t>
            </w:r>
          </w:p>
        </w:tc>
        <w:tc>
          <w:tcPr>
            <w:tcW w:w="56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rPr>
              <w:t>AF</w:t>
            </w:r>
          </w:p>
        </w:tc>
        <w:tc>
          <w:tcPr>
            <w:tcW w:w="5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5600" w:type="dxa"/>
            <w:vAlign w:val="bottom"/>
          </w:tcPr>
          <w:p>
            <w:pPr>
              <w:spacing w:after="0"/>
              <w:rPr>
                <w:sz w:val="6"/>
                <w:szCs w:val="6"/>
                <w:color w:val="auto"/>
              </w:rPr>
            </w:pP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7180" w:type="dxa"/>
            <w:vAlign w:val="bottom"/>
            <w:tcBorders>
              <w:bottom w:val="single" w:sz="8" w:color="auto"/>
            </w:tcBorders>
            <w:gridSpan w:val="3"/>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5</w:t>
            </w:r>
          </w:p>
        </w:tc>
        <w:tc>
          <w:tcPr>
            <w:tcW w:w="7180" w:type="dxa"/>
            <w:vAlign w:val="bottom"/>
            <w:gridSpan w:val="3"/>
          </w:tcPr>
          <w:p>
            <w:pPr>
              <w:ind w:left="120"/>
              <w:spacing w:after="0"/>
              <w:rPr>
                <w:sz w:val="20"/>
                <w:szCs w:val="20"/>
                <w:color w:val="auto"/>
              </w:rPr>
            </w:pPr>
            <w:r>
              <w:rPr>
                <w:rFonts w:ascii="Arial" w:cs="Arial" w:eastAsia="Arial" w:hAnsi="Arial"/>
                <w:sz w:val="16"/>
                <w:szCs w:val="16"/>
                <w:color w:val="auto"/>
              </w:rPr>
              <w:t>CHECK BOX IF DISCLOSURE OF LEGAL PROCEEDING IS REQUIRED PURSUANT</w:t>
            </w:r>
          </w:p>
        </w:tc>
        <w:tc>
          <w:tcPr>
            <w:tcW w:w="2260" w:type="dxa"/>
            <w:vAlign w:val="bottom"/>
            <w:vMerge w:val="restart"/>
          </w:tcPr>
          <w:p>
            <w:pPr>
              <w:ind w:left="102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07"/>
        </w:trPr>
        <w:tc>
          <w:tcPr>
            <w:tcW w:w="1800" w:type="dxa"/>
            <w:vAlign w:val="bottom"/>
            <w:vMerge w:val="continue"/>
          </w:tcPr>
          <w:p>
            <w:pPr>
              <w:spacing w:after="0"/>
              <w:rPr>
                <w:sz w:val="17"/>
                <w:szCs w:val="17"/>
                <w:color w:val="auto"/>
              </w:rPr>
            </w:pPr>
          </w:p>
        </w:tc>
        <w:tc>
          <w:tcPr>
            <w:tcW w:w="7180" w:type="dxa"/>
            <w:vAlign w:val="bottom"/>
            <w:gridSpan w:val="3"/>
          </w:tcPr>
          <w:p>
            <w:pPr>
              <w:ind w:left="120"/>
              <w:spacing w:after="0"/>
              <w:rPr>
                <w:sz w:val="20"/>
                <w:szCs w:val="20"/>
                <w:color w:val="auto"/>
              </w:rPr>
            </w:pPr>
            <w:r>
              <w:rPr>
                <w:rFonts w:ascii="Arial" w:cs="Arial" w:eastAsia="Arial" w:hAnsi="Arial"/>
                <w:sz w:val="16"/>
                <w:szCs w:val="16"/>
                <w:color w:val="auto"/>
              </w:rPr>
              <w:t>TO ITEMS 2(d) or 2(e)</w:t>
            </w:r>
          </w:p>
        </w:tc>
        <w:tc>
          <w:tcPr>
            <w:tcW w:w="2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1800" w:type="dxa"/>
            <w:vAlign w:val="bottom"/>
            <w:tcBorders>
              <w:bottom w:val="single" w:sz="8" w:color="auto"/>
            </w:tcBorders>
          </w:tcPr>
          <w:p>
            <w:pPr>
              <w:spacing w:after="0"/>
              <w:rPr>
                <w:sz w:val="9"/>
                <w:szCs w:val="9"/>
                <w:color w:val="auto"/>
              </w:rPr>
            </w:pPr>
          </w:p>
        </w:tc>
        <w:tc>
          <w:tcPr>
            <w:tcW w:w="7180" w:type="dxa"/>
            <w:vAlign w:val="bottom"/>
            <w:tcBorders>
              <w:bottom w:val="single" w:sz="8" w:color="auto"/>
            </w:tcBorders>
            <w:gridSpan w:val="3"/>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718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w w:val="93"/>
              </w:rPr>
              <w:t>United States</w:t>
            </w:r>
          </w:p>
        </w:tc>
        <w:tc>
          <w:tcPr>
            <w:tcW w:w="5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5600" w:type="dxa"/>
            <w:vAlign w:val="bottom"/>
          </w:tcPr>
          <w:p>
            <w:pPr>
              <w:spacing w:after="0"/>
              <w:rPr>
                <w:sz w:val="6"/>
                <w:szCs w:val="6"/>
                <w:color w:val="auto"/>
              </w:rPr>
            </w:pP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600" w:type="dxa"/>
            <w:vAlign w:val="bottom"/>
            <w:vMerge w:val="restart"/>
          </w:tcPr>
          <w:p>
            <w:pPr>
              <w:jc w:val="right"/>
              <w:ind w:right="4930"/>
              <w:spacing w:after="0"/>
              <w:rPr>
                <w:sz w:val="20"/>
                <w:szCs w:val="20"/>
                <w:color w:val="auto"/>
              </w:rPr>
            </w:pPr>
            <w:r>
              <w:rPr>
                <w:rFonts w:ascii="Arial" w:cs="Arial" w:eastAsia="Arial" w:hAnsi="Arial"/>
                <w:sz w:val="20"/>
                <w:szCs w:val="20"/>
                <w:color w:val="auto"/>
              </w:rPr>
              <w:t>-0-</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600" w:type="dxa"/>
            <w:vAlign w:val="bottom"/>
            <w:vMerge w:val="continue"/>
          </w:tcPr>
          <w:p>
            <w:pPr>
              <w:spacing w:after="0"/>
              <w:rPr>
                <w:sz w:val="6"/>
                <w:szCs w:val="6"/>
                <w:color w:val="auto"/>
              </w:rPr>
            </w:pP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8</w:t>
            </w:r>
          </w:p>
        </w:tc>
        <w:tc>
          <w:tcPr>
            <w:tcW w:w="80" w:type="dxa"/>
            <w:vAlign w:val="bottom"/>
          </w:tcPr>
          <w:p>
            <w:pPr>
              <w:spacing w:after="0"/>
              <w:rPr>
                <w:sz w:val="9"/>
                <w:szCs w:val="9"/>
                <w:color w:val="auto"/>
              </w:rPr>
            </w:pPr>
          </w:p>
        </w:tc>
        <w:tc>
          <w:tcPr>
            <w:tcW w:w="560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2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5600" w:type="dxa"/>
            <w:vAlign w:val="bottom"/>
            <w:vMerge w:val="continue"/>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5600" w:type="dxa"/>
            <w:vAlign w:val="bottom"/>
            <w:vMerge w:val="restart"/>
          </w:tcPr>
          <w:p>
            <w:pPr>
              <w:jc w:val="right"/>
              <w:ind w:right="4930"/>
              <w:spacing w:after="0"/>
              <w:rPr>
                <w:sz w:val="20"/>
                <w:szCs w:val="20"/>
                <w:color w:val="auto"/>
              </w:rPr>
            </w:pPr>
            <w:r>
              <w:rPr>
                <w:rFonts w:ascii="Arial" w:cs="Arial" w:eastAsia="Arial" w:hAnsi="Arial"/>
                <w:sz w:val="20"/>
                <w:szCs w:val="20"/>
                <w:color w:val="auto"/>
              </w:rPr>
              <w:t>-0-</w:t>
            </w: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60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9</w:t>
            </w:r>
          </w:p>
        </w:tc>
        <w:tc>
          <w:tcPr>
            <w:tcW w:w="80" w:type="dxa"/>
            <w:vAlign w:val="bottom"/>
          </w:tcPr>
          <w:p>
            <w:pPr>
              <w:spacing w:after="0"/>
              <w:rPr>
                <w:sz w:val="9"/>
                <w:szCs w:val="9"/>
                <w:color w:val="auto"/>
              </w:rPr>
            </w:pPr>
          </w:p>
        </w:tc>
        <w:tc>
          <w:tcPr>
            <w:tcW w:w="560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2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5600" w:type="dxa"/>
            <w:vAlign w:val="bottom"/>
            <w:vMerge w:val="continue"/>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5600" w:type="dxa"/>
            <w:vAlign w:val="bottom"/>
            <w:vMerge w:val="restart"/>
          </w:tcPr>
          <w:p>
            <w:pPr>
              <w:jc w:val="right"/>
              <w:ind w:right="4930"/>
              <w:spacing w:after="0"/>
              <w:rPr>
                <w:sz w:val="20"/>
                <w:szCs w:val="20"/>
                <w:color w:val="auto"/>
              </w:rPr>
            </w:pPr>
            <w:r>
              <w:rPr>
                <w:rFonts w:ascii="Arial" w:cs="Arial" w:eastAsia="Arial" w:hAnsi="Arial"/>
                <w:sz w:val="20"/>
                <w:szCs w:val="20"/>
                <w:color w:val="auto"/>
              </w:rPr>
              <w:t>-0-</w:t>
            </w: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60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80" w:type="dxa"/>
            <w:vAlign w:val="bottom"/>
          </w:tcPr>
          <w:p>
            <w:pPr>
              <w:spacing w:after="0"/>
              <w:rPr>
                <w:sz w:val="9"/>
                <w:szCs w:val="9"/>
                <w:color w:val="auto"/>
              </w:rPr>
            </w:pPr>
          </w:p>
        </w:tc>
        <w:tc>
          <w:tcPr>
            <w:tcW w:w="560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2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5600" w:type="dxa"/>
            <w:vAlign w:val="bottom"/>
            <w:vMerge w:val="continue"/>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600" w:type="dxa"/>
            <w:vAlign w:val="bottom"/>
            <w:vMerge w:val="restart"/>
          </w:tcPr>
          <w:p>
            <w:pPr>
              <w:jc w:val="right"/>
              <w:ind w:right="4930"/>
              <w:spacing w:after="0"/>
              <w:rPr>
                <w:sz w:val="20"/>
                <w:szCs w:val="20"/>
                <w:color w:val="auto"/>
              </w:rPr>
            </w:pPr>
            <w:r>
              <w:rPr>
                <w:rFonts w:ascii="Arial" w:cs="Arial" w:eastAsia="Arial" w:hAnsi="Arial"/>
                <w:sz w:val="20"/>
                <w:szCs w:val="20"/>
                <w:color w:val="auto"/>
              </w:rPr>
              <w:t>-0-</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600" w:type="dxa"/>
            <w:vAlign w:val="bottom"/>
            <w:vMerge w:val="continue"/>
          </w:tcPr>
          <w:p>
            <w:pPr>
              <w:spacing w:after="0"/>
              <w:rPr>
                <w:sz w:val="6"/>
                <w:szCs w:val="6"/>
                <w:color w:val="auto"/>
              </w:rPr>
            </w:pP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680" w:type="dxa"/>
            <w:vAlign w:val="bottom"/>
            <w:tcBorders>
              <w:bottom w:val="single" w:sz="8" w:color="auto"/>
            </w:tcBorders>
            <w:gridSpan w:val="2"/>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18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PERSON</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0" w:type="dxa"/>
            <w:vAlign w:val="bottom"/>
          </w:tcPr>
          <w:p>
            <w:pPr>
              <w:spacing w:after="0"/>
              <w:rPr>
                <w:sz w:val="6"/>
                <w:szCs w:val="6"/>
                <w:color w:val="auto"/>
              </w:rPr>
            </w:pP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12</w:t>
            </w:r>
          </w:p>
        </w:tc>
        <w:tc>
          <w:tcPr>
            <w:tcW w:w="718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IF THE AGGREGATE AMOUNT IN ROW (11) EXCLUDES CERTAIN SHARES</w:t>
            </w:r>
          </w:p>
        </w:tc>
        <w:tc>
          <w:tcPr>
            <w:tcW w:w="2260" w:type="dxa"/>
            <w:vAlign w:val="bottom"/>
          </w:tcPr>
          <w:p>
            <w:pPr>
              <w:ind w:left="112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180" w:type="dxa"/>
            <w:vAlign w:val="bottom"/>
            <w:gridSpan w:val="3"/>
            <w:vMerge w:val="continue"/>
          </w:tcPr>
          <w:p>
            <w:pPr>
              <w:spacing w:after="0"/>
              <w:rPr>
                <w:sz w:val="4"/>
                <w:szCs w:val="4"/>
                <w:color w:val="auto"/>
              </w:rPr>
            </w:pPr>
          </w:p>
        </w:tc>
        <w:tc>
          <w:tcPr>
            <w:tcW w:w="2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680" w:type="dxa"/>
            <w:vAlign w:val="bottom"/>
            <w:tcBorders>
              <w:bottom w:val="single" w:sz="8" w:color="auto"/>
            </w:tcBorders>
            <w:gridSpan w:val="2"/>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13</w:t>
            </w:r>
          </w:p>
        </w:tc>
        <w:tc>
          <w:tcPr>
            <w:tcW w:w="718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(11)</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0" w:type="dxa"/>
            <w:vAlign w:val="bottom"/>
          </w:tcPr>
          <w:p>
            <w:pPr>
              <w:spacing w:after="0"/>
              <w:rPr>
                <w:sz w:val="6"/>
                <w:szCs w:val="6"/>
                <w:color w:val="auto"/>
              </w:rPr>
            </w:pP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680" w:type="dxa"/>
            <w:vAlign w:val="bottom"/>
            <w:tcBorders>
              <w:bottom w:val="single" w:sz="8" w:color="auto"/>
            </w:tcBorders>
            <w:gridSpan w:val="2"/>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14</w:t>
            </w:r>
          </w:p>
        </w:tc>
        <w:tc>
          <w:tcPr>
            <w:tcW w:w="718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20"/>
                <w:szCs w:val="20"/>
                <w:color w:val="auto"/>
              </w:rPr>
              <w:t>IN</w:t>
            </w:r>
          </w:p>
        </w:tc>
        <w:tc>
          <w:tcPr>
            <w:tcW w:w="5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5600" w:type="dxa"/>
            <w:vAlign w:val="bottom"/>
          </w:tcPr>
          <w:p>
            <w:pPr>
              <w:spacing w:after="0"/>
              <w:rPr>
                <w:sz w:val="6"/>
                <w:szCs w:val="6"/>
                <w:color w:val="auto"/>
              </w:rPr>
            </w:pP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4880" w:val="left"/>
          <w:tab w:leader="none" w:pos="9900" w:val="left"/>
        </w:tabs>
        <w:rPr>
          <w:sz w:val="20"/>
          <w:szCs w:val="20"/>
          <w:color w:val="auto"/>
        </w:rPr>
      </w:pPr>
      <w:r>
        <w:rPr>
          <w:rFonts w:ascii="Arial" w:cs="Arial" w:eastAsia="Arial" w:hAnsi="Arial"/>
          <w:sz w:val="18"/>
          <w:szCs w:val="18"/>
          <w:b w:val="1"/>
          <w:bCs w:val="1"/>
          <w:color w:val="auto"/>
        </w:rPr>
        <w:t>CUSIP No. 74733V100</w:t>
      </w:r>
      <w:r>
        <w:rPr>
          <w:sz w:val="20"/>
          <w:szCs w:val="20"/>
          <w:color w:val="auto"/>
        </w:rPr>
        <w:tab/>
      </w:r>
      <w:r>
        <w:rPr>
          <w:rFonts w:ascii="Arial" w:cs="Arial" w:eastAsia="Arial" w:hAnsi="Arial"/>
          <w:sz w:val="20"/>
          <w:szCs w:val="20"/>
          <w:b w:val="1"/>
          <w:bCs w:val="1"/>
          <w:color w:val="auto"/>
        </w:rPr>
        <w:t>SCHEDULE 13D</w:t>
      </w:r>
      <w:r>
        <w:rPr>
          <w:sz w:val="20"/>
          <w:szCs w:val="20"/>
          <w:color w:val="auto"/>
        </w:rPr>
        <w:tab/>
      </w:r>
      <w:r>
        <w:rPr>
          <w:rFonts w:ascii="Arial" w:cs="Arial" w:eastAsia="Arial" w:hAnsi="Arial"/>
          <w:sz w:val="15"/>
          <w:szCs w:val="15"/>
          <w:b w:val="1"/>
          <w:bCs w:val="1"/>
          <w:color w:val="auto"/>
        </w:rPr>
        <w:t>Page 4 of 8 Pages</w:t>
      </w:r>
    </w:p>
    <w:p>
      <w:pPr>
        <w:sectPr>
          <w:pgSz w:w="11900" w:h="16838" w:orient="portrait"/>
          <w:cols w:equalWidth="0" w:num="1">
            <w:col w:w="11240"/>
          </w:cols>
          <w:pgMar w:left="320" w:top="225" w:right="339" w:bottom="1440" w:gutter="0" w:footer="0" w:header="0"/>
        </w:sectPr>
      </w:pPr>
    </w:p>
    <w:p>
      <w:pPr>
        <w:spacing w:after="0" w:line="346"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SECURITY AND ISSUER</w:t>
      </w:r>
    </w:p>
    <w:p>
      <w:pPr>
        <w:spacing w:after="0" w:line="239" w:lineRule="exact"/>
        <w:rPr>
          <w:sz w:val="20"/>
          <w:szCs w:val="20"/>
          <w:color w:val="auto"/>
        </w:rPr>
      </w:pPr>
    </w:p>
    <w:p>
      <w:pPr>
        <w:ind w:left="1340" w:right="100"/>
        <w:spacing w:after="0" w:line="279" w:lineRule="auto"/>
        <w:rPr>
          <w:sz w:val="20"/>
          <w:szCs w:val="20"/>
          <w:color w:val="auto"/>
        </w:rPr>
      </w:pPr>
      <w:r>
        <w:rPr>
          <w:rFonts w:ascii="Arial" w:cs="Arial" w:eastAsia="Arial" w:hAnsi="Arial"/>
          <w:sz w:val="19"/>
          <w:szCs w:val="19"/>
          <w:color w:val="auto"/>
        </w:rPr>
        <w:t>This statement on Schedule 13D (the "</w:t>
      </w:r>
      <w:r>
        <w:rPr>
          <w:rFonts w:ascii="Arial" w:cs="Arial" w:eastAsia="Arial" w:hAnsi="Arial"/>
          <w:sz w:val="19"/>
          <w:szCs w:val="19"/>
          <w:u w:val="single" w:color="auto"/>
          <w:color w:val="auto"/>
        </w:rPr>
        <w:t>Schedule 13D</w:t>
      </w:r>
      <w:r>
        <w:rPr>
          <w:rFonts w:ascii="Arial" w:cs="Arial" w:eastAsia="Arial" w:hAnsi="Arial"/>
          <w:sz w:val="19"/>
          <w:szCs w:val="19"/>
          <w:color w:val="auto"/>
        </w:rPr>
        <w:t>") relates to the shares of the Common Stock, par value $0.01 per share (the "</w:t>
      </w:r>
      <w:r>
        <w:rPr>
          <w:rFonts w:ascii="Arial" w:cs="Arial" w:eastAsia="Arial" w:hAnsi="Arial"/>
          <w:sz w:val="19"/>
          <w:szCs w:val="19"/>
          <w:u w:val="single" w:color="auto"/>
          <w:color w:val="auto"/>
        </w:rPr>
        <w:t>Common Stock</w:t>
      </w:r>
      <w:r>
        <w:rPr>
          <w:rFonts w:ascii="Arial" w:cs="Arial" w:eastAsia="Arial" w:hAnsi="Arial"/>
          <w:sz w:val="19"/>
          <w:szCs w:val="19"/>
          <w:color w:val="auto"/>
        </w:rPr>
        <w:t>"), of QEP Resources, Inc., a Delaware corporation (the "</w:t>
      </w:r>
      <w:r>
        <w:rPr>
          <w:rFonts w:ascii="Arial" w:cs="Arial" w:eastAsia="Arial" w:hAnsi="Arial"/>
          <w:sz w:val="19"/>
          <w:szCs w:val="19"/>
          <w:u w:val="single" w:color="auto"/>
          <w:color w:val="auto"/>
        </w:rPr>
        <w:t>Issuer</w:t>
      </w:r>
      <w:r>
        <w:rPr>
          <w:rFonts w:ascii="Arial" w:cs="Arial" w:eastAsia="Arial" w:hAnsi="Arial"/>
          <w:sz w:val="19"/>
          <w:szCs w:val="19"/>
          <w:color w:val="auto"/>
        </w:rPr>
        <w:t>"). The Issuer's</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principal executive offices are located at 1050 17</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Street, Suite 800, Denver, Colorado 80265.</w:t>
      </w:r>
    </w:p>
    <w:p>
      <w:pPr>
        <w:spacing w:after="0" w:line="108"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2"/>
          <w:szCs w:val="22"/>
          <w:b w:val="1"/>
          <w:bCs w:val="1"/>
          <w:color w:val="auto"/>
        </w:rPr>
        <w:t>IDENTITY AND BACKGROUND</w:t>
      </w:r>
    </w:p>
    <w:p>
      <w:pPr>
        <w:spacing w:after="0" w:line="239" w:lineRule="exact"/>
        <w:rPr>
          <w:sz w:val="20"/>
          <w:szCs w:val="20"/>
          <w:color w:val="auto"/>
        </w:rPr>
      </w:pPr>
    </w:p>
    <w:p>
      <w:pPr>
        <w:ind w:left="1340" w:hanging="831"/>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This statement is filed by:</w:t>
      </w:r>
    </w:p>
    <w:p>
      <w:pPr>
        <w:spacing w:after="0" w:line="233" w:lineRule="exact"/>
        <w:rPr>
          <w:rFonts w:ascii="Arial" w:cs="Arial" w:eastAsia="Arial" w:hAnsi="Arial"/>
          <w:sz w:val="22"/>
          <w:szCs w:val="22"/>
          <w:color w:val="auto"/>
        </w:rPr>
      </w:pPr>
    </w:p>
    <w:p>
      <w:pPr>
        <w:jc w:val="both"/>
        <w:ind w:left="1340" w:right="100" w:firstLine="7"/>
        <w:spacing w:after="0"/>
        <w:tabs>
          <w:tab w:leader="none" w:pos="1627" w:val="left"/>
        </w:tabs>
        <w:numPr>
          <w:ilvl w:val="1"/>
          <w:numId w:val="4"/>
        </w:numPr>
        <w:rPr>
          <w:rFonts w:ascii="Arial" w:cs="Arial" w:eastAsia="Arial" w:hAnsi="Arial"/>
          <w:sz w:val="22"/>
          <w:szCs w:val="22"/>
          <w:color w:val="auto"/>
        </w:rPr>
      </w:pPr>
      <w:r>
        <w:rPr>
          <w:rFonts w:ascii="Arial" w:cs="Arial" w:eastAsia="Arial" w:hAnsi="Arial"/>
          <w:sz w:val="22"/>
          <w:szCs w:val="22"/>
          <w:color w:val="auto"/>
        </w:rPr>
        <w:t>Glazer Capital, LLC, a Delaware limited liability company ("</w:t>
      </w:r>
      <w:r>
        <w:rPr>
          <w:rFonts w:ascii="Arial" w:cs="Arial" w:eastAsia="Arial" w:hAnsi="Arial"/>
          <w:sz w:val="22"/>
          <w:szCs w:val="22"/>
          <w:u w:val="single" w:color="auto"/>
          <w:color w:val="auto"/>
        </w:rPr>
        <w:t>Glazer Capital</w:t>
      </w:r>
      <w:r>
        <w:rPr>
          <w:rFonts w:ascii="Arial" w:cs="Arial" w:eastAsia="Arial" w:hAnsi="Arial"/>
          <w:sz w:val="22"/>
          <w:szCs w:val="22"/>
          <w:color w:val="auto"/>
        </w:rPr>
        <w:t>"), the investment manager to certain funds and managed accounts (the "</w:t>
      </w:r>
      <w:r>
        <w:rPr>
          <w:rFonts w:ascii="Arial" w:cs="Arial" w:eastAsia="Arial" w:hAnsi="Arial"/>
          <w:sz w:val="22"/>
          <w:szCs w:val="22"/>
          <w:u w:val="single" w:color="auto"/>
          <w:color w:val="auto"/>
        </w:rPr>
        <w:t>Glazer Funds</w:t>
      </w:r>
      <w:r>
        <w:rPr>
          <w:rFonts w:ascii="Arial" w:cs="Arial" w:eastAsia="Arial" w:hAnsi="Arial"/>
          <w:sz w:val="22"/>
          <w:szCs w:val="22"/>
          <w:color w:val="auto"/>
        </w:rPr>
        <w:t>"), with respect to the shares of Common Stock held by the Glazer Funds; and</w:t>
      </w:r>
    </w:p>
    <w:p>
      <w:pPr>
        <w:spacing w:after="0" w:line="213" w:lineRule="exact"/>
        <w:rPr>
          <w:rFonts w:ascii="Arial" w:cs="Arial" w:eastAsia="Arial" w:hAnsi="Arial"/>
          <w:sz w:val="22"/>
          <w:szCs w:val="22"/>
          <w:color w:val="auto"/>
        </w:rPr>
      </w:pPr>
    </w:p>
    <w:p>
      <w:pPr>
        <w:ind w:left="1340" w:right="100" w:firstLine="7"/>
        <w:spacing w:after="0" w:line="250" w:lineRule="auto"/>
        <w:tabs>
          <w:tab w:leader="none" w:pos="1658" w:val="left"/>
        </w:tabs>
        <w:numPr>
          <w:ilvl w:val="1"/>
          <w:numId w:val="4"/>
        </w:numPr>
        <w:rPr>
          <w:rFonts w:ascii="Arial" w:cs="Arial" w:eastAsia="Arial" w:hAnsi="Arial"/>
          <w:sz w:val="22"/>
          <w:szCs w:val="22"/>
          <w:color w:val="auto"/>
        </w:rPr>
      </w:pPr>
      <w:r>
        <w:rPr>
          <w:rFonts w:ascii="Arial" w:cs="Arial" w:eastAsia="Arial" w:hAnsi="Arial"/>
          <w:sz w:val="22"/>
          <w:szCs w:val="22"/>
          <w:color w:val="auto"/>
        </w:rPr>
        <w:t>Mr. Paul J. Glazer ("</w:t>
      </w:r>
      <w:r>
        <w:rPr>
          <w:rFonts w:ascii="Arial" w:cs="Arial" w:eastAsia="Arial" w:hAnsi="Arial"/>
          <w:sz w:val="22"/>
          <w:szCs w:val="22"/>
          <w:u w:val="single" w:color="auto"/>
          <w:color w:val="auto"/>
        </w:rPr>
        <w:t>Mr. Glazer</w:t>
      </w:r>
      <w:r>
        <w:rPr>
          <w:rFonts w:ascii="Arial" w:cs="Arial" w:eastAsia="Arial" w:hAnsi="Arial"/>
          <w:sz w:val="22"/>
          <w:szCs w:val="22"/>
          <w:color w:val="auto"/>
        </w:rPr>
        <w:t>"), who serves as the Managing Member of Glazer Capital, with respect to the shares of Common Stock held by the Glazer Funds.</w:t>
      </w:r>
    </w:p>
    <w:p>
      <w:pPr>
        <w:spacing w:after="0" w:line="202" w:lineRule="exact"/>
        <w:rPr>
          <w:sz w:val="20"/>
          <w:szCs w:val="20"/>
          <w:color w:val="auto"/>
        </w:rPr>
      </w:pPr>
    </w:p>
    <w:p>
      <w:pPr>
        <w:ind w:left="1340"/>
        <w:spacing w:after="0"/>
        <w:rPr>
          <w:sz w:val="20"/>
          <w:szCs w:val="20"/>
          <w:color w:val="auto"/>
        </w:rPr>
      </w:pPr>
      <w:r>
        <w:rPr>
          <w:rFonts w:ascii="Arial" w:cs="Arial" w:eastAsia="Arial" w:hAnsi="Arial"/>
          <w:sz w:val="21"/>
          <w:szCs w:val="21"/>
          <w:color w:val="auto"/>
        </w:rPr>
        <w:t>Each of the foregoing is referred to as a "</w:t>
      </w:r>
      <w:r>
        <w:rPr>
          <w:rFonts w:ascii="Arial" w:cs="Arial" w:eastAsia="Arial" w:hAnsi="Arial"/>
          <w:sz w:val="21"/>
          <w:szCs w:val="21"/>
          <w:u w:val="single" w:color="auto"/>
          <w:color w:val="auto"/>
        </w:rPr>
        <w:t>Reporting Person</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Reporting Persons</w:t>
      </w:r>
      <w:r>
        <w:rPr>
          <w:rFonts w:ascii="Arial" w:cs="Arial" w:eastAsia="Arial" w:hAnsi="Arial"/>
          <w:sz w:val="21"/>
          <w:szCs w:val="21"/>
          <w:color w:val="auto"/>
        </w:rPr>
        <w:t>."</w:t>
      </w:r>
    </w:p>
    <w:p>
      <w:pPr>
        <w:spacing w:after="0" w:line="245" w:lineRule="exact"/>
        <w:rPr>
          <w:sz w:val="20"/>
          <w:szCs w:val="20"/>
          <w:color w:val="auto"/>
        </w:rPr>
      </w:pPr>
    </w:p>
    <w:p>
      <w:pPr>
        <w:ind w:left="1340" w:right="100"/>
        <w:spacing w:after="0" w:line="328" w:lineRule="auto"/>
        <w:rPr>
          <w:sz w:val="20"/>
          <w:szCs w:val="20"/>
          <w:color w:val="auto"/>
        </w:rPr>
      </w:pPr>
      <w:r>
        <w:rPr>
          <w:rFonts w:ascii="Arial" w:cs="Arial" w:eastAsia="Arial" w:hAnsi="Arial"/>
          <w:sz w:val="19"/>
          <w:szCs w:val="19"/>
          <w:color w:val="auto"/>
        </w:rPr>
        <w:t>The filing of this statement should not be construed as an admission that any of the Reporting Persons is, for the purposes of Section 13 of the Act, the beneficial owner of the shares of Common Stock reported herein.</w:t>
      </w:r>
    </w:p>
    <w:p>
      <w:pPr>
        <w:spacing w:after="0" w:line="139" w:lineRule="exact"/>
        <w:rPr>
          <w:sz w:val="20"/>
          <w:szCs w:val="20"/>
          <w:color w:val="auto"/>
        </w:rPr>
      </w:pPr>
    </w:p>
    <w:p>
      <w:pPr>
        <w:ind w:left="1340" w:right="100" w:hanging="837"/>
        <w:spacing w:after="0" w:line="181" w:lineRule="auto"/>
        <w:tabs>
          <w:tab w:leader="none" w:pos="1340" w:val="left"/>
        </w:tabs>
        <w:numPr>
          <w:ilvl w:val="0"/>
          <w:numId w:val="5"/>
        </w:numPr>
        <w:rPr>
          <w:rFonts w:ascii="Arial" w:cs="Arial" w:eastAsia="Arial" w:hAnsi="Arial"/>
          <w:sz w:val="43"/>
          <w:szCs w:val="43"/>
          <w:color w:val="auto"/>
          <w:vertAlign w:val="superscript"/>
        </w:rPr>
      </w:pPr>
      <w:r>
        <w:rPr>
          <w:rFonts w:ascii="Arial" w:cs="Arial" w:eastAsia="Arial" w:hAnsi="Arial"/>
          <w:sz w:val="22"/>
          <w:szCs w:val="22"/>
          <w:color w:val="auto"/>
        </w:rPr>
        <w:t>The address of the business office of each of the Reporting Persons is 250 West 55</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Street, Suite 30A, New York, New York 10019.</w:t>
      </w:r>
    </w:p>
    <w:p>
      <w:pPr>
        <w:spacing w:after="0" w:line="212" w:lineRule="exact"/>
        <w:rPr>
          <w:rFonts w:ascii="Arial" w:cs="Arial" w:eastAsia="Arial" w:hAnsi="Arial"/>
          <w:sz w:val="43"/>
          <w:szCs w:val="43"/>
          <w:color w:val="auto"/>
          <w:vertAlign w:val="superscript"/>
        </w:rPr>
      </w:pPr>
    </w:p>
    <w:p>
      <w:pPr>
        <w:ind w:left="1340" w:hanging="831"/>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principal business of each of the Reporting Persons is investment management.</w:t>
      </w:r>
    </w:p>
    <w:p>
      <w:pPr>
        <w:spacing w:after="0" w:line="233" w:lineRule="exact"/>
        <w:rPr>
          <w:rFonts w:ascii="Arial" w:cs="Arial" w:eastAsia="Arial" w:hAnsi="Arial"/>
          <w:sz w:val="22"/>
          <w:szCs w:val="22"/>
          <w:color w:val="auto"/>
        </w:rPr>
      </w:pPr>
    </w:p>
    <w:p>
      <w:pPr>
        <w:ind w:left="1340" w:right="100" w:hanging="837"/>
        <w:spacing w:after="0" w:line="250" w:lineRule="auto"/>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During the last five years, none of the Reporting Persons have been convicted in a criminal proceeding (excluding traffic violations or similar misdemeanors).</w:t>
      </w:r>
    </w:p>
    <w:p>
      <w:pPr>
        <w:spacing w:after="0" w:line="201" w:lineRule="exact"/>
        <w:rPr>
          <w:rFonts w:ascii="Arial" w:cs="Arial" w:eastAsia="Arial" w:hAnsi="Arial"/>
          <w:sz w:val="22"/>
          <w:szCs w:val="22"/>
          <w:color w:val="auto"/>
        </w:rPr>
      </w:pPr>
    </w:p>
    <w:p>
      <w:pPr>
        <w:jc w:val="both"/>
        <w:ind w:left="1340" w:right="100" w:hanging="831"/>
        <w:spacing w:after="0" w:line="252" w:lineRule="auto"/>
        <w:tabs>
          <w:tab w:leader="none" w:pos="1340" w:val="left"/>
        </w:tabs>
        <w:numPr>
          <w:ilvl w:val="0"/>
          <w:numId w:val="5"/>
        </w:numPr>
        <w:rPr>
          <w:rFonts w:ascii="Arial" w:cs="Arial" w:eastAsia="Arial" w:hAnsi="Arial"/>
          <w:sz w:val="21"/>
          <w:szCs w:val="21"/>
          <w:color w:val="auto"/>
        </w:rPr>
      </w:pPr>
      <w:r>
        <w:rPr>
          <w:rFonts w:ascii="Arial" w:cs="Arial" w:eastAsia="Arial" w:hAnsi="Arial"/>
          <w:sz w:val="21"/>
          <w:szCs w:val="21"/>
          <w:color w:val="auto"/>
        </w:rPr>
        <w:t>During the last five years, none of the Reporting Persons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1" w:lineRule="exact"/>
        <w:rPr>
          <w:sz w:val="20"/>
          <w:szCs w:val="20"/>
          <w:color w:val="auto"/>
        </w:rPr>
      </w:pPr>
    </w:p>
    <w:p>
      <w:pPr>
        <w:ind w:left="1340" w:hanging="819"/>
        <w:spacing w:after="0"/>
        <w:tabs>
          <w:tab w:leader="none" w:pos="1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Glazer Capital is a Delaware limited liability company. Mr. Glazer is a United States citizen.</w:t>
      </w:r>
    </w:p>
    <w:p>
      <w:pPr>
        <w:sectPr>
          <w:pgSz w:w="11900" w:h="16838" w:orient="portrait"/>
          <w:cols w:equalWidth="0" w:num="1">
            <w:col w:w="11240"/>
          </w:cols>
          <w:pgMar w:left="320" w:top="225" w:right="339" w:bottom="1440" w:gutter="0" w:footer="0" w:header="0"/>
          <w:type w:val="continuous"/>
        </w:sectPr>
      </w:pPr>
    </w:p>
    <w:bookmarkStart w:id="4" w:name="page5"/>
    <w:bookmarkEnd w:id="4"/>
    <w:p>
      <w:pPr>
        <w:spacing w:after="0"/>
        <w:tabs>
          <w:tab w:leader="none" w:pos="4880" w:val="left"/>
          <w:tab w:leader="none" w:pos="9900" w:val="left"/>
        </w:tabs>
        <w:rPr>
          <w:sz w:val="20"/>
          <w:szCs w:val="20"/>
          <w:color w:val="auto"/>
        </w:rPr>
      </w:pPr>
      <w:r>
        <w:rPr>
          <w:rFonts w:ascii="Arial" w:cs="Arial" w:eastAsia="Arial" w:hAnsi="Arial"/>
          <w:sz w:val="18"/>
          <w:szCs w:val="18"/>
          <w:b w:val="1"/>
          <w:bCs w:val="1"/>
          <w:color w:val="auto"/>
        </w:rPr>
        <w:t>CUSIP No. 74733V100</w:t>
      </w:r>
      <w:r>
        <w:rPr>
          <w:sz w:val="20"/>
          <w:szCs w:val="20"/>
          <w:color w:val="auto"/>
        </w:rPr>
        <w:tab/>
      </w:r>
      <w:r>
        <w:rPr>
          <w:rFonts w:ascii="Arial" w:cs="Arial" w:eastAsia="Arial" w:hAnsi="Arial"/>
          <w:sz w:val="20"/>
          <w:szCs w:val="20"/>
          <w:b w:val="1"/>
          <w:bCs w:val="1"/>
          <w:color w:val="auto"/>
        </w:rPr>
        <w:t>SCHEDULE 13D</w:t>
      </w:r>
      <w:r>
        <w:rPr>
          <w:sz w:val="20"/>
          <w:szCs w:val="20"/>
          <w:color w:val="auto"/>
        </w:rPr>
        <w:tab/>
      </w:r>
      <w:r>
        <w:rPr>
          <w:rFonts w:ascii="Arial" w:cs="Arial" w:eastAsia="Arial" w:hAnsi="Arial"/>
          <w:sz w:val="15"/>
          <w:szCs w:val="15"/>
          <w:b w:val="1"/>
          <w:bCs w:val="1"/>
          <w:color w:val="auto"/>
        </w:rPr>
        <w:t>Page 5 of 8 Pages</w:t>
      </w:r>
    </w:p>
    <w:p>
      <w:pPr>
        <w:sectPr>
          <w:pgSz w:w="11900" w:h="16838" w:orient="portrait"/>
          <w:cols w:equalWidth="0" w:num="1">
            <w:col w:w="11240"/>
          </w:cols>
          <w:pgMar w:left="320" w:top="225" w:right="339" w:bottom="1440" w:gutter="0" w:footer="0" w:header="0"/>
        </w:sectPr>
      </w:pPr>
    </w:p>
    <w:p>
      <w:pPr>
        <w:spacing w:after="0" w:line="346"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SOURCE AND AMOUNT OF FUNDS OR OTHER CONSIDERATION</w:t>
      </w:r>
    </w:p>
    <w:p>
      <w:pPr>
        <w:spacing w:after="0" w:line="239" w:lineRule="exact"/>
        <w:rPr>
          <w:sz w:val="20"/>
          <w:szCs w:val="20"/>
          <w:color w:val="auto"/>
        </w:rPr>
      </w:pPr>
    </w:p>
    <w:p>
      <w:pPr>
        <w:jc w:val="both"/>
        <w:ind w:left="1340" w:right="100"/>
        <w:spacing w:after="0"/>
        <w:rPr>
          <w:sz w:val="20"/>
          <w:szCs w:val="20"/>
          <w:color w:val="auto"/>
        </w:rPr>
      </w:pPr>
      <w:r>
        <w:rPr>
          <w:rFonts w:ascii="Arial" w:cs="Arial" w:eastAsia="Arial" w:hAnsi="Arial"/>
          <w:sz w:val="22"/>
          <w:szCs w:val="22"/>
          <w:color w:val="auto"/>
        </w:rPr>
        <w:t>The Reporting Persons used a total of approximately $47,836,615 (including brokerage commissions) to acquire the Common Stock reported herein. The source of the funds used to acquire the Common Stock reported herein was the working capital of the Glazer Funds.</w:t>
      </w:r>
    </w:p>
    <w:p>
      <w:pPr>
        <w:spacing w:after="0" w:line="213" w:lineRule="exact"/>
        <w:rPr>
          <w:sz w:val="20"/>
          <w:szCs w:val="20"/>
          <w:color w:val="auto"/>
        </w:rPr>
      </w:pPr>
    </w:p>
    <w:p>
      <w:pPr>
        <w:jc w:val="both"/>
        <w:ind w:left="1340" w:right="100"/>
        <w:spacing w:after="0" w:line="246" w:lineRule="auto"/>
        <w:rPr>
          <w:sz w:val="20"/>
          <w:szCs w:val="20"/>
          <w:color w:val="auto"/>
        </w:rPr>
      </w:pPr>
      <w:r>
        <w:rPr>
          <w:rFonts w:ascii="Arial" w:cs="Arial" w:eastAsia="Arial" w:hAnsi="Arial"/>
          <w:sz w:val="21"/>
          <w:szCs w:val="21"/>
          <w:color w:val="auto"/>
        </w:rPr>
        <w:t>The Reporting Persons may effect purchases of the shares of Common Stock through margin accounts maintained for the Glazer Funds with prime brokers, which extend margin credit as and when required to open or carry positions in their margin accounts, subject to applicable federal margin regulations, stock exchange rules and such firms' credit policies. Positions in the shares of Common Stock may be held in margin accounts and may be pledged as collateral security for the repayment of debit balances in such accounts. Since other securities may be held in such margin accounts, it may not be possible to determine the amounts, if any, of margin used to purchase the shares of Common Stock.</w:t>
      </w:r>
    </w:p>
    <w:p>
      <w:pPr>
        <w:spacing w:after="0" w:line="205"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PURPOSE OF TRANSACTION</w:t>
      </w:r>
    </w:p>
    <w:p>
      <w:pPr>
        <w:spacing w:after="0" w:line="239" w:lineRule="exact"/>
        <w:rPr>
          <w:sz w:val="20"/>
          <w:szCs w:val="20"/>
          <w:color w:val="auto"/>
        </w:rPr>
      </w:pPr>
    </w:p>
    <w:p>
      <w:pPr>
        <w:jc w:val="both"/>
        <w:ind w:left="1340" w:right="100"/>
        <w:spacing w:after="0" w:line="250" w:lineRule="auto"/>
        <w:rPr>
          <w:sz w:val="20"/>
          <w:szCs w:val="20"/>
          <w:color w:val="auto"/>
        </w:rPr>
      </w:pPr>
      <w:r>
        <w:rPr>
          <w:rFonts w:ascii="Arial" w:cs="Arial" w:eastAsia="Arial" w:hAnsi="Arial"/>
          <w:sz w:val="22"/>
          <w:szCs w:val="22"/>
          <w:color w:val="auto"/>
        </w:rPr>
        <w:t>Glazer Capital acquired the shares of Common Stock on behalf of the Glazer Funds based on its belief that the shares of Common Stock were undervalued.</w:t>
      </w:r>
    </w:p>
    <w:p>
      <w:pPr>
        <w:spacing w:after="0" w:line="175" w:lineRule="exact"/>
        <w:rPr>
          <w:sz w:val="20"/>
          <w:szCs w:val="20"/>
          <w:color w:val="auto"/>
        </w:rPr>
      </w:pPr>
    </w:p>
    <w:p>
      <w:pPr>
        <w:jc w:val="both"/>
        <w:ind w:left="1340" w:right="100"/>
        <w:spacing w:after="0" w:line="273" w:lineRule="auto"/>
        <w:rPr>
          <w:sz w:val="20"/>
          <w:szCs w:val="20"/>
          <w:color w:val="auto"/>
        </w:rPr>
      </w:pPr>
      <w:r>
        <w:rPr>
          <w:rFonts w:ascii="Arial" w:cs="Arial" w:eastAsia="Arial" w:hAnsi="Arial"/>
          <w:sz w:val="19"/>
          <w:szCs w:val="19"/>
          <w:color w:val="auto"/>
        </w:rPr>
        <w:t>On March 8, 2021, Glazer Capital issued via press release (the "</w:t>
      </w:r>
      <w:r>
        <w:rPr>
          <w:rFonts w:ascii="Arial" w:cs="Arial" w:eastAsia="Arial" w:hAnsi="Arial"/>
          <w:sz w:val="19"/>
          <w:szCs w:val="19"/>
          <w:u w:val="single" w:color="auto"/>
          <w:color w:val="auto"/>
        </w:rPr>
        <w:t>March 8 Press Release</w:t>
      </w:r>
      <w:r>
        <w:rPr>
          <w:rFonts w:ascii="Arial" w:cs="Arial" w:eastAsia="Arial" w:hAnsi="Arial"/>
          <w:sz w:val="19"/>
          <w:szCs w:val="19"/>
          <w:color w:val="auto"/>
        </w:rPr>
        <w:t>") an open letter to shareholders of the Issuer detailing its intention to vote AGAINST the proposed acquisition of the Issuer (the "</w:t>
      </w:r>
      <w:r>
        <w:rPr>
          <w:rFonts w:ascii="Arial" w:cs="Arial" w:eastAsia="Arial" w:hAnsi="Arial"/>
          <w:sz w:val="19"/>
          <w:szCs w:val="19"/>
          <w:u w:val="single" w:color="auto"/>
          <w:color w:val="auto"/>
        </w:rPr>
        <w:t>Proposed Acquisition</w:t>
      </w:r>
      <w:r>
        <w:rPr>
          <w:rFonts w:ascii="Arial" w:cs="Arial" w:eastAsia="Arial" w:hAnsi="Arial"/>
          <w:sz w:val="19"/>
          <w:szCs w:val="19"/>
          <w:color w:val="auto"/>
        </w:rPr>
        <w:t>") by Diamondback Energy, Inc. ("</w:t>
      </w:r>
      <w:r>
        <w:rPr>
          <w:rFonts w:ascii="Arial" w:cs="Arial" w:eastAsia="Arial" w:hAnsi="Arial"/>
          <w:sz w:val="19"/>
          <w:szCs w:val="19"/>
          <w:u w:val="single" w:color="auto"/>
          <w:color w:val="auto"/>
        </w:rPr>
        <w:t>Diamondback</w:t>
      </w:r>
      <w:r>
        <w:rPr>
          <w:rFonts w:ascii="Arial" w:cs="Arial" w:eastAsia="Arial" w:hAnsi="Arial"/>
          <w:sz w:val="19"/>
          <w:szCs w:val="19"/>
          <w:color w:val="auto"/>
        </w:rPr>
        <w:t xml:space="preserve">") at a special meeting of shareholders of the Issuer scheduled to be held on March 16, 2021. In the letter, Glazer Capital detailed how the recent surge in the valuations of small cap exploration and production (E&amp;P) companies renders materially inadequate the consideration for the Issuer's shares offered by Diamondback in the Proposed Acquisition. The letter further details Glazer Capital’s belief that given the change in circumstances, ISS should revise its recommendation and urge shareholders of the Issuer to vote against the Proposed Acquisition. The foregoing description of the March 8 Press Release is qualified by reference to the full text of the March 8 Press Release, which is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Schedule 13D.</w:t>
      </w:r>
    </w:p>
    <w:p>
      <w:pPr>
        <w:spacing w:after="0" w:line="161" w:lineRule="exact"/>
        <w:rPr>
          <w:sz w:val="20"/>
          <w:szCs w:val="20"/>
          <w:color w:val="auto"/>
        </w:rPr>
      </w:pPr>
    </w:p>
    <w:p>
      <w:pPr>
        <w:ind w:left="1340"/>
        <w:spacing w:after="0"/>
        <w:rPr>
          <w:sz w:val="20"/>
          <w:szCs w:val="20"/>
          <w:color w:val="auto"/>
        </w:rPr>
      </w:pPr>
      <w:r>
        <w:rPr>
          <w:rFonts w:ascii="Arial" w:cs="Arial" w:eastAsia="Arial" w:hAnsi="Arial"/>
          <w:sz w:val="19"/>
          <w:szCs w:val="19"/>
          <w:color w:val="auto"/>
        </w:rPr>
        <w:t>On March 11, 2021, Glazer Capital issued a press release reiterating its opposition to the Proposed Acquisition.</w:t>
      </w:r>
    </w:p>
    <w:p>
      <w:pPr>
        <w:spacing w:after="0" w:line="43"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 xml:space="preserve">A copy of the press release is attached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 the Schedule 13D.</w:t>
      </w:r>
    </w:p>
    <w:p>
      <w:pPr>
        <w:spacing w:after="0" w:line="188" w:lineRule="exact"/>
        <w:rPr>
          <w:sz w:val="20"/>
          <w:szCs w:val="20"/>
          <w:color w:val="auto"/>
        </w:rPr>
      </w:pPr>
    </w:p>
    <w:p>
      <w:pPr>
        <w:jc w:val="both"/>
        <w:ind w:left="1340" w:right="100"/>
        <w:spacing w:after="0" w:line="252" w:lineRule="auto"/>
        <w:rPr>
          <w:sz w:val="20"/>
          <w:szCs w:val="20"/>
          <w:color w:val="auto"/>
        </w:rPr>
      </w:pPr>
      <w:r>
        <w:rPr>
          <w:rFonts w:ascii="Arial" w:cs="Arial" w:eastAsia="Arial" w:hAnsi="Arial"/>
          <w:sz w:val="21"/>
          <w:szCs w:val="21"/>
          <w:color w:val="auto"/>
        </w:rPr>
        <w:t>The Reporting Persons may engage in, discussions with management, the Board of Directors of the Issuer (the "</w:t>
      </w:r>
      <w:r>
        <w:rPr>
          <w:rFonts w:ascii="Arial" w:cs="Arial" w:eastAsia="Arial" w:hAnsi="Arial"/>
          <w:sz w:val="21"/>
          <w:szCs w:val="21"/>
          <w:u w:val="single" w:color="auto"/>
          <w:color w:val="auto"/>
        </w:rPr>
        <w:t>Board</w:t>
      </w:r>
      <w:r>
        <w:rPr>
          <w:rFonts w:ascii="Arial" w:cs="Arial" w:eastAsia="Arial" w:hAnsi="Arial"/>
          <w:sz w:val="21"/>
          <w:szCs w:val="21"/>
          <w:color w:val="auto"/>
        </w:rPr>
        <w:t>"), other shareholders of the Issuer and other relevant parties, including representatives of any of the foregoing, concerning the matters set forth in the March 8 Press Release and March 11 Press Release and the Reporting Persons' investment in the shares of Common Stock and the Issuer.</w:t>
      </w:r>
    </w:p>
    <w:p>
      <w:pPr>
        <w:spacing w:after="0" w:line="201" w:lineRule="exact"/>
        <w:rPr>
          <w:sz w:val="20"/>
          <w:szCs w:val="20"/>
          <w:color w:val="auto"/>
        </w:rPr>
      </w:pPr>
    </w:p>
    <w:p>
      <w:pPr>
        <w:jc w:val="both"/>
        <w:ind w:left="1340" w:right="100"/>
        <w:spacing w:after="0" w:line="245" w:lineRule="auto"/>
        <w:rPr>
          <w:sz w:val="20"/>
          <w:szCs w:val="20"/>
          <w:color w:val="auto"/>
        </w:rPr>
      </w:pPr>
      <w:r>
        <w:rPr>
          <w:rFonts w:ascii="Arial" w:cs="Arial" w:eastAsia="Arial" w:hAnsi="Arial"/>
          <w:sz w:val="21"/>
          <w:szCs w:val="21"/>
          <w:color w:val="auto"/>
        </w:rPr>
        <w:t>The Reporting Persons intend to review their investment in the Issuer on a continuing basis. Depending on various factors, including, without limitation, the outcome of any discussions referenced above, the Issuer's financial position and strategic direction, actions taken by management or the Board, price levels of the Common Stock, other investment opportunities available to the Reporting Persons, conditions in the securities market and general economic and industry conditions, the Reporting Persons may in the future take such actions with respect to their investment in the Issuer as they deem appropriate, including, without limitation, continuing to purchase additional shares of Common Stock or selling some or all of its shares of Common Stock, engaging in or increasing short positions of or any hedging or similar transactions with respect to the shares of Common Stock and/or otherwise changing its intention with respect to any and all matters referred to in Item 4 of Schedule 13D.</w:t>
      </w:r>
    </w:p>
    <w:p>
      <w:pPr>
        <w:sectPr>
          <w:pgSz w:w="11900" w:h="16838" w:orient="portrait"/>
          <w:cols w:equalWidth="0" w:num="1">
            <w:col w:w="11240"/>
          </w:cols>
          <w:pgMar w:left="320" w:top="225" w:right="339" w:bottom="1440" w:gutter="0" w:footer="0" w:header="0"/>
          <w:type w:val="continuous"/>
        </w:sectPr>
      </w:pPr>
    </w:p>
    <w:bookmarkStart w:id="5" w:name="page6"/>
    <w:bookmarkEnd w:id="5"/>
    <w:p>
      <w:pPr>
        <w:spacing w:after="0"/>
        <w:tabs>
          <w:tab w:leader="none" w:pos="4880" w:val="left"/>
          <w:tab w:leader="none" w:pos="9900" w:val="left"/>
        </w:tabs>
        <w:rPr>
          <w:sz w:val="20"/>
          <w:szCs w:val="20"/>
          <w:color w:val="auto"/>
        </w:rPr>
      </w:pPr>
      <w:r>
        <w:rPr>
          <w:rFonts w:ascii="Arial" w:cs="Arial" w:eastAsia="Arial" w:hAnsi="Arial"/>
          <w:sz w:val="18"/>
          <w:szCs w:val="18"/>
          <w:b w:val="1"/>
          <w:bCs w:val="1"/>
          <w:color w:val="auto"/>
        </w:rPr>
        <w:t>CUSIP No. 74733V100</w:t>
      </w:r>
      <w:r>
        <w:rPr>
          <w:sz w:val="20"/>
          <w:szCs w:val="20"/>
          <w:color w:val="auto"/>
        </w:rPr>
        <w:tab/>
      </w:r>
      <w:r>
        <w:rPr>
          <w:rFonts w:ascii="Arial" w:cs="Arial" w:eastAsia="Arial" w:hAnsi="Arial"/>
          <w:sz w:val="20"/>
          <w:szCs w:val="20"/>
          <w:b w:val="1"/>
          <w:bCs w:val="1"/>
          <w:color w:val="auto"/>
        </w:rPr>
        <w:t>SCHEDULE 13D</w:t>
      </w:r>
      <w:r>
        <w:rPr>
          <w:sz w:val="20"/>
          <w:szCs w:val="20"/>
          <w:color w:val="auto"/>
        </w:rPr>
        <w:tab/>
      </w:r>
      <w:r>
        <w:rPr>
          <w:rFonts w:ascii="Arial" w:cs="Arial" w:eastAsia="Arial" w:hAnsi="Arial"/>
          <w:sz w:val="15"/>
          <w:szCs w:val="15"/>
          <w:b w:val="1"/>
          <w:bCs w:val="1"/>
          <w:color w:val="auto"/>
        </w:rPr>
        <w:t>Page 6 of 8 Pages</w:t>
      </w:r>
    </w:p>
    <w:p>
      <w:pPr>
        <w:sectPr>
          <w:pgSz w:w="11900" w:h="16838" w:orient="portrait"/>
          <w:cols w:equalWidth="0" w:num="1">
            <w:col w:w="11240"/>
          </w:cols>
          <w:pgMar w:left="320" w:top="225" w:right="339" w:bottom="1440" w:gutter="0" w:footer="0" w:header="0"/>
        </w:sectPr>
      </w:pPr>
    </w:p>
    <w:p>
      <w:pPr>
        <w:spacing w:after="0" w:line="352" w:lineRule="exact"/>
        <w:rPr>
          <w:sz w:val="20"/>
          <w:szCs w:val="20"/>
          <w:color w:val="auto"/>
        </w:rPr>
      </w:pPr>
    </w:p>
    <w:p>
      <w:pPr>
        <w:ind w:left="1340" w:right="100"/>
        <w:spacing w:after="0" w:line="274" w:lineRule="auto"/>
        <w:rPr>
          <w:sz w:val="20"/>
          <w:szCs w:val="20"/>
          <w:color w:val="auto"/>
        </w:rPr>
      </w:pPr>
      <w:r>
        <w:rPr>
          <w:rFonts w:ascii="Arial" w:cs="Arial" w:eastAsia="Arial" w:hAnsi="Arial"/>
          <w:sz w:val="21"/>
          <w:szCs w:val="21"/>
          <w:color w:val="auto"/>
        </w:rPr>
        <w:t>Other than as described above in this Item 4, no Reporting Person has any plans or proposals that relate to, or would result in, any actions or events specified in clauses (a) through (j) of Item 4 to Schedule 13D.</w:t>
      </w:r>
    </w:p>
    <w:p>
      <w:pPr>
        <w:spacing w:after="0" w:line="172"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1"/>
          <w:szCs w:val="21"/>
          <w:b w:val="1"/>
          <w:bCs w:val="1"/>
          <w:color w:val="auto"/>
        </w:rPr>
        <w:t>INTEREST IN SECURITIES OF THE ISSUER</w:t>
      </w:r>
    </w:p>
    <w:p>
      <w:pPr>
        <w:spacing w:after="0" w:line="239" w:lineRule="exact"/>
        <w:rPr>
          <w:sz w:val="20"/>
          <w:szCs w:val="20"/>
          <w:color w:val="auto"/>
        </w:rPr>
      </w:pPr>
    </w:p>
    <w:p>
      <w:pPr>
        <w:jc w:val="both"/>
        <w:ind w:left="1340" w:right="100" w:hanging="831"/>
        <w:spacing w:after="0" w:line="282" w:lineRule="auto"/>
        <w:tabs>
          <w:tab w:leader="none" w:pos="1340" w:val="left"/>
        </w:tabs>
        <w:numPr>
          <w:ilvl w:val="0"/>
          <w:numId w:val="7"/>
        </w:numPr>
        <w:rPr>
          <w:rFonts w:ascii="Arial" w:cs="Arial" w:eastAsia="Arial" w:hAnsi="Arial"/>
          <w:sz w:val="19"/>
          <w:szCs w:val="19"/>
          <w:color w:val="auto"/>
        </w:rPr>
      </w:pPr>
      <w:r>
        <w:rPr>
          <w:rFonts w:ascii="Arial" w:cs="Arial" w:eastAsia="Arial" w:hAnsi="Arial"/>
          <w:sz w:val="19"/>
          <w:szCs w:val="19"/>
          <w:color w:val="auto"/>
        </w:rPr>
        <w:t>See rows (11) and (13) of the cover pages to this Schedule 13D for the aggregate number of and percentages of the shares of Common Stock beneficially owned by each Reporting Person. The percentages set forth in this Schedule 13D are based upon 242,565,822 shares of Common Stock outstanding as of January 31, 2021, as reported in the Issuer's Annual Report on Form 10-K for the fiscal year ended December 31, 2020, filed with the Securities and Exchange Commission on February 24, 2021.</w:t>
      </w:r>
    </w:p>
    <w:p>
      <w:pPr>
        <w:spacing w:after="0" w:line="174" w:lineRule="exact"/>
        <w:rPr>
          <w:rFonts w:ascii="Arial" w:cs="Arial" w:eastAsia="Arial" w:hAnsi="Arial"/>
          <w:sz w:val="19"/>
          <w:szCs w:val="19"/>
          <w:color w:val="auto"/>
        </w:rPr>
      </w:pPr>
    </w:p>
    <w:p>
      <w:pPr>
        <w:jc w:val="both"/>
        <w:ind w:left="1340" w:right="100" w:hanging="837"/>
        <w:spacing w:after="0"/>
        <w:tabs>
          <w:tab w:leader="none" w:pos="1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See rows (7) through (10) of the cover pages to this Schedule 13D for the number of shares of Common Stock as to which each Reporting Person has the sole or shared power to vote or direct the vote and sole or shared power to dispose or to direct the disposition.</w:t>
      </w:r>
    </w:p>
    <w:p>
      <w:pPr>
        <w:spacing w:after="0" w:line="213" w:lineRule="exact"/>
        <w:rPr>
          <w:rFonts w:ascii="Arial" w:cs="Arial" w:eastAsia="Arial" w:hAnsi="Arial"/>
          <w:sz w:val="22"/>
          <w:szCs w:val="22"/>
          <w:color w:val="auto"/>
        </w:rPr>
      </w:pPr>
    </w:p>
    <w:p>
      <w:pPr>
        <w:jc w:val="both"/>
        <w:ind w:left="1340" w:right="100" w:hanging="831"/>
        <w:spacing w:after="0" w:line="235" w:lineRule="auto"/>
        <w:tabs>
          <w:tab w:leader="none" w:pos="1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Information concerning transactions in the shares of Common Stock reported herein effected during the past sixty (60) days is set forth in </w:t>
      </w:r>
      <w:r>
        <w:rPr>
          <w:rFonts w:ascii="Arial" w:cs="Arial" w:eastAsia="Arial" w:hAnsi="Arial"/>
          <w:sz w:val="22"/>
          <w:szCs w:val="22"/>
          <w:u w:val="single" w:color="auto"/>
          <w:color w:val="auto"/>
        </w:rPr>
        <w:t>Annex A</w:t>
      </w:r>
      <w:r>
        <w:rPr>
          <w:rFonts w:ascii="Arial" w:cs="Arial" w:eastAsia="Arial" w:hAnsi="Arial"/>
          <w:sz w:val="22"/>
          <w:szCs w:val="22"/>
          <w:color w:val="auto"/>
        </w:rPr>
        <w:t>, which is attached hereto and is incorporated herein by reference. All of the transactions in the shares of Common Stock listed therein were effected in the open market through various brokerage entities. In addition, on March 17, 2021, the Proposed Acquisition closed and the 13,877,542 shares of Common Stock then held by the Glazer Funds were each converted into the right to receive 0.05 of a share of common stock of Diamondback.</w:t>
      </w:r>
    </w:p>
    <w:p>
      <w:pPr>
        <w:spacing w:after="0" w:line="214" w:lineRule="exact"/>
        <w:rPr>
          <w:rFonts w:ascii="Arial" w:cs="Arial" w:eastAsia="Arial" w:hAnsi="Arial"/>
          <w:sz w:val="22"/>
          <w:szCs w:val="22"/>
          <w:color w:val="auto"/>
        </w:rPr>
      </w:pPr>
    </w:p>
    <w:p>
      <w:pPr>
        <w:jc w:val="both"/>
        <w:ind w:left="1340" w:right="100" w:hanging="837"/>
        <w:spacing w:after="0"/>
        <w:tabs>
          <w:tab w:leader="none" w:pos="1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No person (other than the Reporting Persons and the Glazer Funds) is known to have the right to receive or the power to direct the receipt of dividends from, or the proceeds from the sale of, the shares of Common Stock reported herein.</w:t>
      </w:r>
    </w:p>
    <w:p>
      <w:pPr>
        <w:spacing w:after="0" w:line="213" w:lineRule="exact"/>
        <w:rPr>
          <w:rFonts w:ascii="Arial" w:cs="Arial" w:eastAsia="Arial" w:hAnsi="Arial"/>
          <w:sz w:val="22"/>
          <w:szCs w:val="22"/>
          <w:color w:val="auto"/>
        </w:rPr>
      </w:pPr>
    </w:p>
    <w:p>
      <w:pPr>
        <w:ind w:left="1340" w:hanging="831"/>
        <w:spacing w:after="0"/>
        <w:tabs>
          <w:tab w:leader="none" w:pos="1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March 17, 2021.</w:t>
      </w:r>
    </w:p>
    <w:p>
      <w:pPr>
        <w:spacing w:after="0" w:line="227" w:lineRule="exact"/>
        <w:rPr>
          <w:sz w:val="20"/>
          <w:szCs w:val="20"/>
          <w:color w:val="auto"/>
        </w:rPr>
      </w:pPr>
    </w:p>
    <w:p>
      <w:pPr>
        <w:ind w:left="1340" w:right="180" w:hanging="1241"/>
        <w:spacing w:after="0" w:line="256" w:lineRule="auto"/>
        <w:tabs>
          <w:tab w:leader="none" w:pos="132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22"/>
          <w:szCs w:val="22"/>
          <w:b w:val="1"/>
          <w:bCs w:val="1"/>
          <w:color w:val="auto"/>
        </w:rPr>
        <w:t>CONTRACTS, ARRANGEMENTS, UNDERSTANDINGS OR RELATIONSHIPS WITH RESPECT TO SECURITIES OF THE ISSUER</w:t>
      </w:r>
    </w:p>
    <w:p>
      <w:pPr>
        <w:spacing w:after="0" w:line="195" w:lineRule="exact"/>
        <w:rPr>
          <w:sz w:val="20"/>
          <w:szCs w:val="20"/>
          <w:color w:val="auto"/>
        </w:rPr>
      </w:pPr>
    </w:p>
    <w:p>
      <w:pPr>
        <w:jc w:val="both"/>
        <w:ind w:left="1340" w:right="100"/>
        <w:spacing w:after="0"/>
        <w:rPr>
          <w:sz w:val="20"/>
          <w:szCs w:val="20"/>
          <w:color w:val="auto"/>
        </w:rPr>
      </w:pPr>
      <w:r>
        <w:rPr>
          <w:rFonts w:ascii="Arial" w:cs="Arial" w:eastAsia="Arial" w:hAnsi="Arial"/>
          <w:sz w:val="22"/>
          <w:szCs w:val="22"/>
          <w:color w:val="auto"/>
        </w:rPr>
        <w:t xml:space="preserve">The Reporting Persons are parties to an agreement with respect to the joint filing of this Schedule 13D and any amendments thereto. A copy of such agreement is attached as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to this Schedule 13D and is incorporated by reference herein.</w:t>
      </w:r>
    </w:p>
    <w:p>
      <w:pPr>
        <w:spacing w:after="0" w:line="213" w:lineRule="exact"/>
        <w:rPr>
          <w:sz w:val="20"/>
          <w:szCs w:val="20"/>
          <w:color w:val="auto"/>
        </w:rPr>
      </w:pPr>
    </w:p>
    <w:p>
      <w:pPr>
        <w:jc w:val="both"/>
        <w:ind w:left="1340" w:right="100"/>
        <w:spacing w:after="0"/>
        <w:rPr>
          <w:sz w:val="20"/>
          <w:szCs w:val="20"/>
          <w:color w:val="auto"/>
        </w:rPr>
      </w:pPr>
      <w:r>
        <w:rPr>
          <w:rFonts w:ascii="Arial" w:cs="Arial" w:eastAsia="Arial" w:hAnsi="Arial"/>
          <w:sz w:val="22"/>
          <w:szCs w:val="22"/>
          <w:color w:val="auto"/>
        </w:rPr>
        <w:t>Other than the joint filing agreement, there are no contracts, arrangements, understandings or relationship among the Reporting Persons or between the Reporting Persons and any other person with respect to the securities of the Issuer.</w:t>
      </w:r>
    </w:p>
    <w:p>
      <w:pPr>
        <w:spacing w:after="0" w:line="207"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MATERIAL TO BE FILED AS EXHIBITS</w:t>
      </w:r>
    </w:p>
    <w:p>
      <w:pPr>
        <w:spacing w:after="0" w:line="239"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8"/>
          <w:szCs w:val="18"/>
          <w:color w:val="auto"/>
        </w:rPr>
        <w:t>March 8 Press Release</w:t>
      </w:r>
    </w:p>
    <w:p>
      <w:pPr>
        <w:spacing w:after="0" w:line="233"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8"/>
          <w:szCs w:val="18"/>
          <w:color w:val="auto"/>
        </w:rPr>
        <w:t>March 11 Press Release</w:t>
      </w:r>
    </w:p>
    <w:p>
      <w:pPr>
        <w:spacing w:after="0" w:line="233"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Joint Filing Agreement</w:t>
      </w:r>
    </w:p>
    <w:p>
      <w:pPr>
        <w:sectPr>
          <w:pgSz w:w="11900" w:h="16838" w:orient="portrait"/>
          <w:cols w:equalWidth="0" w:num="1">
            <w:col w:w="11240"/>
          </w:cols>
          <w:pgMar w:left="320" w:top="225" w:right="339" w:bottom="1440" w:gutter="0" w:footer="0" w:header="0"/>
          <w:type w:val="continuous"/>
        </w:sectPr>
      </w:pPr>
    </w:p>
    <w:bookmarkStart w:id="6" w:name="page7"/>
    <w:bookmarkEnd w:id="6"/>
    <w:p>
      <w:pPr>
        <w:spacing w:after="0"/>
        <w:tabs>
          <w:tab w:leader="none" w:pos="4880" w:val="left"/>
          <w:tab w:leader="none" w:pos="9900" w:val="left"/>
        </w:tabs>
        <w:rPr>
          <w:sz w:val="20"/>
          <w:szCs w:val="20"/>
          <w:color w:val="auto"/>
        </w:rPr>
      </w:pPr>
      <w:r>
        <w:rPr>
          <w:rFonts w:ascii="Arial" w:cs="Arial" w:eastAsia="Arial" w:hAnsi="Arial"/>
          <w:sz w:val="18"/>
          <w:szCs w:val="18"/>
          <w:b w:val="1"/>
          <w:bCs w:val="1"/>
          <w:color w:val="auto"/>
        </w:rPr>
        <w:t>CUSIP No. 74733V100</w:t>
      </w:r>
      <w:r>
        <w:rPr>
          <w:sz w:val="20"/>
          <w:szCs w:val="20"/>
          <w:color w:val="auto"/>
        </w:rPr>
        <w:tab/>
      </w:r>
      <w:r>
        <w:rPr>
          <w:rFonts w:ascii="Arial" w:cs="Arial" w:eastAsia="Arial" w:hAnsi="Arial"/>
          <w:sz w:val="20"/>
          <w:szCs w:val="20"/>
          <w:b w:val="1"/>
          <w:bCs w:val="1"/>
          <w:color w:val="auto"/>
        </w:rPr>
        <w:t>SCHEDULE 13D</w:t>
      </w:r>
      <w:r>
        <w:rPr>
          <w:sz w:val="20"/>
          <w:szCs w:val="20"/>
          <w:color w:val="auto"/>
        </w:rPr>
        <w:tab/>
      </w:r>
      <w:r>
        <w:rPr>
          <w:rFonts w:ascii="Arial" w:cs="Arial" w:eastAsia="Arial" w:hAnsi="Arial"/>
          <w:sz w:val="15"/>
          <w:szCs w:val="15"/>
          <w:b w:val="1"/>
          <w:bCs w:val="1"/>
          <w:color w:val="auto"/>
        </w:rPr>
        <w:t>Page 7 of 8 Pages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640" w:firstLine="1296"/>
        <w:spacing w:after="0" w:line="250" w:lineRule="auto"/>
        <w:rPr>
          <w:sz w:val="20"/>
          <w:szCs w:val="20"/>
          <w:color w:val="auto"/>
        </w:rPr>
      </w:pPr>
      <w:r>
        <w:rPr>
          <w:rFonts w:ascii="Arial" w:cs="Arial" w:eastAsia="Arial" w:hAnsi="Arial"/>
          <w:sz w:val="22"/>
          <w:szCs w:val="22"/>
          <w:color w:val="auto"/>
        </w:rPr>
        <w:t>After reasonable inquiry and to the best of his or its knowledge and belief, the undersigned certifies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March 18, 2021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960"/>
        <w:spacing w:after="0"/>
        <w:rPr>
          <w:sz w:val="20"/>
          <w:szCs w:val="20"/>
          <w:color w:val="auto"/>
        </w:rPr>
      </w:pPr>
      <w:r>
        <w:rPr>
          <w:rFonts w:ascii="Arial" w:cs="Arial" w:eastAsia="Arial" w:hAnsi="Arial"/>
          <w:sz w:val="22"/>
          <w:szCs w:val="22"/>
          <w:b w:val="1"/>
          <w:bCs w:val="1"/>
          <w:color w:val="auto"/>
        </w:rPr>
        <w:t>GLAZER CAPITAL, LLC</w:t>
      </w:r>
    </w:p>
    <w:p>
      <w:pPr>
        <w:spacing w:after="0" w:line="200" w:lineRule="exact"/>
        <w:rPr>
          <w:sz w:val="20"/>
          <w:szCs w:val="20"/>
          <w:color w:val="auto"/>
        </w:rPr>
      </w:pPr>
    </w:p>
    <w:p>
      <w:pPr>
        <w:spacing w:after="0" w:line="272" w:lineRule="exact"/>
        <w:rPr>
          <w:sz w:val="20"/>
          <w:szCs w:val="20"/>
          <w:color w:val="auto"/>
        </w:rPr>
      </w:pPr>
    </w:p>
    <w:tbl>
      <w:tblPr>
        <w:tblLayout w:type="fixed"/>
        <w:tblInd w:w="696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3460" w:type="dxa"/>
            <w:vAlign w:val="bottom"/>
          </w:tcPr>
          <w:p>
            <w:pPr>
              <w:spacing w:after="0"/>
              <w:rPr>
                <w:sz w:val="20"/>
                <w:szCs w:val="20"/>
                <w:color w:val="auto"/>
              </w:rPr>
            </w:pPr>
            <w:r>
              <w:rPr>
                <w:rFonts w:ascii="Arial" w:cs="Arial" w:eastAsia="Arial" w:hAnsi="Arial"/>
                <w:sz w:val="22"/>
                <w:szCs w:val="22"/>
                <w:color w:val="auto"/>
              </w:rPr>
              <w:t>/s/ Paul J. Glazer</w:t>
            </w:r>
          </w:p>
        </w:tc>
        <w:tc>
          <w:tcPr>
            <w:tcW w:w="0" w:type="dxa"/>
            <w:vAlign w:val="bottom"/>
          </w:tcPr>
          <w:p>
            <w:pPr>
              <w:spacing w:after="0"/>
              <w:rPr>
                <w:sz w:val="1"/>
                <w:szCs w:val="1"/>
                <w:color w:val="auto"/>
              </w:rPr>
            </w:pPr>
          </w:p>
        </w:tc>
      </w:tr>
      <w:tr>
        <w:trPr>
          <w:trHeight w:val="21"/>
        </w:trPr>
        <w:tc>
          <w:tcPr>
            <w:tcW w:w="8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20" w:type="dxa"/>
            <w:vAlign w:val="bottom"/>
            <w:vMerge w:val="continue"/>
          </w:tcPr>
          <w:p>
            <w:pPr>
              <w:spacing w:after="0"/>
              <w:rPr>
                <w:sz w:val="18"/>
                <w:szCs w:val="18"/>
                <w:color w:val="auto"/>
              </w:rPr>
            </w:pPr>
          </w:p>
        </w:tc>
        <w:tc>
          <w:tcPr>
            <w:tcW w:w="3460" w:type="dxa"/>
            <w:vAlign w:val="bottom"/>
          </w:tcPr>
          <w:p>
            <w:pPr>
              <w:spacing w:after="0" w:line="216" w:lineRule="exact"/>
              <w:rPr>
                <w:sz w:val="20"/>
                <w:szCs w:val="20"/>
                <w:color w:val="auto"/>
              </w:rPr>
            </w:pPr>
            <w:r>
              <w:rPr>
                <w:rFonts w:ascii="Arial" w:cs="Arial" w:eastAsia="Arial" w:hAnsi="Arial"/>
                <w:sz w:val="22"/>
                <w:szCs w:val="22"/>
                <w:color w:val="auto"/>
              </w:rPr>
              <w:t>Paul J. Glazer</w:t>
            </w:r>
          </w:p>
        </w:tc>
        <w:tc>
          <w:tcPr>
            <w:tcW w:w="0" w:type="dxa"/>
            <w:vAlign w:val="bottom"/>
          </w:tcPr>
          <w:p>
            <w:pPr>
              <w:spacing w:after="0"/>
              <w:rPr>
                <w:sz w:val="1"/>
                <w:szCs w:val="1"/>
                <w:color w:val="auto"/>
              </w:rPr>
            </w:pPr>
          </w:p>
        </w:tc>
      </w:tr>
      <w:tr>
        <w:trPr>
          <w:trHeight w:val="274"/>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460" w:type="dxa"/>
            <w:vAlign w:val="bottom"/>
          </w:tcPr>
          <w:p>
            <w:pPr>
              <w:spacing w:after="0"/>
              <w:rPr>
                <w:sz w:val="20"/>
                <w:szCs w:val="20"/>
                <w:color w:val="auto"/>
              </w:rPr>
            </w:pPr>
            <w:r>
              <w:rPr>
                <w:rFonts w:ascii="Arial" w:cs="Arial" w:eastAsia="Arial" w:hAnsi="Arial"/>
                <w:sz w:val="22"/>
                <w:szCs w:val="22"/>
                <w:color w:val="auto"/>
              </w:rPr>
              <w:t>Managing Member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6985</wp:posOffset>
            </wp:positionV>
            <wp:extent cx="2777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Arial" w:cs="Arial" w:eastAsia="Arial" w:hAnsi="Arial"/>
          <w:sz w:val="22"/>
          <w:szCs w:val="22"/>
          <w:b w:val="1"/>
          <w:bCs w:val="1"/>
          <w:color w:val="auto"/>
        </w:rPr>
        <w:t>Paul J. Glazer</w:t>
      </w:r>
    </w:p>
    <w:p>
      <w:pPr>
        <w:sectPr>
          <w:pgSz w:w="11900" w:h="16838" w:orient="portrait"/>
          <w:cols w:equalWidth="0" w:num="1">
            <w:col w:w="11240"/>
          </w:cols>
          <w:pgMar w:left="320" w:top="225" w:right="339" w:bottom="1440" w:gutter="0" w:footer="0" w:header="0"/>
        </w:sectPr>
      </w:pPr>
    </w:p>
    <w:bookmarkStart w:id="7" w:name="page8"/>
    <w:bookmarkEnd w:id="7"/>
    <w:p>
      <w:pPr>
        <w:spacing w:after="0"/>
        <w:tabs>
          <w:tab w:leader="none" w:pos="4880" w:val="left"/>
          <w:tab w:leader="none" w:pos="9900" w:val="left"/>
        </w:tabs>
        <w:rPr>
          <w:sz w:val="20"/>
          <w:szCs w:val="20"/>
          <w:color w:val="auto"/>
        </w:rPr>
      </w:pPr>
      <w:r>
        <w:rPr>
          <w:rFonts w:ascii="Arial" w:cs="Arial" w:eastAsia="Arial" w:hAnsi="Arial"/>
          <w:sz w:val="18"/>
          <w:szCs w:val="18"/>
          <w:b w:val="1"/>
          <w:bCs w:val="1"/>
          <w:color w:val="auto"/>
        </w:rPr>
        <w:t>CUSIP No. 74733V100</w:t>
      </w:r>
      <w:r>
        <w:rPr>
          <w:sz w:val="20"/>
          <w:szCs w:val="20"/>
          <w:color w:val="auto"/>
        </w:rPr>
        <w:tab/>
      </w:r>
      <w:r>
        <w:rPr>
          <w:rFonts w:ascii="Arial" w:cs="Arial" w:eastAsia="Arial" w:hAnsi="Arial"/>
          <w:sz w:val="20"/>
          <w:szCs w:val="20"/>
          <w:b w:val="1"/>
          <w:bCs w:val="1"/>
          <w:color w:val="auto"/>
        </w:rPr>
        <w:t>SCHEDULE 13D</w:t>
      </w:r>
      <w:r>
        <w:rPr>
          <w:sz w:val="20"/>
          <w:szCs w:val="20"/>
          <w:color w:val="auto"/>
        </w:rPr>
        <w:tab/>
      </w:r>
      <w:r>
        <w:rPr>
          <w:rFonts w:ascii="Arial" w:cs="Arial" w:eastAsia="Arial" w:hAnsi="Arial"/>
          <w:sz w:val="15"/>
          <w:szCs w:val="15"/>
          <w:b w:val="1"/>
          <w:bCs w:val="1"/>
          <w:color w:val="auto"/>
        </w:rPr>
        <w:t>Page 8 of 8 Pages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Annex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Transactions in the Shares of Common Stock of the Issuer During the Past Sixty (60) Days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tables set forth all transactions in the shares of Common Stock reported herein effected in the past sixty</w:t>
      </w:r>
    </w:p>
    <w:p>
      <w:pPr>
        <w:spacing w:after="0" w:line="43" w:lineRule="exact"/>
        <w:rPr>
          <w:sz w:val="20"/>
          <w:szCs w:val="20"/>
          <w:color w:val="auto"/>
        </w:rPr>
      </w:pPr>
    </w:p>
    <w:p>
      <w:pPr>
        <w:ind w:right="680" w:firstLine="8"/>
        <w:spacing w:after="0" w:line="236" w:lineRule="auto"/>
        <w:tabs>
          <w:tab w:leader="none" w:pos="414" w:val="left"/>
        </w:tabs>
        <w:numPr>
          <w:ilvl w:val="0"/>
          <w:numId w:val="8"/>
        </w:numPr>
        <w:rPr>
          <w:rFonts w:ascii="Arial" w:cs="Arial" w:eastAsia="Arial" w:hAnsi="Arial"/>
          <w:sz w:val="22"/>
          <w:szCs w:val="22"/>
          <w:color w:val="auto"/>
        </w:rPr>
      </w:pPr>
      <w:r>
        <w:rPr>
          <w:rFonts w:ascii="Arial" w:cs="Arial" w:eastAsia="Arial" w:hAnsi="Arial"/>
          <w:sz w:val="22"/>
          <w:szCs w:val="22"/>
          <w:color w:val="auto"/>
        </w:rPr>
        <w:t>days. Except as noted below, all such transactions were effected by the Reporting Persons in the open market through brokers and the price per share excludes commissions.</w:t>
      </w:r>
    </w:p>
    <w:p>
      <w:pPr>
        <w:spacing w:after="0" w:line="200" w:lineRule="exact"/>
        <w:rPr>
          <w:sz w:val="20"/>
          <w:szCs w:val="20"/>
          <w:color w:val="auto"/>
        </w:rPr>
      </w:pPr>
    </w:p>
    <w:p>
      <w:pPr>
        <w:spacing w:after="0" w:line="228" w:lineRule="exact"/>
        <w:rPr>
          <w:sz w:val="20"/>
          <w:szCs w:val="20"/>
          <w:color w:val="auto"/>
        </w:rPr>
      </w:pPr>
    </w:p>
    <w:tbl>
      <w:tblPr>
        <w:tblLayout w:type="fixed"/>
        <w:tblInd w:w="1220" w:type="dxa"/>
        <w:tblCellMar>
          <w:top w:w="0" w:type="dxa"/>
          <w:left w:w="0" w:type="dxa"/>
          <w:bottom w:w="0" w:type="dxa"/>
          <w:right w:w="0" w:type="dxa"/>
        </w:tblCellMar>
      </w:tblPr>
      <w:tr>
        <w:trPr>
          <w:trHeight w:val="256"/>
        </w:trPr>
        <w:tc>
          <w:tcPr>
            <w:tcW w:w="2060" w:type="dxa"/>
            <w:vAlign w:val="bottom"/>
          </w:tcPr>
          <w:p>
            <w:pPr>
              <w:spacing w:after="0"/>
              <w:rPr>
                <w:sz w:val="20"/>
                <w:szCs w:val="20"/>
                <w:color w:val="auto"/>
              </w:rPr>
            </w:pPr>
            <w:r>
              <w:rPr>
                <w:rFonts w:ascii="Arial" w:cs="Arial" w:eastAsia="Arial" w:hAnsi="Arial"/>
                <w:sz w:val="20"/>
                <w:szCs w:val="20"/>
                <w:b w:val="1"/>
                <w:bCs w:val="1"/>
                <w:color w:val="auto"/>
              </w:rPr>
              <w:t>Trade Date</w:t>
            </w:r>
          </w:p>
        </w:tc>
        <w:tc>
          <w:tcPr>
            <w:tcW w:w="4180" w:type="dxa"/>
            <w:vAlign w:val="bottom"/>
          </w:tcPr>
          <w:p>
            <w:pPr>
              <w:ind w:left="1100"/>
              <w:spacing w:after="0"/>
              <w:rPr>
                <w:sz w:val="20"/>
                <w:szCs w:val="20"/>
                <w:color w:val="auto"/>
              </w:rPr>
            </w:pPr>
            <w:r>
              <w:rPr>
                <w:rFonts w:ascii="Arial" w:cs="Arial" w:eastAsia="Arial" w:hAnsi="Arial"/>
                <w:sz w:val="20"/>
                <w:szCs w:val="20"/>
                <w:b w:val="1"/>
                <w:bCs w:val="1"/>
                <w:color w:val="auto"/>
              </w:rPr>
              <w:t>Shares Purchased (Sold)</w:t>
            </w:r>
          </w:p>
        </w:tc>
        <w:tc>
          <w:tcPr>
            <w:tcW w:w="2620" w:type="dxa"/>
            <w:vAlign w:val="bottom"/>
          </w:tcPr>
          <w:p>
            <w:pPr>
              <w:jc w:val="center"/>
              <w:ind w:left="921"/>
              <w:spacing w:after="0"/>
              <w:rPr>
                <w:sz w:val="20"/>
                <w:szCs w:val="20"/>
                <w:color w:val="auto"/>
              </w:rPr>
            </w:pPr>
            <w:r>
              <w:rPr>
                <w:rFonts w:ascii="Arial" w:cs="Arial" w:eastAsia="Arial" w:hAnsi="Arial"/>
                <w:sz w:val="20"/>
                <w:szCs w:val="20"/>
                <w:b w:val="1"/>
                <w:bCs w:val="1"/>
                <w:color w:val="auto"/>
                <w:w w:val="89"/>
              </w:rPr>
              <w:t>Price Per Share ($)</w:t>
            </w:r>
          </w:p>
        </w:tc>
      </w:tr>
      <w:tr>
        <w:trPr>
          <w:trHeight w:val="452"/>
        </w:trPr>
        <w:tc>
          <w:tcPr>
            <w:tcW w:w="2060" w:type="dxa"/>
            <w:vAlign w:val="bottom"/>
          </w:tcPr>
          <w:p>
            <w:pPr>
              <w:jc w:val="center"/>
              <w:ind w:right="1001"/>
              <w:spacing w:after="0"/>
              <w:rPr>
                <w:sz w:val="20"/>
                <w:szCs w:val="20"/>
                <w:color w:val="auto"/>
              </w:rPr>
            </w:pPr>
            <w:r>
              <w:rPr>
                <w:rFonts w:ascii="Arial" w:cs="Arial" w:eastAsia="Arial" w:hAnsi="Arial"/>
                <w:sz w:val="20"/>
                <w:szCs w:val="20"/>
                <w:color w:val="auto"/>
                <w:w w:val="89"/>
              </w:rPr>
              <w:t>1/19/2021</w:t>
            </w:r>
          </w:p>
        </w:tc>
        <w:tc>
          <w:tcPr>
            <w:tcW w:w="4180" w:type="dxa"/>
            <w:vAlign w:val="bottom"/>
          </w:tcPr>
          <w:p>
            <w:pPr>
              <w:jc w:val="center"/>
              <w:spacing w:after="0"/>
              <w:rPr>
                <w:sz w:val="20"/>
                <w:szCs w:val="20"/>
                <w:color w:val="auto"/>
              </w:rPr>
            </w:pPr>
            <w:r>
              <w:rPr>
                <w:rFonts w:ascii="Arial" w:cs="Arial" w:eastAsia="Arial" w:hAnsi="Arial"/>
                <w:sz w:val="20"/>
                <w:szCs w:val="20"/>
                <w:color w:val="auto"/>
                <w:w w:val="88"/>
              </w:rPr>
              <w:t>34,939</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2.97</w:t>
            </w:r>
          </w:p>
        </w:tc>
      </w:tr>
      <w:tr>
        <w:trPr>
          <w:trHeight w:val="230"/>
        </w:trPr>
        <w:tc>
          <w:tcPr>
            <w:tcW w:w="2060" w:type="dxa"/>
            <w:vAlign w:val="bottom"/>
          </w:tcPr>
          <w:p>
            <w:pPr>
              <w:jc w:val="center"/>
              <w:ind w:right="1001"/>
              <w:spacing w:after="0"/>
              <w:rPr>
                <w:sz w:val="20"/>
                <w:szCs w:val="20"/>
                <w:color w:val="auto"/>
              </w:rPr>
            </w:pPr>
            <w:r>
              <w:rPr>
                <w:rFonts w:ascii="Arial" w:cs="Arial" w:eastAsia="Arial" w:hAnsi="Arial"/>
                <w:sz w:val="20"/>
                <w:szCs w:val="20"/>
                <w:color w:val="auto"/>
                <w:w w:val="89"/>
              </w:rPr>
              <w:t>1/20/2021</w:t>
            </w:r>
          </w:p>
        </w:tc>
        <w:tc>
          <w:tcPr>
            <w:tcW w:w="4180" w:type="dxa"/>
            <w:vAlign w:val="bottom"/>
          </w:tcPr>
          <w:p>
            <w:pPr>
              <w:jc w:val="center"/>
              <w:spacing w:after="0"/>
              <w:rPr>
                <w:sz w:val="20"/>
                <w:szCs w:val="20"/>
                <w:color w:val="auto"/>
              </w:rPr>
            </w:pPr>
            <w:r>
              <w:rPr>
                <w:rFonts w:ascii="Arial" w:cs="Arial" w:eastAsia="Arial" w:hAnsi="Arial"/>
                <w:sz w:val="20"/>
                <w:szCs w:val="20"/>
                <w:color w:val="auto"/>
                <w:w w:val="88"/>
              </w:rPr>
              <w:t>45,170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3.01</w:t>
            </w:r>
          </w:p>
        </w:tc>
      </w:tr>
      <w:tr>
        <w:trPr>
          <w:trHeight w:val="229"/>
        </w:trPr>
        <w:tc>
          <w:tcPr>
            <w:tcW w:w="2060" w:type="dxa"/>
            <w:vAlign w:val="bottom"/>
          </w:tcPr>
          <w:p>
            <w:pPr>
              <w:jc w:val="center"/>
              <w:ind w:right="1001"/>
              <w:spacing w:after="0"/>
              <w:rPr>
                <w:sz w:val="20"/>
                <w:szCs w:val="20"/>
                <w:color w:val="auto"/>
              </w:rPr>
            </w:pPr>
            <w:r>
              <w:rPr>
                <w:rFonts w:ascii="Arial" w:cs="Arial" w:eastAsia="Arial" w:hAnsi="Arial"/>
                <w:sz w:val="20"/>
                <w:szCs w:val="20"/>
                <w:color w:val="auto"/>
                <w:w w:val="89"/>
              </w:rPr>
              <w:t>1/21/2021</w:t>
            </w:r>
          </w:p>
        </w:tc>
        <w:tc>
          <w:tcPr>
            <w:tcW w:w="4180" w:type="dxa"/>
            <w:vAlign w:val="bottom"/>
          </w:tcPr>
          <w:p>
            <w:pPr>
              <w:jc w:val="center"/>
              <w:spacing w:after="0"/>
              <w:rPr>
                <w:sz w:val="20"/>
                <w:szCs w:val="20"/>
                <w:color w:val="auto"/>
              </w:rPr>
            </w:pPr>
            <w:r>
              <w:rPr>
                <w:rFonts w:ascii="Arial" w:cs="Arial" w:eastAsia="Arial" w:hAnsi="Arial"/>
                <w:sz w:val="20"/>
                <w:szCs w:val="20"/>
                <w:color w:val="auto"/>
                <w:w w:val="91"/>
              </w:rPr>
              <w:t>268,860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2.93</w:t>
            </w:r>
          </w:p>
        </w:tc>
      </w:tr>
      <w:tr>
        <w:trPr>
          <w:trHeight w:val="230"/>
        </w:trPr>
        <w:tc>
          <w:tcPr>
            <w:tcW w:w="2060" w:type="dxa"/>
            <w:vAlign w:val="bottom"/>
          </w:tcPr>
          <w:p>
            <w:pPr>
              <w:jc w:val="center"/>
              <w:ind w:right="1001"/>
              <w:spacing w:after="0"/>
              <w:rPr>
                <w:sz w:val="20"/>
                <w:szCs w:val="20"/>
                <w:color w:val="auto"/>
              </w:rPr>
            </w:pPr>
            <w:r>
              <w:rPr>
                <w:rFonts w:ascii="Arial" w:cs="Arial" w:eastAsia="Arial" w:hAnsi="Arial"/>
                <w:sz w:val="20"/>
                <w:szCs w:val="20"/>
                <w:color w:val="auto"/>
                <w:w w:val="89"/>
              </w:rPr>
              <w:t>1/22/2021</w:t>
            </w:r>
          </w:p>
        </w:tc>
        <w:tc>
          <w:tcPr>
            <w:tcW w:w="4180" w:type="dxa"/>
            <w:vAlign w:val="bottom"/>
          </w:tcPr>
          <w:p>
            <w:pPr>
              <w:jc w:val="center"/>
              <w:spacing w:after="0"/>
              <w:rPr>
                <w:sz w:val="20"/>
                <w:szCs w:val="20"/>
                <w:color w:val="auto"/>
              </w:rPr>
            </w:pPr>
            <w:r>
              <w:rPr>
                <w:rFonts w:ascii="Arial" w:cs="Arial" w:eastAsia="Arial" w:hAnsi="Arial"/>
                <w:sz w:val="20"/>
                <w:szCs w:val="20"/>
                <w:color w:val="auto"/>
                <w:w w:val="91"/>
              </w:rPr>
              <w:t>540,982</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3.08</w:t>
            </w:r>
          </w:p>
        </w:tc>
      </w:tr>
      <w:tr>
        <w:trPr>
          <w:trHeight w:val="229"/>
        </w:trPr>
        <w:tc>
          <w:tcPr>
            <w:tcW w:w="2060" w:type="dxa"/>
            <w:vAlign w:val="bottom"/>
          </w:tcPr>
          <w:p>
            <w:pPr>
              <w:jc w:val="center"/>
              <w:ind w:right="1001"/>
              <w:spacing w:after="0"/>
              <w:rPr>
                <w:sz w:val="20"/>
                <w:szCs w:val="20"/>
                <w:color w:val="auto"/>
              </w:rPr>
            </w:pPr>
            <w:r>
              <w:rPr>
                <w:rFonts w:ascii="Arial" w:cs="Arial" w:eastAsia="Arial" w:hAnsi="Arial"/>
                <w:sz w:val="20"/>
                <w:szCs w:val="20"/>
                <w:color w:val="auto"/>
                <w:w w:val="89"/>
              </w:rPr>
              <w:t>1/25/2021</w:t>
            </w:r>
          </w:p>
        </w:tc>
        <w:tc>
          <w:tcPr>
            <w:tcW w:w="4180" w:type="dxa"/>
            <w:vAlign w:val="bottom"/>
          </w:tcPr>
          <w:p>
            <w:pPr>
              <w:jc w:val="center"/>
              <w:spacing w:after="0"/>
              <w:rPr>
                <w:sz w:val="20"/>
                <w:szCs w:val="20"/>
                <w:color w:val="auto"/>
              </w:rPr>
            </w:pPr>
            <w:r>
              <w:rPr>
                <w:rFonts w:ascii="Arial" w:cs="Arial" w:eastAsia="Arial" w:hAnsi="Arial"/>
                <w:sz w:val="20"/>
                <w:szCs w:val="20"/>
                <w:color w:val="auto"/>
                <w:w w:val="91"/>
              </w:rPr>
              <w:t>104,629</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3.05</w:t>
            </w:r>
          </w:p>
        </w:tc>
      </w:tr>
      <w:tr>
        <w:trPr>
          <w:trHeight w:val="229"/>
        </w:trPr>
        <w:tc>
          <w:tcPr>
            <w:tcW w:w="2060" w:type="dxa"/>
            <w:vAlign w:val="bottom"/>
          </w:tcPr>
          <w:p>
            <w:pPr>
              <w:jc w:val="center"/>
              <w:ind w:right="1001"/>
              <w:spacing w:after="0"/>
              <w:rPr>
                <w:sz w:val="20"/>
                <w:szCs w:val="20"/>
                <w:color w:val="auto"/>
              </w:rPr>
            </w:pPr>
            <w:r>
              <w:rPr>
                <w:rFonts w:ascii="Arial" w:cs="Arial" w:eastAsia="Arial" w:hAnsi="Arial"/>
                <w:sz w:val="20"/>
                <w:szCs w:val="20"/>
                <w:color w:val="auto"/>
                <w:w w:val="89"/>
              </w:rPr>
              <w:t>1/26/2021</w:t>
            </w:r>
          </w:p>
        </w:tc>
        <w:tc>
          <w:tcPr>
            <w:tcW w:w="4180" w:type="dxa"/>
            <w:vAlign w:val="bottom"/>
          </w:tcPr>
          <w:p>
            <w:pPr>
              <w:jc w:val="center"/>
              <w:spacing w:after="0"/>
              <w:rPr>
                <w:sz w:val="20"/>
                <w:szCs w:val="20"/>
                <w:color w:val="auto"/>
              </w:rPr>
            </w:pPr>
            <w:r>
              <w:rPr>
                <w:rFonts w:ascii="Arial" w:cs="Arial" w:eastAsia="Arial" w:hAnsi="Arial"/>
                <w:sz w:val="20"/>
                <w:szCs w:val="20"/>
                <w:color w:val="auto"/>
                <w:w w:val="91"/>
              </w:rPr>
              <w:t>765,000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3.06</w:t>
            </w:r>
          </w:p>
        </w:tc>
      </w:tr>
      <w:tr>
        <w:trPr>
          <w:trHeight w:val="230"/>
        </w:trPr>
        <w:tc>
          <w:tcPr>
            <w:tcW w:w="2060" w:type="dxa"/>
            <w:vAlign w:val="bottom"/>
          </w:tcPr>
          <w:p>
            <w:pPr>
              <w:jc w:val="center"/>
              <w:ind w:right="1001"/>
              <w:spacing w:after="0"/>
              <w:rPr>
                <w:sz w:val="20"/>
                <w:szCs w:val="20"/>
                <w:color w:val="auto"/>
              </w:rPr>
            </w:pPr>
            <w:r>
              <w:rPr>
                <w:rFonts w:ascii="Arial" w:cs="Arial" w:eastAsia="Arial" w:hAnsi="Arial"/>
                <w:sz w:val="20"/>
                <w:szCs w:val="20"/>
                <w:color w:val="auto"/>
                <w:w w:val="89"/>
              </w:rPr>
              <w:t>1/27/2021</w:t>
            </w:r>
          </w:p>
        </w:tc>
        <w:tc>
          <w:tcPr>
            <w:tcW w:w="4180" w:type="dxa"/>
            <w:vAlign w:val="bottom"/>
          </w:tcPr>
          <w:p>
            <w:pPr>
              <w:jc w:val="center"/>
              <w:spacing w:after="0"/>
              <w:rPr>
                <w:sz w:val="20"/>
                <w:szCs w:val="20"/>
                <w:color w:val="auto"/>
              </w:rPr>
            </w:pPr>
            <w:r>
              <w:rPr>
                <w:rFonts w:ascii="Arial" w:cs="Arial" w:eastAsia="Arial" w:hAnsi="Arial"/>
                <w:sz w:val="20"/>
                <w:szCs w:val="20"/>
                <w:color w:val="auto"/>
                <w:w w:val="88"/>
              </w:rPr>
              <w:t>41,000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2.82</w:t>
            </w:r>
          </w:p>
        </w:tc>
      </w:tr>
      <w:tr>
        <w:trPr>
          <w:trHeight w:val="229"/>
        </w:trPr>
        <w:tc>
          <w:tcPr>
            <w:tcW w:w="2060" w:type="dxa"/>
            <w:vAlign w:val="bottom"/>
          </w:tcPr>
          <w:p>
            <w:pPr>
              <w:jc w:val="center"/>
              <w:ind w:right="1001"/>
              <w:spacing w:after="0"/>
              <w:rPr>
                <w:sz w:val="20"/>
                <w:szCs w:val="20"/>
                <w:color w:val="auto"/>
              </w:rPr>
            </w:pPr>
            <w:r>
              <w:rPr>
                <w:rFonts w:ascii="Arial" w:cs="Arial" w:eastAsia="Arial" w:hAnsi="Arial"/>
                <w:sz w:val="20"/>
                <w:szCs w:val="20"/>
                <w:color w:val="auto"/>
                <w:w w:val="89"/>
              </w:rPr>
              <w:t>1/28/2021</w:t>
            </w:r>
          </w:p>
        </w:tc>
        <w:tc>
          <w:tcPr>
            <w:tcW w:w="4180" w:type="dxa"/>
            <w:vAlign w:val="bottom"/>
          </w:tcPr>
          <w:p>
            <w:pPr>
              <w:jc w:val="center"/>
              <w:spacing w:after="0"/>
              <w:rPr>
                <w:sz w:val="20"/>
                <w:szCs w:val="20"/>
                <w:color w:val="auto"/>
              </w:rPr>
            </w:pPr>
            <w:r>
              <w:rPr>
                <w:rFonts w:ascii="Arial" w:cs="Arial" w:eastAsia="Arial" w:hAnsi="Arial"/>
                <w:sz w:val="20"/>
                <w:szCs w:val="20"/>
                <w:color w:val="auto"/>
                <w:w w:val="91"/>
              </w:rPr>
              <w:t>450,360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2.88</w:t>
            </w:r>
          </w:p>
        </w:tc>
      </w:tr>
      <w:tr>
        <w:trPr>
          <w:trHeight w:val="229"/>
        </w:trPr>
        <w:tc>
          <w:tcPr>
            <w:tcW w:w="2060" w:type="dxa"/>
            <w:vAlign w:val="bottom"/>
          </w:tcPr>
          <w:p>
            <w:pPr>
              <w:jc w:val="center"/>
              <w:ind w:right="1001"/>
              <w:spacing w:after="0"/>
              <w:rPr>
                <w:sz w:val="20"/>
                <w:szCs w:val="20"/>
                <w:color w:val="auto"/>
              </w:rPr>
            </w:pPr>
            <w:r>
              <w:rPr>
                <w:rFonts w:ascii="Arial" w:cs="Arial" w:eastAsia="Arial" w:hAnsi="Arial"/>
                <w:sz w:val="20"/>
                <w:szCs w:val="20"/>
                <w:color w:val="auto"/>
                <w:w w:val="89"/>
              </w:rPr>
              <w:t>1/29/2021</w:t>
            </w:r>
          </w:p>
        </w:tc>
        <w:tc>
          <w:tcPr>
            <w:tcW w:w="4180" w:type="dxa"/>
            <w:vAlign w:val="bottom"/>
          </w:tcPr>
          <w:p>
            <w:pPr>
              <w:jc w:val="center"/>
              <w:spacing w:after="0"/>
              <w:rPr>
                <w:sz w:val="20"/>
                <w:szCs w:val="20"/>
                <w:color w:val="auto"/>
              </w:rPr>
            </w:pPr>
            <w:r>
              <w:rPr>
                <w:rFonts w:ascii="Arial" w:cs="Arial" w:eastAsia="Arial" w:hAnsi="Arial"/>
                <w:sz w:val="20"/>
                <w:szCs w:val="20"/>
                <w:color w:val="auto"/>
                <w:w w:val="88"/>
              </w:rPr>
              <w:t>49,140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2.85</w:t>
            </w:r>
          </w:p>
        </w:tc>
      </w:tr>
      <w:tr>
        <w:trPr>
          <w:trHeight w:val="230"/>
        </w:trPr>
        <w:tc>
          <w:tcPr>
            <w:tcW w:w="2060" w:type="dxa"/>
            <w:vAlign w:val="bottom"/>
          </w:tcPr>
          <w:p>
            <w:pPr>
              <w:jc w:val="center"/>
              <w:ind w:right="1021"/>
              <w:spacing w:after="0"/>
              <w:rPr>
                <w:sz w:val="20"/>
                <w:szCs w:val="20"/>
                <w:color w:val="auto"/>
              </w:rPr>
            </w:pPr>
            <w:r>
              <w:rPr>
                <w:rFonts w:ascii="Arial" w:cs="Arial" w:eastAsia="Arial" w:hAnsi="Arial"/>
                <w:sz w:val="20"/>
                <w:szCs w:val="20"/>
                <w:color w:val="auto"/>
                <w:w w:val="89"/>
              </w:rPr>
              <w:t>2/1/2021</w:t>
            </w:r>
          </w:p>
        </w:tc>
        <w:tc>
          <w:tcPr>
            <w:tcW w:w="4180" w:type="dxa"/>
            <w:vAlign w:val="bottom"/>
          </w:tcPr>
          <w:p>
            <w:pPr>
              <w:jc w:val="center"/>
              <w:spacing w:after="0"/>
              <w:rPr>
                <w:sz w:val="20"/>
                <w:szCs w:val="20"/>
                <w:color w:val="auto"/>
              </w:rPr>
            </w:pPr>
            <w:r>
              <w:rPr>
                <w:rFonts w:ascii="Arial" w:cs="Arial" w:eastAsia="Arial" w:hAnsi="Arial"/>
                <w:sz w:val="20"/>
                <w:szCs w:val="20"/>
                <w:color w:val="auto"/>
                <w:w w:val="91"/>
              </w:rPr>
              <w:t>106,580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2.87</w:t>
            </w:r>
          </w:p>
        </w:tc>
      </w:tr>
      <w:tr>
        <w:trPr>
          <w:trHeight w:val="229"/>
        </w:trPr>
        <w:tc>
          <w:tcPr>
            <w:tcW w:w="2060" w:type="dxa"/>
            <w:vAlign w:val="bottom"/>
          </w:tcPr>
          <w:p>
            <w:pPr>
              <w:jc w:val="center"/>
              <w:ind w:right="1021"/>
              <w:spacing w:after="0"/>
              <w:rPr>
                <w:sz w:val="20"/>
                <w:szCs w:val="20"/>
                <w:color w:val="auto"/>
              </w:rPr>
            </w:pPr>
            <w:r>
              <w:rPr>
                <w:rFonts w:ascii="Arial" w:cs="Arial" w:eastAsia="Arial" w:hAnsi="Arial"/>
                <w:sz w:val="20"/>
                <w:szCs w:val="20"/>
                <w:color w:val="auto"/>
                <w:w w:val="89"/>
              </w:rPr>
              <w:t>2/2/2021</w:t>
            </w:r>
          </w:p>
        </w:tc>
        <w:tc>
          <w:tcPr>
            <w:tcW w:w="4180" w:type="dxa"/>
            <w:vAlign w:val="bottom"/>
          </w:tcPr>
          <w:p>
            <w:pPr>
              <w:jc w:val="center"/>
              <w:spacing w:after="0"/>
              <w:rPr>
                <w:sz w:val="20"/>
                <w:szCs w:val="20"/>
                <w:color w:val="auto"/>
              </w:rPr>
            </w:pPr>
            <w:r>
              <w:rPr>
                <w:rFonts w:ascii="Arial" w:cs="Arial" w:eastAsia="Arial" w:hAnsi="Arial"/>
                <w:sz w:val="20"/>
                <w:szCs w:val="20"/>
                <w:color w:val="auto"/>
                <w:w w:val="91"/>
              </w:rPr>
              <w:t>345,200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2.92</w:t>
            </w:r>
          </w:p>
        </w:tc>
      </w:tr>
      <w:tr>
        <w:trPr>
          <w:trHeight w:val="230"/>
        </w:trPr>
        <w:tc>
          <w:tcPr>
            <w:tcW w:w="2060" w:type="dxa"/>
            <w:vAlign w:val="bottom"/>
          </w:tcPr>
          <w:p>
            <w:pPr>
              <w:jc w:val="center"/>
              <w:ind w:right="1021"/>
              <w:spacing w:after="0"/>
              <w:rPr>
                <w:sz w:val="20"/>
                <w:szCs w:val="20"/>
                <w:color w:val="auto"/>
              </w:rPr>
            </w:pPr>
            <w:r>
              <w:rPr>
                <w:rFonts w:ascii="Arial" w:cs="Arial" w:eastAsia="Arial" w:hAnsi="Arial"/>
                <w:sz w:val="20"/>
                <w:szCs w:val="20"/>
                <w:color w:val="auto"/>
                <w:w w:val="89"/>
              </w:rPr>
              <w:t>2/3/2021</w:t>
            </w:r>
          </w:p>
        </w:tc>
        <w:tc>
          <w:tcPr>
            <w:tcW w:w="4180" w:type="dxa"/>
            <w:vAlign w:val="bottom"/>
          </w:tcPr>
          <w:p>
            <w:pPr>
              <w:jc w:val="center"/>
              <w:spacing w:after="0"/>
              <w:rPr>
                <w:sz w:val="20"/>
                <w:szCs w:val="20"/>
                <w:color w:val="auto"/>
              </w:rPr>
            </w:pPr>
            <w:r>
              <w:rPr>
                <w:rFonts w:ascii="Arial" w:cs="Arial" w:eastAsia="Arial" w:hAnsi="Arial"/>
                <w:sz w:val="20"/>
                <w:szCs w:val="20"/>
                <w:color w:val="auto"/>
                <w:w w:val="91"/>
              </w:rPr>
              <w:t>300,000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3.07</w:t>
            </w:r>
          </w:p>
        </w:tc>
      </w:tr>
      <w:tr>
        <w:trPr>
          <w:trHeight w:val="229"/>
        </w:trPr>
        <w:tc>
          <w:tcPr>
            <w:tcW w:w="2060" w:type="dxa"/>
            <w:vAlign w:val="bottom"/>
          </w:tcPr>
          <w:p>
            <w:pPr>
              <w:jc w:val="center"/>
              <w:ind w:right="1021"/>
              <w:spacing w:after="0"/>
              <w:rPr>
                <w:sz w:val="20"/>
                <w:szCs w:val="20"/>
                <w:color w:val="auto"/>
              </w:rPr>
            </w:pPr>
            <w:r>
              <w:rPr>
                <w:rFonts w:ascii="Arial" w:cs="Arial" w:eastAsia="Arial" w:hAnsi="Arial"/>
                <w:sz w:val="20"/>
                <w:szCs w:val="20"/>
                <w:color w:val="auto"/>
                <w:w w:val="89"/>
              </w:rPr>
              <w:t>2/4/2021</w:t>
            </w:r>
          </w:p>
        </w:tc>
        <w:tc>
          <w:tcPr>
            <w:tcW w:w="4180" w:type="dxa"/>
            <w:vAlign w:val="bottom"/>
          </w:tcPr>
          <w:p>
            <w:pPr>
              <w:jc w:val="center"/>
              <w:spacing w:after="0"/>
              <w:rPr>
                <w:sz w:val="20"/>
                <w:szCs w:val="20"/>
                <w:color w:val="auto"/>
              </w:rPr>
            </w:pPr>
            <w:r>
              <w:rPr>
                <w:rFonts w:ascii="Arial" w:cs="Arial" w:eastAsia="Arial" w:hAnsi="Arial"/>
                <w:sz w:val="20"/>
                <w:szCs w:val="20"/>
                <w:color w:val="auto"/>
                <w:w w:val="88"/>
              </w:rPr>
              <w:t>22,005</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3.21</w:t>
            </w:r>
          </w:p>
        </w:tc>
      </w:tr>
      <w:tr>
        <w:trPr>
          <w:trHeight w:val="230"/>
        </w:trPr>
        <w:tc>
          <w:tcPr>
            <w:tcW w:w="2060" w:type="dxa"/>
            <w:vAlign w:val="bottom"/>
          </w:tcPr>
          <w:p>
            <w:pPr>
              <w:jc w:val="center"/>
              <w:ind w:right="1021"/>
              <w:spacing w:after="0"/>
              <w:rPr>
                <w:sz w:val="20"/>
                <w:szCs w:val="20"/>
                <w:color w:val="auto"/>
              </w:rPr>
            </w:pPr>
            <w:r>
              <w:rPr>
                <w:rFonts w:ascii="Arial" w:cs="Arial" w:eastAsia="Arial" w:hAnsi="Arial"/>
                <w:sz w:val="20"/>
                <w:szCs w:val="20"/>
                <w:color w:val="auto"/>
                <w:w w:val="89"/>
              </w:rPr>
              <w:t>2/5/2021</w:t>
            </w:r>
          </w:p>
        </w:tc>
        <w:tc>
          <w:tcPr>
            <w:tcW w:w="4180" w:type="dxa"/>
            <w:vAlign w:val="bottom"/>
          </w:tcPr>
          <w:p>
            <w:pPr>
              <w:jc w:val="center"/>
              <w:spacing w:after="0"/>
              <w:rPr>
                <w:sz w:val="20"/>
                <w:szCs w:val="20"/>
                <w:color w:val="auto"/>
              </w:rPr>
            </w:pPr>
            <w:r>
              <w:rPr>
                <w:rFonts w:ascii="Arial" w:cs="Arial" w:eastAsia="Arial" w:hAnsi="Arial"/>
                <w:sz w:val="20"/>
                <w:szCs w:val="20"/>
                <w:color w:val="auto"/>
                <w:w w:val="91"/>
              </w:rPr>
              <w:t>277,500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3.18</w:t>
            </w:r>
          </w:p>
        </w:tc>
      </w:tr>
      <w:tr>
        <w:trPr>
          <w:trHeight w:val="230"/>
        </w:trPr>
        <w:tc>
          <w:tcPr>
            <w:tcW w:w="2060" w:type="dxa"/>
            <w:vAlign w:val="bottom"/>
          </w:tcPr>
          <w:p>
            <w:pPr>
              <w:jc w:val="center"/>
              <w:ind w:right="1021"/>
              <w:spacing w:after="0"/>
              <w:rPr>
                <w:sz w:val="20"/>
                <w:szCs w:val="20"/>
                <w:color w:val="auto"/>
              </w:rPr>
            </w:pPr>
            <w:r>
              <w:rPr>
                <w:rFonts w:ascii="Arial" w:cs="Arial" w:eastAsia="Arial" w:hAnsi="Arial"/>
                <w:sz w:val="20"/>
                <w:szCs w:val="20"/>
                <w:color w:val="auto"/>
                <w:w w:val="89"/>
              </w:rPr>
              <w:t>2/8/2021</w:t>
            </w:r>
          </w:p>
        </w:tc>
        <w:tc>
          <w:tcPr>
            <w:tcW w:w="4180" w:type="dxa"/>
            <w:vAlign w:val="bottom"/>
          </w:tcPr>
          <w:p>
            <w:pPr>
              <w:jc w:val="center"/>
              <w:spacing w:after="0"/>
              <w:rPr>
                <w:sz w:val="20"/>
                <w:szCs w:val="20"/>
                <w:color w:val="auto"/>
              </w:rPr>
            </w:pPr>
            <w:r>
              <w:rPr>
                <w:rFonts w:ascii="Arial" w:cs="Arial" w:eastAsia="Arial" w:hAnsi="Arial"/>
                <w:sz w:val="20"/>
                <w:szCs w:val="20"/>
                <w:color w:val="auto"/>
                <w:w w:val="91"/>
              </w:rPr>
              <w:t>2,031</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3.28</w:t>
            </w:r>
          </w:p>
        </w:tc>
      </w:tr>
      <w:tr>
        <w:trPr>
          <w:trHeight w:val="229"/>
        </w:trPr>
        <w:tc>
          <w:tcPr>
            <w:tcW w:w="2060" w:type="dxa"/>
            <w:vAlign w:val="bottom"/>
          </w:tcPr>
          <w:p>
            <w:pPr>
              <w:jc w:val="center"/>
              <w:ind w:right="1021"/>
              <w:spacing w:after="0"/>
              <w:rPr>
                <w:sz w:val="20"/>
                <w:szCs w:val="20"/>
                <w:color w:val="auto"/>
              </w:rPr>
            </w:pPr>
            <w:r>
              <w:rPr>
                <w:rFonts w:ascii="Arial" w:cs="Arial" w:eastAsia="Arial" w:hAnsi="Arial"/>
                <w:sz w:val="20"/>
                <w:szCs w:val="20"/>
                <w:color w:val="auto"/>
                <w:w w:val="89"/>
              </w:rPr>
              <w:t>2/9/2021</w:t>
            </w:r>
          </w:p>
        </w:tc>
        <w:tc>
          <w:tcPr>
            <w:tcW w:w="4180" w:type="dxa"/>
            <w:vAlign w:val="bottom"/>
          </w:tcPr>
          <w:p>
            <w:pPr>
              <w:jc w:val="center"/>
              <w:spacing w:after="0"/>
              <w:rPr>
                <w:sz w:val="20"/>
                <w:szCs w:val="20"/>
                <w:color w:val="auto"/>
              </w:rPr>
            </w:pPr>
            <w:r>
              <w:rPr>
                <w:rFonts w:ascii="Arial" w:cs="Arial" w:eastAsia="Arial" w:hAnsi="Arial"/>
                <w:sz w:val="20"/>
                <w:szCs w:val="20"/>
                <w:color w:val="auto"/>
                <w:w w:val="91"/>
              </w:rPr>
              <w:t>2,000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3.34</w:t>
            </w:r>
          </w:p>
        </w:tc>
      </w:tr>
      <w:tr>
        <w:trPr>
          <w:trHeight w:val="230"/>
        </w:trPr>
        <w:tc>
          <w:tcPr>
            <w:tcW w:w="2060" w:type="dxa"/>
            <w:vAlign w:val="bottom"/>
          </w:tcPr>
          <w:p>
            <w:pPr>
              <w:jc w:val="center"/>
              <w:ind w:right="1001"/>
              <w:spacing w:after="0"/>
              <w:rPr>
                <w:sz w:val="20"/>
                <w:szCs w:val="20"/>
                <w:color w:val="auto"/>
              </w:rPr>
            </w:pPr>
            <w:r>
              <w:rPr>
                <w:rFonts w:ascii="Arial" w:cs="Arial" w:eastAsia="Arial" w:hAnsi="Arial"/>
                <w:sz w:val="20"/>
                <w:szCs w:val="20"/>
                <w:color w:val="auto"/>
                <w:w w:val="89"/>
              </w:rPr>
              <w:t>2/19/2021</w:t>
            </w:r>
          </w:p>
        </w:tc>
        <w:tc>
          <w:tcPr>
            <w:tcW w:w="4180" w:type="dxa"/>
            <w:vAlign w:val="bottom"/>
          </w:tcPr>
          <w:p>
            <w:pPr>
              <w:jc w:val="center"/>
              <w:spacing w:after="0"/>
              <w:rPr>
                <w:sz w:val="20"/>
                <w:szCs w:val="20"/>
                <w:color w:val="auto"/>
              </w:rPr>
            </w:pPr>
            <w:r>
              <w:rPr>
                <w:rFonts w:ascii="Arial" w:cs="Arial" w:eastAsia="Arial" w:hAnsi="Arial"/>
                <w:sz w:val="20"/>
                <w:szCs w:val="20"/>
                <w:color w:val="auto"/>
                <w:w w:val="88"/>
              </w:rPr>
              <w:t>91,141</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3.25</w:t>
            </w:r>
          </w:p>
        </w:tc>
      </w:tr>
      <w:tr>
        <w:trPr>
          <w:trHeight w:val="230"/>
        </w:trPr>
        <w:tc>
          <w:tcPr>
            <w:tcW w:w="2060" w:type="dxa"/>
            <w:vAlign w:val="bottom"/>
          </w:tcPr>
          <w:p>
            <w:pPr>
              <w:jc w:val="center"/>
              <w:ind w:right="1001"/>
              <w:spacing w:after="0"/>
              <w:rPr>
                <w:sz w:val="20"/>
                <w:szCs w:val="20"/>
                <w:color w:val="auto"/>
              </w:rPr>
            </w:pPr>
            <w:r>
              <w:rPr>
                <w:rFonts w:ascii="Arial" w:cs="Arial" w:eastAsia="Arial" w:hAnsi="Arial"/>
                <w:sz w:val="20"/>
                <w:szCs w:val="20"/>
                <w:color w:val="auto"/>
                <w:w w:val="89"/>
              </w:rPr>
              <w:t>2/22/2021</w:t>
            </w:r>
          </w:p>
        </w:tc>
        <w:tc>
          <w:tcPr>
            <w:tcW w:w="4180" w:type="dxa"/>
            <w:vAlign w:val="bottom"/>
          </w:tcPr>
          <w:p>
            <w:pPr>
              <w:jc w:val="center"/>
              <w:spacing w:after="0"/>
              <w:rPr>
                <w:sz w:val="20"/>
                <w:szCs w:val="20"/>
                <w:color w:val="auto"/>
              </w:rPr>
            </w:pPr>
            <w:r>
              <w:rPr>
                <w:rFonts w:ascii="Arial" w:cs="Arial" w:eastAsia="Arial" w:hAnsi="Arial"/>
                <w:sz w:val="20"/>
                <w:szCs w:val="20"/>
                <w:color w:val="auto"/>
                <w:w w:val="91"/>
              </w:rPr>
              <w:t>135,940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3.38</w:t>
            </w:r>
          </w:p>
        </w:tc>
      </w:tr>
      <w:tr>
        <w:trPr>
          <w:trHeight w:val="230"/>
        </w:trPr>
        <w:tc>
          <w:tcPr>
            <w:tcW w:w="2060" w:type="dxa"/>
            <w:vAlign w:val="bottom"/>
          </w:tcPr>
          <w:p>
            <w:pPr>
              <w:jc w:val="center"/>
              <w:ind w:right="1001"/>
              <w:spacing w:after="0"/>
              <w:rPr>
                <w:sz w:val="20"/>
                <w:szCs w:val="20"/>
                <w:color w:val="auto"/>
              </w:rPr>
            </w:pPr>
            <w:r>
              <w:rPr>
                <w:rFonts w:ascii="Arial" w:cs="Arial" w:eastAsia="Arial" w:hAnsi="Arial"/>
                <w:sz w:val="20"/>
                <w:szCs w:val="20"/>
                <w:color w:val="auto"/>
                <w:w w:val="89"/>
              </w:rPr>
              <w:t>2/23/2021</w:t>
            </w:r>
          </w:p>
        </w:tc>
        <w:tc>
          <w:tcPr>
            <w:tcW w:w="4180" w:type="dxa"/>
            <w:vAlign w:val="bottom"/>
          </w:tcPr>
          <w:p>
            <w:pPr>
              <w:jc w:val="center"/>
              <w:spacing w:after="0"/>
              <w:rPr>
                <w:sz w:val="20"/>
                <w:szCs w:val="20"/>
                <w:color w:val="auto"/>
              </w:rPr>
            </w:pPr>
            <w:r>
              <w:rPr>
                <w:rFonts w:ascii="Arial" w:cs="Arial" w:eastAsia="Arial" w:hAnsi="Arial"/>
                <w:sz w:val="20"/>
                <w:szCs w:val="20"/>
                <w:color w:val="auto"/>
                <w:w w:val="91"/>
              </w:rPr>
              <w:t>300,000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3.46</w:t>
            </w:r>
          </w:p>
        </w:tc>
      </w:tr>
      <w:tr>
        <w:trPr>
          <w:trHeight w:val="229"/>
        </w:trPr>
        <w:tc>
          <w:tcPr>
            <w:tcW w:w="2060" w:type="dxa"/>
            <w:vAlign w:val="bottom"/>
          </w:tcPr>
          <w:p>
            <w:pPr>
              <w:jc w:val="center"/>
              <w:ind w:right="1001"/>
              <w:spacing w:after="0"/>
              <w:rPr>
                <w:sz w:val="20"/>
                <w:szCs w:val="20"/>
                <w:color w:val="auto"/>
              </w:rPr>
            </w:pPr>
            <w:r>
              <w:rPr>
                <w:rFonts w:ascii="Arial" w:cs="Arial" w:eastAsia="Arial" w:hAnsi="Arial"/>
                <w:sz w:val="20"/>
                <w:szCs w:val="20"/>
                <w:color w:val="auto"/>
                <w:w w:val="89"/>
              </w:rPr>
              <w:t>2/24/2021</w:t>
            </w:r>
          </w:p>
        </w:tc>
        <w:tc>
          <w:tcPr>
            <w:tcW w:w="4180" w:type="dxa"/>
            <w:vAlign w:val="bottom"/>
          </w:tcPr>
          <w:p>
            <w:pPr>
              <w:jc w:val="center"/>
              <w:spacing w:after="0"/>
              <w:rPr>
                <w:sz w:val="20"/>
                <w:szCs w:val="20"/>
                <w:color w:val="auto"/>
              </w:rPr>
            </w:pPr>
            <w:r>
              <w:rPr>
                <w:rFonts w:ascii="Arial" w:cs="Arial" w:eastAsia="Arial" w:hAnsi="Arial"/>
                <w:sz w:val="20"/>
                <w:szCs w:val="20"/>
                <w:color w:val="auto"/>
                <w:w w:val="89"/>
              </w:rPr>
              <w:t>585</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3.55</w:t>
            </w:r>
          </w:p>
        </w:tc>
      </w:tr>
      <w:tr>
        <w:trPr>
          <w:trHeight w:val="230"/>
        </w:trPr>
        <w:tc>
          <w:tcPr>
            <w:tcW w:w="2060" w:type="dxa"/>
            <w:vAlign w:val="bottom"/>
          </w:tcPr>
          <w:p>
            <w:pPr>
              <w:jc w:val="center"/>
              <w:ind w:right="1001"/>
              <w:spacing w:after="0"/>
              <w:rPr>
                <w:sz w:val="20"/>
                <w:szCs w:val="20"/>
                <w:color w:val="auto"/>
              </w:rPr>
            </w:pPr>
            <w:r>
              <w:rPr>
                <w:rFonts w:ascii="Arial" w:cs="Arial" w:eastAsia="Arial" w:hAnsi="Arial"/>
                <w:sz w:val="20"/>
                <w:szCs w:val="20"/>
                <w:color w:val="auto"/>
                <w:w w:val="89"/>
              </w:rPr>
              <w:t>2/25/2021</w:t>
            </w:r>
          </w:p>
        </w:tc>
        <w:tc>
          <w:tcPr>
            <w:tcW w:w="4180" w:type="dxa"/>
            <w:vAlign w:val="bottom"/>
          </w:tcPr>
          <w:p>
            <w:pPr>
              <w:jc w:val="center"/>
              <w:spacing w:after="0"/>
              <w:rPr>
                <w:sz w:val="20"/>
                <w:szCs w:val="20"/>
                <w:color w:val="auto"/>
              </w:rPr>
            </w:pPr>
            <w:r>
              <w:rPr>
                <w:rFonts w:ascii="Arial" w:cs="Arial" w:eastAsia="Arial" w:hAnsi="Arial"/>
                <w:sz w:val="20"/>
                <w:szCs w:val="20"/>
                <w:color w:val="auto"/>
                <w:w w:val="85"/>
              </w:rPr>
              <w:t>118,300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3.53</w:t>
            </w:r>
          </w:p>
        </w:tc>
      </w:tr>
      <w:tr>
        <w:trPr>
          <w:trHeight w:val="230"/>
        </w:trPr>
        <w:tc>
          <w:tcPr>
            <w:tcW w:w="2060" w:type="dxa"/>
            <w:vAlign w:val="bottom"/>
          </w:tcPr>
          <w:p>
            <w:pPr>
              <w:jc w:val="center"/>
              <w:ind w:right="1001"/>
              <w:spacing w:after="0"/>
              <w:rPr>
                <w:sz w:val="20"/>
                <w:szCs w:val="20"/>
                <w:color w:val="auto"/>
              </w:rPr>
            </w:pPr>
            <w:r>
              <w:rPr>
                <w:rFonts w:ascii="Arial" w:cs="Arial" w:eastAsia="Arial" w:hAnsi="Arial"/>
                <w:sz w:val="20"/>
                <w:szCs w:val="20"/>
                <w:color w:val="auto"/>
                <w:w w:val="89"/>
              </w:rPr>
              <w:t>2/26/2021</w:t>
            </w:r>
          </w:p>
        </w:tc>
        <w:tc>
          <w:tcPr>
            <w:tcW w:w="4180" w:type="dxa"/>
            <w:vAlign w:val="bottom"/>
          </w:tcPr>
          <w:p>
            <w:pPr>
              <w:jc w:val="center"/>
              <w:spacing w:after="0"/>
              <w:rPr>
                <w:sz w:val="20"/>
                <w:szCs w:val="20"/>
                <w:color w:val="auto"/>
              </w:rPr>
            </w:pPr>
            <w:r>
              <w:rPr>
                <w:rFonts w:ascii="Arial" w:cs="Arial" w:eastAsia="Arial" w:hAnsi="Arial"/>
                <w:sz w:val="20"/>
                <w:szCs w:val="20"/>
                <w:color w:val="auto"/>
                <w:w w:val="88"/>
              </w:rPr>
              <w:t>72,280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3.45</w:t>
            </w:r>
          </w:p>
        </w:tc>
      </w:tr>
      <w:tr>
        <w:trPr>
          <w:trHeight w:val="230"/>
        </w:trPr>
        <w:tc>
          <w:tcPr>
            <w:tcW w:w="2060" w:type="dxa"/>
            <w:vAlign w:val="bottom"/>
          </w:tcPr>
          <w:p>
            <w:pPr>
              <w:jc w:val="center"/>
              <w:ind w:right="1021"/>
              <w:spacing w:after="0"/>
              <w:rPr>
                <w:sz w:val="20"/>
                <w:szCs w:val="20"/>
                <w:color w:val="auto"/>
              </w:rPr>
            </w:pPr>
            <w:r>
              <w:rPr>
                <w:rFonts w:ascii="Arial" w:cs="Arial" w:eastAsia="Arial" w:hAnsi="Arial"/>
                <w:sz w:val="20"/>
                <w:szCs w:val="20"/>
                <w:color w:val="auto"/>
                <w:w w:val="89"/>
              </w:rPr>
              <w:t>3/1/2021</w:t>
            </w:r>
          </w:p>
        </w:tc>
        <w:tc>
          <w:tcPr>
            <w:tcW w:w="4180" w:type="dxa"/>
            <w:vAlign w:val="bottom"/>
          </w:tcPr>
          <w:p>
            <w:pPr>
              <w:jc w:val="center"/>
              <w:spacing w:after="0"/>
              <w:rPr>
                <w:sz w:val="20"/>
                <w:szCs w:val="20"/>
                <w:color w:val="auto"/>
              </w:rPr>
            </w:pPr>
            <w:r>
              <w:rPr>
                <w:rFonts w:ascii="Arial" w:cs="Arial" w:eastAsia="Arial" w:hAnsi="Arial"/>
                <w:sz w:val="20"/>
                <w:szCs w:val="20"/>
                <w:color w:val="auto"/>
                <w:w w:val="85"/>
              </w:rPr>
              <w:t>110,730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3.62</w:t>
            </w:r>
          </w:p>
        </w:tc>
      </w:tr>
      <w:tr>
        <w:trPr>
          <w:trHeight w:val="229"/>
        </w:trPr>
        <w:tc>
          <w:tcPr>
            <w:tcW w:w="2060" w:type="dxa"/>
            <w:vAlign w:val="bottom"/>
          </w:tcPr>
          <w:p>
            <w:pPr>
              <w:jc w:val="center"/>
              <w:ind w:right="1021"/>
              <w:spacing w:after="0"/>
              <w:rPr>
                <w:sz w:val="20"/>
                <w:szCs w:val="20"/>
                <w:color w:val="auto"/>
              </w:rPr>
            </w:pPr>
            <w:r>
              <w:rPr>
                <w:rFonts w:ascii="Arial" w:cs="Arial" w:eastAsia="Arial" w:hAnsi="Arial"/>
                <w:sz w:val="20"/>
                <w:szCs w:val="20"/>
                <w:color w:val="auto"/>
                <w:w w:val="89"/>
              </w:rPr>
              <w:t>3/3/2021</w:t>
            </w:r>
          </w:p>
        </w:tc>
        <w:tc>
          <w:tcPr>
            <w:tcW w:w="4180" w:type="dxa"/>
            <w:vAlign w:val="bottom"/>
          </w:tcPr>
          <w:p>
            <w:pPr>
              <w:jc w:val="center"/>
              <w:spacing w:after="0"/>
              <w:rPr>
                <w:sz w:val="20"/>
                <w:szCs w:val="20"/>
                <w:color w:val="auto"/>
              </w:rPr>
            </w:pPr>
            <w:r>
              <w:rPr>
                <w:rFonts w:ascii="Arial" w:cs="Arial" w:eastAsia="Arial" w:hAnsi="Arial"/>
                <w:sz w:val="20"/>
                <w:szCs w:val="20"/>
                <w:color w:val="auto"/>
                <w:w w:val="91"/>
              </w:rPr>
              <w:t>201,280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3.77</w:t>
            </w:r>
          </w:p>
        </w:tc>
      </w:tr>
      <w:tr>
        <w:trPr>
          <w:trHeight w:val="230"/>
        </w:trPr>
        <w:tc>
          <w:tcPr>
            <w:tcW w:w="2060" w:type="dxa"/>
            <w:vAlign w:val="bottom"/>
          </w:tcPr>
          <w:p>
            <w:pPr>
              <w:jc w:val="center"/>
              <w:ind w:right="1021"/>
              <w:spacing w:after="0"/>
              <w:rPr>
                <w:sz w:val="20"/>
                <w:szCs w:val="20"/>
                <w:color w:val="auto"/>
              </w:rPr>
            </w:pPr>
            <w:r>
              <w:rPr>
                <w:rFonts w:ascii="Arial" w:cs="Arial" w:eastAsia="Arial" w:hAnsi="Arial"/>
                <w:sz w:val="20"/>
                <w:szCs w:val="20"/>
                <w:color w:val="auto"/>
                <w:w w:val="89"/>
              </w:rPr>
              <w:t>3/4/2021</w:t>
            </w:r>
          </w:p>
        </w:tc>
        <w:tc>
          <w:tcPr>
            <w:tcW w:w="4180" w:type="dxa"/>
            <w:vAlign w:val="bottom"/>
          </w:tcPr>
          <w:p>
            <w:pPr>
              <w:jc w:val="center"/>
              <w:spacing w:after="0"/>
              <w:rPr>
                <w:sz w:val="20"/>
                <w:szCs w:val="20"/>
                <w:color w:val="auto"/>
              </w:rPr>
            </w:pPr>
            <w:r>
              <w:rPr>
                <w:rFonts w:ascii="Arial" w:cs="Arial" w:eastAsia="Arial" w:hAnsi="Arial"/>
                <w:sz w:val="20"/>
                <w:szCs w:val="20"/>
                <w:color w:val="auto"/>
                <w:w w:val="91"/>
              </w:rPr>
              <w:t>451,760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4.02</w:t>
            </w:r>
          </w:p>
        </w:tc>
      </w:tr>
      <w:tr>
        <w:trPr>
          <w:trHeight w:val="230"/>
        </w:trPr>
        <w:tc>
          <w:tcPr>
            <w:tcW w:w="2060" w:type="dxa"/>
            <w:vAlign w:val="bottom"/>
          </w:tcPr>
          <w:p>
            <w:pPr>
              <w:jc w:val="center"/>
              <w:ind w:right="1021"/>
              <w:spacing w:after="0"/>
              <w:rPr>
                <w:sz w:val="20"/>
                <w:szCs w:val="20"/>
                <w:color w:val="auto"/>
              </w:rPr>
            </w:pPr>
            <w:r>
              <w:rPr>
                <w:rFonts w:ascii="Arial" w:cs="Arial" w:eastAsia="Arial" w:hAnsi="Arial"/>
                <w:sz w:val="20"/>
                <w:szCs w:val="20"/>
                <w:color w:val="auto"/>
                <w:w w:val="89"/>
              </w:rPr>
              <w:t>3/5/2021</w:t>
            </w:r>
          </w:p>
        </w:tc>
        <w:tc>
          <w:tcPr>
            <w:tcW w:w="4180" w:type="dxa"/>
            <w:vAlign w:val="bottom"/>
          </w:tcPr>
          <w:p>
            <w:pPr>
              <w:jc w:val="center"/>
              <w:spacing w:after="0"/>
              <w:rPr>
                <w:sz w:val="20"/>
                <w:szCs w:val="20"/>
                <w:color w:val="auto"/>
              </w:rPr>
            </w:pPr>
            <w:r>
              <w:rPr>
                <w:rFonts w:ascii="Arial" w:cs="Arial" w:eastAsia="Arial" w:hAnsi="Arial"/>
                <w:sz w:val="20"/>
                <w:szCs w:val="20"/>
                <w:color w:val="auto"/>
                <w:w w:val="87"/>
              </w:rPr>
              <w:t>2,439,130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4.30</w:t>
            </w:r>
          </w:p>
        </w:tc>
      </w:tr>
      <w:tr>
        <w:trPr>
          <w:trHeight w:val="230"/>
        </w:trPr>
        <w:tc>
          <w:tcPr>
            <w:tcW w:w="2060" w:type="dxa"/>
            <w:vAlign w:val="bottom"/>
          </w:tcPr>
          <w:p>
            <w:pPr>
              <w:jc w:val="center"/>
              <w:ind w:right="1021"/>
              <w:spacing w:after="0"/>
              <w:rPr>
                <w:sz w:val="20"/>
                <w:szCs w:val="20"/>
                <w:color w:val="auto"/>
              </w:rPr>
            </w:pPr>
            <w:r>
              <w:rPr>
                <w:rFonts w:ascii="Arial" w:cs="Arial" w:eastAsia="Arial" w:hAnsi="Arial"/>
                <w:sz w:val="20"/>
                <w:szCs w:val="20"/>
                <w:color w:val="auto"/>
                <w:w w:val="89"/>
              </w:rPr>
              <w:t>3/8/2021</w:t>
            </w:r>
          </w:p>
        </w:tc>
        <w:tc>
          <w:tcPr>
            <w:tcW w:w="4180" w:type="dxa"/>
            <w:vAlign w:val="bottom"/>
          </w:tcPr>
          <w:p>
            <w:pPr>
              <w:jc w:val="center"/>
              <w:spacing w:after="0"/>
              <w:rPr>
                <w:sz w:val="20"/>
                <w:szCs w:val="20"/>
                <w:color w:val="auto"/>
              </w:rPr>
            </w:pPr>
            <w:r>
              <w:rPr>
                <w:rFonts w:ascii="Arial" w:cs="Arial" w:eastAsia="Arial" w:hAnsi="Arial"/>
                <w:sz w:val="20"/>
                <w:szCs w:val="20"/>
                <w:color w:val="auto"/>
                <w:w w:val="87"/>
              </w:rPr>
              <w:t>2,349,740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4.28</w:t>
            </w:r>
          </w:p>
        </w:tc>
      </w:tr>
      <w:tr>
        <w:trPr>
          <w:trHeight w:val="250"/>
        </w:trPr>
        <w:tc>
          <w:tcPr>
            <w:tcW w:w="2060" w:type="dxa"/>
            <w:vAlign w:val="bottom"/>
          </w:tcPr>
          <w:p>
            <w:pPr>
              <w:jc w:val="center"/>
              <w:ind w:right="1001"/>
              <w:spacing w:after="0"/>
              <w:rPr>
                <w:sz w:val="20"/>
                <w:szCs w:val="20"/>
                <w:color w:val="auto"/>
              </w:rPr>
            </w:pPr>
            <w:r>
              <w:rPr>
                <w:rFonts w:ascii="Arial" w:cs="Arial" w:eastAsia="Arial" w:hAnsi="Arial"/>
                <w:sz w:val="20"/>
                <w:szCs w:val="20"/>
                <w:color w:val="auto"/>
                <w:w w:val="89"/>
              </w:rPr>
              <w:t>3/15/2021</w:t>
            </w:r>
          </w:p>
        </w:tc>
        <w:tc>
          <w:tcPr>
            <w:tcW w:w="4180" w:type="dxa"/>
            <w:vAlign w:val="bottom"/>
          </w:tcPr>
          <w:p>
            <w:pPr>
              <w:jc w:val="center"/>
              <w:spacing w:after="0"/>
              <w:rPr>
                <w:sz w:val="20"/>
                <w:szCs w:val="20"/>
                <w:color w:val="auto"/>
              </w:rPr>
            </w:pPr>
            <w:r>
              <w:rPr>
                <w:rFonts w:ascii="Arial" w:cs="Arial" w:eastAsia="Arial" w:hAnsi="Arial"/>
                <w:sz w:val="20"/>
                <w:szCs w:val="20"/>
                <w:color w:val="auto"/>
                <w:w w:val="91"/>
              </w:rPr>
              <w:t>4,000</w:t>
            </w:r>
          </w:p>
        </w:tc>
        <w:tc>
          <w:tcPr>
            <w:tcW w:w="2620" w:type="dxa"/>
            <w:vAlign w:val="bottom"/>
          </w:tcPr>
          <w:p>
            <w:pPr>
              <w:jc w:val="center"/>
              <w:ind w:left="941"/>
              <w:spacing w:after="0"/>
              <w:rPr>
                <w:sz w:val="20"/>
                <w:szCs w:val="20"/>
                <w:color w:val="auto"/>
              </w:rPr>
            </w:pPr>
            <w:r>
              <w:rPr>
                <w:rFonts w:ascii="Arial" w:cs="Arial" w:eastAsia="Arial" w:hAnsi="Arial"/>
                <w:sz w:val="20"/>
                <w:szCs w:val="20"/>
                <w:color w:val="auto"/>
                <w:w w:val="87"/>
              </w:rPr>
              <w:t>4.15</w:t>
            </w:r>
          </w:p>
        </w:tc>
      </w:tr>
    </w:tbl>
    <w:p>
      <w:pPr>
        <w:sectPr>
          <w:pgSz w:w="11900" w:h="16838" w:orient="portrait"/>
          <w:cols w:equalWidth="0" w:num="1">
            <w:col w:w="11240"/>
          </w:cols>
          <w:pgMar w:left="320" w:top="225"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u w:val="single" w:color="auto"/>
          <w:color w:val="373737"/>
        </w:rPr>
        <w:t>EXHIBIT A</w:t>
      </w:r>
    </w:p>
    <w:p>
      <w:pPr>
        <w:spacing w:after="0" w:line="200" w:lineRule="exact"/>
        <w:rPr>
          <w:sz w:val="20"/>
          <w:szCs w:val="20"/>
          <w:color w:val="auto"/>
        </w:rPr>
      </w:pPr>
    </w:p>
    <w:p>
      <w:pPr>
        <w:spacing w:after="0" w:line="353" w:lineRule="exact"/>
        <w:rPr>
          <w:sz w:val="20"/>
          <w:szCs w:val="20"/>
          <w:color w:val="auto"/>
        </w:rPr>
      </w:pPr>
    </w:p>
    <w:p>
      <w:pPr>
        <w:ind w:right="340"/>
        <w:spacing w:after="0" w:line="239" w:lineRule="auto"/>
        <w:rPr>
          <w:sz w:val="20"/>
          <w:szCs w:val="20"/>
          <w:color w:val="auto"/>
        </w:rPr>
      </w:pPr>
      <w:r>
        <w:rPr>
          <w:rFonts w:ascii="Arial" w:cs="Arial" w:eastAsia="Arial" w:hAnsi="Arial"/>
          <w:sz w:val="54"/>
          <w:szCs w:val="54"/>
          <w:color w:val="373737"/>
        </w:rPr>
        <w:t>Glazer Capital Issues Open Letter to Shareholders of QEP Resources; Strongly Urges Vote Against the Acquisition of QEP by Diamondback</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3"/>
          <w:szCs w:val="23"/>
          <w:color w:val="auto"/>
        </w:rPr>
      </w:pPr>
      <w:r>
        <w:rPr>
          <w:rFonts w:ascii="Arial" w:cs="Arial" w:eastAsia="Arial" w:hAnsi="Arial"/>
          <w:sz w:val="23"/>
          <w:szCs w:val="23"/>
          <w:color w:val="auto"/>
        </w:rPr>
        <w:t>Merger Consideration Offered by Diamondback is Materially Inadequate</w:t>
      </w:r>
    </w:p>
    <w:p>
      <w:pPr>
        <w:spacing w:after="0" w:line="302" w:lineRule="exact"/>
        <w:rPr>
          <w:rFonts w:ascii="Arial" w:cs="Arial" w:eastAsia="Arial" w:hAnsi="Arial"/>
          <w:sz w:val="23"/>
          <w:szCs w:val="23"/>
          <w:color w:val="auto"/>
        </w:rPr>
      </w:pPr>
    </w:p>
    <w:p>
      <w:pPr>
        <w:ind w:left="660" w:right="60" w:hanging="328"/>
        <w:spacing w:after="0" w:line="272" w:lineRule="auto"/>
        <w:tabs>
          <w:tab w:leader="none" w:pos="660" w:val="left"/>
        </w:tabs>
        <w:numPr>
          <w:ilvl w:val="0"/>
          <w:numId w:val="9"/>
        </w:numPr>
        <w:rPr>
          <w:rFonts w:ascii="Arial" w:cs="Arial" w:eastAsia="Arial" w:hAnsi="Arial"/>
          <w:sz w:val="23"/>
          <w:szCs w:val="23"/>
          <w:color w:val="auto"/>
        </w:rPr>
      </w:pPr>
      <w:r>
        <w:rPr>
          <w:rFonts w:ascii="Arial" w:cs="Arial" w:eastAsia="Arial" w:hAnsi="Arial"/>
          <w:sz w:val="23"/>
          <w:szCs w:val="23"/>
          <w:color w:val="auto"/>
        </w:rPr>
        <w:t>Standalone Valuation for QEP Shares is Far in Excess of the Merger Consideration, Based on Recent Surge in Small Cap E&amp;P Company Valuations</w:t>
      </w:r>
    </w:p>
    <w:p>
      <w:pPr>
        <w:spacing w:after="0" w:line="251" w:lineRule="exact"/>
        <w:rPr>
          <w:rFonts w:ascii="Arial" w:cs="Arial" w:eastAsia="Arial" w:hAnsi="Arial"/>
          <w:sz w:val="23"/>
          <w:szCs w:val="23"/>
          <w:color w:val="auto"/>
        </w:rPr>
      </w:pPr>
    </w:p>
    <w:p>
      <w:pPr>
        <w:ind w:left="660" w:right="140" w:hanging="328"/>
        <w:spacing w:after="0" w:line="272" w:lineRule="auto"/>
        <w:tabs>
          <w:tab w:leader="none" w:pos="660" w:val="left"/>
        </w:tabs>
        <w:numPr>
          <w:ilvl w:val="0"/>
          <w:numId w:val="9"/>
        </w:numPr>
        <w:rPr>
          <w:rFonts w:ascii="Arial" w:cs="Arial" w:eastAsia="Arial" w:hAnsi="Arial"/>
          <w:sz w:val="23"/>
          <w:szCs w:val="23"/>
          <w:color w:val="auto"/>
        </w:rPr>
      </w:pPr>
      <w:r>
        <w:rPr>
          <w:rFonts w:ascii="Arial" w:cs="Arial" w:eastAsia="Arial" w:hAnsi="Arial"/>
          <w:sz w:val="23"/>
          <w:szCs w:val="23"/>
          <w:color w:val="auto"/>
        </w:rPr>
        <w:t>QEP’s Share Price, Anchored by the 0.05 Merger Consideration Ratio, Lagged the Average of QEP’s Small Cap E&amp;P Peers by 48% Since the ‘Unaffected Date’ Utilized by ISS</w:t>
      </w:r>
    </w:p>
    <w:p>
      <w:pPr>
        <w:spacing w:after="0" w:line="251" w:lineRule="exact"/>
        <w:rPr>
          <w:rFonts w:ascii="Arial" w:cs="Arial" w:eastAsia="Arial" w:hAnsi="Arial"/>
          <w:sz w:val="23"/>
          <w:szCs w:val="23"/>
          <w:color w:val="auto"/>
        </w:rPr>
      </w:pPr>
    </w:p>
    <w:p>
      <w:pPr>
        <w:ind w:left="660" w:right="360" w:hanging="328"/>
        <w:spacing w:after="0" w:line="272" w:lineRule="auto"/>
        <w:tabs>
          <w:tab w:leader="none" w:pos="660" w:val="left"/>
        </w:tabs>
        <w:numPr>
          <w:ilvl w:val="0"/>
          <w:numId w:val="9"/>
        </w:numPr>
        <w:rPr>
          <w:rFonts w:ascii="Arial" w:cs="Arial" w:eastAsia="Arial" w:hAnsi="Arial"/>
          <w:sz w:val="23"/>
          <w:szCs w:val="23"/>
          <w:color w:val="auto"/>
        </w:rPr>
      </w:pPr>
      <w:r>
        <w:rPr>
          <w:rFonts w:ascii="Arial" w:cs="Arial" w:eastAsia="Arial" w:hAnsi="Arial"/>
          <w:sz w:val="23"/>
          <w:szCs w:val="23"/>
          <w:color w:val="auto"/>
        </w:rPr>
        <w:t>Glazer Capital Will Reject Proposed Acquisition by Diamondback at the Upcoming Special Meeting Next Week and Urges QEP Shareholders to do Likewise</w:t>
      </w:r>
    </w:p>
    <w:p>
      <w:pPr>
        <w:spacing w:after="0" w:line="251" w:lineRule="exact"/>
        <w:rPr>
          <w:rFonts w:ascii="Arial" w:cs="Arial" w:eastAsia="Arial" w:hAnsi="Arial"/>
          <w:sz w:val="23"/>
          <w:szCs w:val="23"/>
          <w:color w:val="auto"/>
        </w:rPr>
      </w:pPr>
    </w:p>
    <w:p>
      <w:pPr>
        <w:ind w:left="660" w:hanging="328"/>
        <w:spacing w:after="0"/>
        <w:tabs>
          <w:tab w:leader="none" w:pos="660" w:val="left"/>
        </w:tabs>
        <w:numPr>
          <w:ilvl w:val="0"/>
          <w:numId w:val="9"/>
        </w:numPr>
        <w:rPr>
          <w:rFonts w:ascii="Arial" w:cs="Arial" w:eastAsia="Arial" w:hAnsi="Arial"/>
          <w:sz w:val="23"/>
          <w:szCs w:val="23"/>
          <w:color w:val="auto"/>
        </w:rPr>
      </w:pPr>
      <w:r>
        <w:rPr>
          <w:rFonts w:ascii="Arial" w:cs="Arial" w:eastAsia="Arial" w:hAnsi="Arial"/>
          <w:sz w:val="23"/>
          <w:szCs w:val="23"/>
          <w:color w:val="auto"/>
        </w:rPr>
        <w:t>ISS Should Rescind its Recommendation For the Proposed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154940</wp:posOffset>
            </wp:positionV>
            <wp:extent cx="5486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40"/>
        <w:spacing w:after="0" w:line="229" w:lineRule="auto"/>
        <w:rPr>
          <w:sz w:val="20"/>
          <w:szCs w:val="20"/>
          <w:color w:val="auto"/>
        </w:rPr>
      </w:pPr>
      <w:r>
        <w:rPr>
          <w:rFonts w:ascii="Arial" w:cs="Arial" w:eastAsia="Arial" w:hAnsi="Arial"/>
          <w:sz w:val="20"/>
          <w:szCs w:val="20"/>
          <w:color w:val="auto"/>
        </w:rPr>
        <w:t xml:space="preserve">NEW YORK, March 8, 2021 / PR NEWSWIRE – </w:t>
      </w:r>
      <w:r>
        <w:rPr>
          <w:rFonts w:ascii="Arial" w:cs="Arial" w:eastAsia="Arial" w:hAnsi="Arial"/>
          <w:sz w:val="20"/>
          <w:szCs w:val="20"/>
          <w:color w:val="1155CC"/>
        </w:rPr>
        <w:t>Glazer Capital, LLC</w:t>
      </w:r>
      <w:r>
        <w:rPr>
          <w:rFonts w:ascii="Arial" w:cs="Arial" w:eastAsia="Arial" w:hAnsi="Arial"/>
          <w:sz w:val="20"/>
          <w:szCs w:val="20"/>
          <w:color w:val="auto"/>
        </w:rPr>
        <w:t xml:space="preserve">, a manager of investment funds and separate accounts that collectively beneficially own over 13,800,000 shares, or approximately 5.7% of the outstanding shares, of </w:t>
      </w:r>
      <w:r>
        <w:rPr>
          <w:rFonts w:ascii="Arial" w:cs="Arial" w:eastAsia="Arial" w:hAnsi="Arial"/>
          <w:sz w:val="20"/>
          <w:szCs w:val="20"/>
          <w:color w:val="1155CC"/>
        </w:rPr>
        <w:t>QEP Resources,</w:t>
      </w:r>
      <w:r>
        <w:rPr>
          <w:rFonts w:ascii="Arial" w:cs="Arial" w:eastAsia="Arial" w:hAnsi="Arial"/>
          <w:sz w:val="20"/>
          <w:szCs w:val="20"/>
          <w:color w:val="auto"/>
        </w:rPr>
        <w:t xml:space="preserve"> </w:t>
      </w:r>
      <w:r>
        <w:rPr>
          <w:rFonts w:ascii="Arial" w:cs="Arial" w:eastAsia="Arial" w:hAnsi="Arial"/>
          <w:sz w:val="20"/>
          <w:szCs w:val="20"/>
          <w:color w:val="1155CC"/>
        </w:rPr>
        <w:t xml:space="preserve">Inc. </w:t>
      </w:r>
      <w:r>
        <w:rPr>
          <w:rFonts w:ascii="Arial" w:cs="Arial" w:eastAsia="Arial" w:hAnsi="Arial"/>
          <w:sz w:val="20"/>
          <w:szCs w:val="20"/>
          <w:color w:val="000000"/>
        </w:rPr>
        <w:t>(NYSE: QEP) (“QEP”) common stock, issued an open letter today to fellow shareholders of QEP detailing its rationale for</w:t>
      </w:r>
      <w:r>
        <w:rPr>
          <w:rFonts w:ascii="Arial" w:cs="Arial" w:eastAsia="Arial" w:hAnsi="Arial"/>
          <w:sz w:val="20"/>
          <w:szCs w:val="20"/>
          <w:color w:val="1155CC"/>
        </w:rPr>
        <w:t xml:space="preserve"> </w:t>
      </w:r>
      <w:r>
        <w:rPr>
          <w:rFonts w:ascii="Arial" w:cs="Arial" w:eastAsia="Arial" w:hAnsi="Arial"/>
          <w:sz w:val="20"/>
          <w:szCs w:val="20"/>
          <w:color w:val="000000"/>
        </w:rPr>
        <w:t xml:space="preserve">rejecting the proposed acquisition of QEP by </w:t>
      </w:r>
      <w:r>
        <w:rPr>
          <w:rFonts w:ascii="Arial" w:cs="Arial" w:eastAsia="Arial" w:hAnsi="Arial"/>
          <w:sz w:val="20"/>
          <w:szCs w:val="20"/>
          <w:color w:val="1155CC"/>
        </w:rPr>
        <w:t>Diamondback Energy, Inc.</w:t>
      </w:r>
      <w:r>
        <w:rPr>
          <w:rFonts w:ascii="Arial" w:cs="Arial" w:eastAsia="Arial" w:hAnsi="Arial"/>
          <w:sz w:val="20"/>
          <w:szCs w:val="20"/>
          <w:color w:val="000000"/>
        </w:rPr>
        <w:t xml:space="preserve"> (Nasdaq: FANG) (“Diamondback”) at the special meeting of QEP stockholders scheduled to be held on March 16, 2021 (the “Special Meeting”).</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letter states, in part:</w:t>
      </w:r>
    </w:p>
    <w:p>
      <w:pPr>
        <w:spacing w:after="0" w:line="202" w:lineRule="exact"/>
        <w:rPr>
          <w:sz w:val="20"/>
          <w:szCs w:val="20"/>
          <w:color w:val="auto"/>
        </w:rPr>
      </w:pPr>
    </w:p>
    <w:p>
      <w:pPr>
        <w:ind w:right="140"/>
        <w:spacing w:after="0" w:line="247" w:lineRule="auto"/>
        <w:rPr>
          <w:sz w:val="20"/>
          <w:szCs w:val="20"/>
          <w:color w:val="auto"/>
        </w:rPr>
      </w:pPr>
      <w:r>
        <w:rPr>
          <w:rFonts w:ascii="Arial" w:cs="Arial" w:eastAsia="Arial" w:hAnsi="Arial"/>
          <w:sz w:val="19"/>
          <w:szCs w:val="19"/>
          <w:color w:val="auto"/>
        </w:rPr>
        <w:t>“If QEP shareholders were to support the Diamondback Acquisition, we believe that QEP shareholders would forfeit substantial value in return for grossly inadequate consideration. We intend to vote AGAINST the Diamondback Acquisition at the Special Meeting of QEP stockholders next week on March 16, 2021 and we encourage other QEP shareholders to do likewise.”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letter further details Glazer Capital’s beliefs that:</w:t>
      </w:r>
    </w:p>
    <w:p>
      <w:pPr>
        <w:sectPr>
          <w:pgSz w:w="11900" w:h="16838" w:orient="portrait"/>
          <w:cols w:equalWidth="0" w:num="1">
            <w:col w:w="11240"/>
          </w:cols>
          <w:pgMar w:left="320" w:top="111" w:right="339" w:bottom="1440" w:gutter="0" w:footer="0" w:header="0"/>
        </w:sectPr>
      </w:pPr>
    </w:p>
    <w:bookmarkStart w:id="9" w:name="page10"/>
    <w:bookmarkEnd w:id="9"/>
    <w:p>
      <w:pPr>
        <w:ind w:firstLine="8"/>
        <w:spacing w:after="0" w:line="232" w:lineRule="auto"/>
        <w:tabs>
          <w:tab w:leader="none" w:pos="231"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merger consideration of 0.05 shares of Diamondback per QEP share is materially inadequate and the proposed acquisition (the “Diamondback Acquisition”) would prevent shareholders of QEP from realizing the benefits of the recent surge in small cap exploration and production (“E&amp;P”) company valuations,</w:t>
      </w:r>
    </w:p>
    <w:p>
      <w:pPr>
        <w:spacing w:after="0" w:line="197" w:lineRule="exact"/>
        <w:rPr>
          <w:rFonts w:ascii="Arial" w:cs="Arial" w:eastAsia="Arial" w:hAnsi="Arial"/>
          <w:sz w:val="20"/>
          <w:szCs w:val="20"/>
          <w:color w:val="auto"/>
        </w:rPr>
      </w:pPr>
    </w:p>
    <w:p>
      <w:pPr>
        <w:ind w:right="1080" w:firstLine="8"/>
        <w:spacing w:after="0" w:line="236" w:lineRule="auto"/>
        <w:tabs>
          <w:tab w:leader="none" w:pos="275"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best means available for QEP shareholders to achieve full and fair value for their QEP shares is to reject the Diamondback Acquisition at the upcoming Special Meeting,</w:t>
      </w:r>
    </w:p>
    <w:p>
      <w:pPr>
        <w:spacing w:after="0" w:line="195" w:lineRule="exact"/>
        <w:rPr>
          <w:rFonts w:ascii="Arial" w:cs="Arial" w:eastAsia="Arial" w:hAnsi="Arial"/>
          <w:sz w:val="20"/>
          <w:szCs w:val="20"/>
          <w:color w:val="auto"/>
        </w:rPr>
      </w:pPr>
    </w:p>
    <w:p>
      <w:pPr>
        <w:jc w:val="both"/>
        <w:ind w:right="280" w:firstLine="8"/>
        <w:spacing w:after="0" w:line="232" w:lineRule="auto"/>
        <w:tabs>
          <w:tab w:leader="none" w:pos="319" w:val="left"/>
        </w:tabs>
        <w:numPr>
          <w:ilvl w:val="0"/>
          <w:numId w:val="10"/>
        </w:numPr>
        <w:rPr>
          <w:rFonts w:ascii="Arial" w:cs="Arial" w:eastAsia="Arial" w:hAnsi="Arial"/>
          <w:sz w:val="20"/>
          <w:szCs w:val="20"/>
          <w:color w:val="auto"/>
        </w:rPr>
      </w:pPr>
      <w:r>
        <w:rPr>
          <w:rFonts w:ascii="Arial" w:cs="Arial" w:eastAsia="Arial" w:hAnsi="Arial"/>
          <w:sz w:val="20"/>
          <w:szCs w:val="20"/>
          <w:color w:val="auto"/>
        </w:rPr>
        <w:t>Using traditional comparative valuation methodologies similar to those utilized by Evercore, QEP’s financial advisor, in its fairness opinion results in a standalone valuation range of $5.74 - $6.34 per QEP share today – a value for QEP shares far in excess of the value offered by the current terms of the Diamondback Acquisition, and</w:t>
      </w:r>
    </w:p>
    <w:p>
      <w:pPr>
        <w:spacing w:after="0" w:line="197" w:lineRule="exact"/>
        <w:rPr>
          <w:rFonts w:ascii="Arial" w:cs="Arial" w:eastAsia="Arial" w:hAnsi="Arial"/>
          <w:sz w:val="20"/>
          <w:szCs w:val="20"/>
          <w:color w:val="auto"/>
        </w:rPr>
      </w:pPr>
    </w:p>
    <w:p>
      <w:pPr>
        <w:ind w:left="340" w:hanging="332"/>
        <w:spacing w:after="0"/>
        <w:tabs>
          <w:tab w:leader="none" w:pos="3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Evercore would no longer be able to re-render its fairness opinion today based on current comparable company valuations.</w:t>
      </w:r>
    </w:p>
    <w:p>
      <w:pPr>
        <w:spacing w:after="0" w:line="202" w:lineRule="exact"/>
        <w:rPr>
          <w:sz w:val="20"/>
          <w:szCs w:val="20"/>
          <w:color w:val="auto"/>
        </w:rPr>
      </w:pPr>
    </w:p>
    <w:p>
      <w:pPr>
        <w:ind w:right="300"/>
        <w:spacing w:after="0" w:line="236" w:lineRule="auto"/>
        <w:rPr>
          <w:sz w:val="20"/>
          <w:szCs w:val="20"/>
          <w:color w:val="auto"/>
        </w:rPr>
      </w:pPr>
      <w:r>
        <w:rPr>
          <w:rFonts w:ascii="Arial" w:cs="Arial" w:eastAsia="Arial" w:hAnsi="Arial"/>
          <w:sz w:val="20"/>
          <w:szCs w:val="20"/>
          <w:color w:val="auto"/>
        </w:rPr>
        <w:t>In light of these reasons, and the material surge in comparable company valuations since ISS conducted its original analysis, Glazer Capital believes that ISS should rescind its recommendation of the proposed Diamondback Acquisition.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The letter further states:</w:t>
      </w:r>
    </w:p>
    <w:p>
      <w:pPr>
        <w:spacing w:after="0" w:line="202"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“Utilizing the same peer group as Evercore and employing a virtually identical public company trading multiple methodology, we believe there is considerably more upside potential in QEP shares today as a standalone company than the value offered to QEP shareholders under the current terms of the Diamondback Acquisition. It appears easily observable that current trading multiples of E&amp;P companies similar to QEP are highly supportive of significant upside for QEP’s stock and they reinforce our contention that the current terms of the Diamondback Acquisition are value destructive to QEP shareholders.”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The full text of the letter follows below:</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March 8, 2021</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Dear Fellow QEP Shareholders:</w:t>
      </w:r>
    </w:p>
    <w:p>
      <w:pPr>
        <w:spacing w:after="0" w:line="205" w:lineRule="exact"/>
        <w:rPr>
          <w:sz w:val="20"/>
          <w:szCs w:val="20"/>
          <w:color w:val="auto"/>
        </w:rPr>
      </w:pPr>
    </w:p>
    <w:p>
      <w:pPr>
        <w:spacing w:after="0" w:line="214" w:lineRule="auto"/>
        <w:rPr>
          <w:sz w:val="20"/>
          <w:szCs w:val="20"/>
          <w:color w:val="auto"/>
        </w:rPr>
      </w:pPr>
      <w:r>
        <w:rPr>
          <w:rFonts w:ascii="Arial" w:cs="Arial" w:eastAsia="Arial" w:hAnsi="Arial"/>
          <w:sz w:val="20"/>
          <w:szCs w:val="20"/>
          <w:color w:val="auto"/>
        </w:rPr>
        <w:t>On December 21, 2020, QEP Resources announced</w:t>
      </w:r>
      <w:r>
        <w:rPr>
          <w:rFonts w:ascii="Arial" w:cs="Arial" w:eastAsia="Arial" w:hAnsi="Arial"/>
          <w:sz w:val="32"/>
          <w:szCs w:val="32"/>
          <w:color w:val="auto"/>
          <w:vertAlign w:val="superscript"/>
        </w:rPr>
        <w:t>[1]</w:t>
      </w:r>
      <w:r>
        <w:rPr>
          <w:rFonts w:ascii="Arial" w:cs="Arial" w:eastAsia="Arial" w:hAnsi="Arial"/>
          <w:sz w:val="20"/>
          <w:szCs w:val="20"/>
          <w:color w:val="auto"/>
        </w:rPr>
        <w:t xml:space="preserve"> that it had entered into a definitive agreement to be acquired by Diamondback Energy, Inc. (“Diamondback”) in an all-stock transaction (“the Diamondback Acquisition”), in which stockholders of QEP will receive 0.05 shares of Diamondback common stock (the “current terms”), then valued at $2.29 per QEP share and representing a 1% discount to QEP’s closing share price on December 18, 2020 in exchange for each share of QEP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w:t>
      </w:r>
    </w:p>
    <w:p>
      <w:pPr>
        <w:ind w:left="140" w:hanging="132"/>
        <w:spacing w:after="0" w:line="204" w:lineRule="auto"/>
        <w:tabs>
          <w:tab w:leader="none" w:pos="140" w:val="left"/>
        </w:tabs>
        <w:numPr>
          <w:ilvl w:val="0"/>
          <w:numId w:val="11"/>
        </w:numPr>
        <w:rPr>
          <w:rFonts w:ascii="Arial" w:cs="Arial" w:eastAsia="Arial" w:hAnsi="Arial"/>
          <w:sz w:val="30"/>
          <w:szCs w:val="30"/>
          <w:color w:val="auto"/>
          <w:vertAlign w:val="superscript"/>
        </w:rPr>
      </w:pPr>
      <w:r>
        <w:rPr>
          <w:rFonts w:ascii="Arial" w:cs="Arial" w:eastAsia="Arial" w:hAnsi="Arial"/>
          <w:sz w:val="16"/>
          <w:szCs w:val="16"/>
          <w:color w:val="auto"/>
        </w:rPr>
        <w:t>Transaction Announcement Press Release: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0563C1"/>
        </w:rPr>
        <w:t>http://ir.qepres.com/news-releases/news-release-details/diamondback-energy-inc-acquire-qep-resources-all-stock</w:t>
      </w:r>
    </w:p>
    <w:p>
      <w:pPr>
        <w:sectPr>
          <w:pgSz w:w="11900" w:h="16838" w:orient="portrait"/>
          <w:cols w:equalWidth="0" w:num="1">
            <w:col w:w="11220"/>
          </w:cols>
          <w:pgMar w:left="320" w:top="703" w:right="359" w:bottom="1440" w:gutter="0" w:footer="0" w:header="0"/>
        </w:sectPr>
      </w:pPr>
    </w:p>
    <w:bookmarkStart w:id="10" w:name="page11"/>
    <w:bookmarkEnd w:id="10"/>
    <w:p>
      <w:pPr>
        <w:ind w:right="160"/>
        <w:spacing w:after="0"/>
        <w:rPr>
          <w:sz w:val="20"/>
          <w:szCs w:val="20"/>
          <w:color w:val="auto"/>
        </w:rPr>
      </w:pPr>
      <w:r>
        <w:rPr>
          <w:rFonts w:ascii="Arial" w:cs="Arial" w:eastAsia="Arial" w:hAnsi="Arial"/>
          <w:sz w:val="19"/>
          <w:szCs w:val="19"/>
          <w:color w:val="auto"/>
        </w:rPr>
        <w:t>Since the announcement of the Diamondback Acquisition, valuations and share prices of exploration and production (“E&amp;P“) companies have surged, rendering inadequate the current terms of the Diamondback Acquisition. If QEP shareholders were to support the Diamondback Acquisition, we believe that QEP shareholders would forfeit substantial value in return for grossly inadequate consideration. As a significant QEP shareholder, we intend to vote AGAINST the Diamondback Acquisition at the Special Meeting of QEP stockholders next week on March 16, 2021 and we encourage other QEP shareholders to do likewise. We further urge Institutional Shareholder Services (“ISS”) to rescind its previously issued recommendation in favor of the Diamondback Acquisition. The overwhelming evidence presented below supports our assertion that the current terms of the Diamondback Acquisition shortchanges QEP shareholders due to the change in circumstances.</w:t>
      </w:r>
    </w:p>
    <w:p>
      <w:pPr>
        <w:spacing w:after="0" w:line="196" w:lineRule="exact"/>
        <w:rPr>
          <w:sz w:val="20"/>
          <w:szCs w:val="20"/>
          <w:color w:val="auto"/>
        </w:rPr>
      </w:pPr>
    </w:p>
    <w:p>
      <w:pPr>
        <w:ind w:right="60"/>
        <w:spacing w:after="0" w:line="237" w:lineRule="auto"/>
        <w:rPr>
          <w:sz w:val="20"/>
          <w:szCs w:val="20"/>
          <w:color w:val="auto"/>
        </w:rPr>
      </w:pPr>
      <w:r>
        <w:rPr>
          <w:rFonts w:ascii="Arial" w:cs="Arial" w:eastAsia="Arial" w:hAnsi="Arial"/>
          <w:sz w:val="19"/>
          <w:szCs w:val="19"/>
          <w:color w:val="auto"/>
        </w:rPr>
        <w:t>Glazer Capital, LLC (“we” or “Glazer Capital”), on behalf of investment funds and separate accounts that it manages, is the beneficial owner of over 13,800,000 shares, or approximately 5.7% of the outstanding shares, of QEP common stock. We write to convey to our fellow QEP shareholders the reasons that we believe the current terms of the Diamondback Acquisition materially undervalue QEP shares today and we endeavor to ensure that we and our fellow QEP shareholders receive the full and fair value for our investment in QEP shares. It is clear to us that: (1) QEP’s shares, anchored by the 0.05 merger consideration ratio, have materially lagged its peers’ shares since both December 1 and December 18, 2020, and (2) re-running</w:t>
      </w:r>
    </w:p>
    <w:p>
      <w:pPr>
        <w:spacing w:after="0" w:line="4" w:lineRule="exact"/>
        <w:rPr>
          <w:sz w:val="20"/>
          <w:szCs w:val="20"/>
          <w:color w:val="auto"/>
        </w:rPr>
      </w:pPr>
    </w:p>
    <w:p>
      <w:pPr>
        <w:ind w:right="240"/>
        <w:spacing w:after="0" w:line="217" w:lineRule="auto"/>
        <w:rPr>
          <w:sz w:val="20"/>
          <w:szCs w:val="20"/>
          <w:color w:val="auto"/>
        </w:rPr>
      </w:pPr>
      <w:r>
        <w:rPr>
          <w:rFonts w:ascii="Arial" w:cs="Arial" w:eastAsia="Arial" w:hAnsi="Arial"/>
          <w:sz w:val="19"/>
          <w:szCs w:val="19"/>
          <w:color w:val="auto"/>
        </w:rPr>
        <w:t>the valuation methodology utilized by QEP’s financial adviser, Evercore Group, as laid out in QEP’s proxy</w:t>
      </w:r>
      <w:r>
        <w:rPr>
          <w:rFonts w:ascii="Arial" w:cs="Arial" w:eastAsia="Arial" w:hAnsi="Arial"/>
          <w:sz w:val="31"/>
          <w:szCs w:val="31"/>
          <w:color w:val="auto"/>
          <w:vertAlign w:val="superscript"/>
        </w:rPr>
        <w:t>[2]</w:t>
      </w:r>
      <w:r>
        <w:rPr>
          <w:rFonts w:ascii="Arial" w:cs="Arial" w:eastAsia="Arial" w:hAnsi="Arial"/>
          <w:sz w:val="19"/>
          <w:szCs w:val="19"/>
          <w:color w:val="auto"/>
        </w:rPr>
        <w:t>, would result in a standalone value for QEP shares far in excess of the value offered by the current terms of the Diamondback Acquisition. We urge our fellow shareholders to vote against the merger and retain the value embedded in QEP shares on a standalone basis.</w:t>
      </w:r>
    </w:p>
    <w:p>
      <w:pPr>
        <w:spacing w:after="0" w:line="178"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auto"/>
        </w:rPr>
        <w:t>I. Share Prices of Comparable Companies Have Surged</w:t>
      </w:r>
    </w:p>
    <w:p>
      <w:pPr>
        <w:spacing w:after="0" w:line="258" w:lineRule="exact"/>
        <w:rPr>
          <w:sz w:val="20"/>
          <w:szCs w:val="20"/>
          <w:color w:val="auto"/>
        </w:rPr>
      </w:pPr>
    </w:p>
    <w:p>
      <w:pPr>
        <w:spacing w:after="0" w:line="217" w:lineRule="auto"/>
        <w:rPr>
          <w:sz w:val="20"/>
          <w:szCs w:val="20"/>
          <w:color w:val="auto"/>
        </w:rPr>
      </w:pPr>
      <w:r>
        <w:rPr>
          <w:rFonts w:ascii="Arial" w:cs="Arial" w:eastAsia="Arial" w:hAnsi="Arial"/>
          <w:sz w:val="20"/>
          <w:szCs w:val="20"/>
          <w:color w:val="auto"/>
        </w:rPr>
        <w:t>The terms of the Diamondback Acquisition currently value QEP shares at $4.26</w:t>
      </w:r>
      <w:r>
        <w:rPr>
          <w:rFonts w:ascii="Arial" w:cs="Arial" w:eastAsia="Arial" w:hAnsi="Arial"/>
          <w:sz w:val="32"/>
          <w:szCs w:val="32"/>
          <w:color w:val="auto"/>
          <w:vertAlign w:val="superscript"/>
        </w:rPr>
        <w:t>[3]</w:t>
      </w:r>
      <w:r>
        <w:rPr>
          <w:rFonts w:ascii="Arial" w:cs="Arial" w:eastAsia="Arial" w:hAnsi="Arial"/>
          <w:sz w:val="20"/>
          <w:szCs w:val="20"/>
          <w:color w:val="auto"/>
        </w:rPr>
        <w:t xml:space="preserve"> per share (as of March 5, 2021). Since the Diamondback Acquisition was announced last December, the global economic outlook has improved dramatically, the price of oil has rebounded, and share prices of E&amp;P companies have appreciated materially. In particular, share prices of small cap E&amp;P companies with a relatively higher percentage of debt to equity capital than mid cap and large cap E&amp;P companies have experienced a breathtaking surge, buoyed by upward revisions to profitability estimates, expanding multiples, and upwardly revised sell-side price targets. Despite the fact that QEP shares have risen (a) 171% since December 1, 2020 (the “Unaffected Date” utilized by ISS in its voting recommendation published on February 26, 2021) and (b) 85% since December 18, 2020 (the last trading date prior to the announcement of the Diamondback Acquisition), these figures pale in comparison to the 329% and 191% increases (since the same two dates, respectively) in the average of the group of small cap E&amp;P companies utilized by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Evercore in its fairness opinion</w:t>
      </w:r>
      <w:r>
        <w:rPr>
          <w:rFonts w:ascii="Arial" w:cs="Arial" w:eastAsia="Arial" w:hAnsi="Arial"/>
          <w:sz w:val="32"/>
          <w:szCs w:val="32"/>
          <w:color w:val="auto"/>
          <w:vertAlign w:val="superscript"/>
        </w:rPr>
        <w:t>[4]</w:t>
      </w:r>
      <w:r>
        <w:rPr>
          <w:rFonts w:ascii="Arial" w:cs="Arial" w:eastAsia="Arial" w:hAnsi="Arial"/>
          <w:sz w:val="20"/>
          <w:szCs w:val="20"/>
          <w:color w:val="auto"/>
        </w:rPr>
        <w:t xml:space="preserve"> (the “Small Cap E&amp;P Peers”).</w:t>
      </w:r>
    </w:p>
    <w:p>
      <w:pPr>
        <w:spacing w:after="0" w:line="115" w:lineRule="exact"/>
        <w:rPr>
          <w:sz w:val="20"/>
          <w:szCs w:val="20"/>
          <w:color w:val="auto"/>
        </w:rPr>
      </w:pPr>
    </w:p>
    <w:p>
      <w:pPr>
        <w:ind w:right="400"/>
        <w:spacing w:after="0" w:line="225" w:lineRule="auto"/>
        <w:rPr>
          <w:sz w:val="20"/>
          <w:szCs w:val="20"/>
          <w:color w:val="auto"/>
        </w:rPr>
      </w:pPr>
      <w:r>
        <w:rPr>
          <w:rFonts w:ascii="Arial" w:cs="Arial" w:eastAsia="Arial" w:hAnsi="Arial"/>
          <w:sz w:val="20"/>
          <w:szCs w:val="20"/>
          <w:color w:val="auto"/>
        </w:rPr>
        <w:t>If QEP’s share price were to have appreciated since December 1, 2021 in line with the average of its Small Cap E&amp;P Peers, QEP’s share price would presently be $6.77, or 59% higher than the current terms of the Diamondback Acquisition.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w:t>
      </w:r>
    </w:p>
    <w:p>
      <w:pPr>
        <w:ind w:left="140" w:hanging="132"/>
        <w:spacing w:after="0" w:line="203" w:lineRule="auto"/>
        <w:tabs>
          <w:tab w:leader="none" w:pos="140" w:val="left"/>
        </w:tabs>
        <w:numPr>
          <w:ilvl w:val="0"/>
          <w:numId w:val="12"/>
        </w:numPr>
        <w:rPr>
          <w:rFonts w:ascii="Arial" w:cs="Arial" w:eastAsia="Arial" w:hAnsi="Arial"/>
          <w:sz w:val="33"/>
          <w:szCs w:val="33"/>
          <w:color w:val="auto"/>
          <w:vertAlign w:val="superscript"/>
        </w:rPr>
      </w:pPr>
      <w:r>
        <w:rPr>
          <w:rFonts w:ascii="Arial" w:cs="Arial" w:eastAsia="Arial" w:hAnsi="Arial"/>
          <w:sz w:val="16"/>
          <w:szCs w:val="16"/>
          <w:color w:val="auto"/>
        </w:rPr>
        <w:t xml:space="preserve">Page 87 of the Proxy Statement lays out the selected comparable group: </w:t>
      </w:r>
      <w:r>
        <w:rPr>
          <w:rFonts w:ascii="Arial" w:cs="Arial" w:eastAsia="Arial" w:hAnsi="Arial"/>
          <w:sz w:val="16"/>
          <w:szCs w:val="16"/>
          <w:color w:val="0563C1"/>
        </w:rPr>
        <w:t>http://ir.qepres.com/static-files/a7a0aba0-293d-4d74-a493-414ed779ecf4</w:t>
      </w:r>
    </w:p>
    <w:p>
      <w:pPr>
        <w:spacing w:after="0" w:line="102" w:lineRule="exact"/>
        <w:rPr>
          <w:rFonts w:ascii="Arial" w:cs="Arial" w:eastAsia="Arial" w:hAnsi="Arial"/>
          <w:sz w:val="33"/>
          <w:szCs w:val="33"/>
          <w:color w:val="auto"/>
          <w:vertAlign w:val="superscript"/>
        </w:rPr>
      </w:pPr>
    </w:p>
    <w:p>
      <w:pPr>
        <w:spacing w:after="0" w:line="185" w:lineRule="auto"/>
        <w:rPr>
          <w:rFonts w:ascii="Arial" w:cs="Arial" w:eastAsia="Arial" w:hAnsi="Arial"/>
          <w:sz w:val="33"/>
          <w:szCs w:val="33"/>
          <w:color w:val="auto"/>
          <w:vertAlign w:val="superscript"/>
        </w:rPr>
      </w:pPr>
      <w:r>
        <w:rPr>
          <w:rFonts w:ascii="Arial" w:cs="Arial" w:eastAsia="Arial" w:hAnsi="Arial"/>
          <w:sz w:val="24"/>
          <w:szCs w:val="24"/>
          <w:color w:val="auto"/>
          <w:vertAlign w:val="superscript"/>
        </w:rPr>
        <w:t>3</w:t>
      </w:r>
      <w:r>
        <w:rPr>
          <w:rFonts w:ascii="Arial" w:cs="Arial" w:eastAsia="Arial" w:hAnsi="Arial"/>
          <w:sz w:val="13"/>
          <w:szCs w:val="13"/>
          <w:color w:val="auto"/>
        </w:rPr>
        <w:t xml:space="preserve"> All figures presented or referred to herein as current, presently or today reflect data observed as of the close of business on March 5, 2021</w:t>
      </w:r>
    </w:p>
    <w:p>
      <w:pPr>
        <w:spacing w:after="0" w:line="84" w:lineRule="exact"/>
        <w:rPr>
          <w:sz w:val="20"/>
          <w:szCs w:val="20"/>
          <w:color w:val="auto"/>
        </w:rPr>
      </w:pPr>
    </w:p>
    <w:p>
      <w:pPr>
        <w:ind w:right="340" w:firstLine="8"/>
        <w:spacing w:after="0" w:line="181" w:lineRule="auto"/>
        <w:tabs>
          <w:tab w:leader="none" w:pos="146" w:val="left"/>
        </w:tabs>
        <w:numPr>
          <w:ilvl w:val="0"/>
          <w:numId w:val="13"/>
        </w:numPr>
        <w:rPr>
          <w:rFonts w:ascii="Arial" w:cs="Arial" w:eastAsia="Arial" w:hAnsi="Arial"/>
          <w:sz w:val="29"/>
          <w:szCs w:val="29"/>
          <w:color w:val="auto"/>
          <w:vertAlign w:val="superscript"/>
        </w:rPr>
      </w:pPr>
      <w:r>
        <w:rPr>
          <w:rFonts w:ascii="Arial" w:cs="Arial" w:eastAsia="Arial" w:hAnsi="Arial"/>
          <w:sz w:val="15"/>
          <w:szCs w:val="15"/>
          <w:color w:val="auto"/>
        </w:rPr>
        <w:t>Selected by Evercore Group, consisting of Callon Petroleum (CPE), Centennial Resources (CDEV), and SM Energy (SM), as presented on page 87 of QEP’s Proxy Statement</w:t>
      </w:r>
    </w:p>
    <w:p>
      <w:pPr>
        <w:sectPr>
          <w:pgSz w:w="11900" w:h="16838" w:orient="portrait"/>
          <w:cols w:equalWidth="0" w:num="1">
            <w:col w:w="11240"/>
          </w:cols>
          <w:pgMar w:left="320" w:top="487"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Table 1: Share Price of QEP’s Small Cap E&amp;P Peers Since Unaffected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0637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040" w:type="dxa"/>
            <w:vAlign w:val="bottom"/>
          </w:tcPr>
          <w:p>
            <w:pPr>
              <w:ind w:left="1020"/>
              <w:spacing w:after="0"/>
              <w:rPr>
                <w:sz w:val="20"/>
                <w:szCs w:val="20"/>
                <w:color w:val="auto"/>
              </w:rPr>
            </w:pPr>
            <w:r>
              <w:rPr>
                <w:rFonts w:ascii="Arial" w:cs="Arial" w:eastAsia="Arial" w:hAnsi="Arial"/>
                <w:sz w:val="20"/>
                <w:szCs w:val="20"/>
                <w:b w:val="1"/>
                <w:bCs w:val="1"/>
                <w:color w:val="auto"/>
              </w:rPr>
              <w:t>Evercore's Selected Comparable Small Cap Companies</w:t>
            </w:r>
          </w:p>
        </w:tc>
        <w:tc>
          <w:tcPr>
            <w:tcW w:w="1540" w:type="dxa"/>
            <w:vAlign w:val="bottom"/>
          </w:tcPr>
          <w:p>
            <w:pPr>
              <w:jc w:val="center"/>
              <w:ind w:left="81"/>
              <w:spacing w:after="0"/>
              <w:rPr>
                <w:sz w:val="20"/>
                <w:szCs w:val="20"/>
                <w:color w:val="auto"/>
              </w:rPr>
            </w:pPr>
            <w:r>
              <w:rPr>
                <w:rFonts w:ascii="Arial" w:cs="Arial" w:eastAsia="Arial" w:hAnsi="Arial"/>
                <w:sz w:val="20"/>
                <w:szCs w:val="20"/>
                <w:b w:val="1"/>
                <w:bCs w:val="1"/>
                <w:color w:val="auto"/>
                <w:w w:val="99"/>
              </w:rPr>
              <w:t>12/1/2020*</w:t>
            </w:r>
          </w:p>
        </w:tc>
        <w:tc>
          <w:tcPr>
            <w:tcW w:w="1120" w:type="dxa"/>
            <w:vAlign w:val="bottom"/>
          </w:tcPr>
          <w:p>
            <w:pPr>
              <w:jc w:val="center"/>
              <w:ind w:right="1"/>
              <w:spacing w:after="0"/>
              <w:rPr>
                <w:sz w:val="20"/>
                <w:szCs w:val="20"/>
                <w:color w:val="auto"/>
              </w:rPr>
            </w:pPr>
            <w:r>
              <w:rPr>
                <w:rFonts w:ascii="Arial" w:cs="Arial" w:eastAsia="Arial" w:hAnsi="Arial"/>
                <w:sz w:val="20"/>
                <w:szCs w:val="20"/>
                <w:b w:val="1"/>
                <w:bCs w:val="1"/>
                <w:color w:val="auto"/>
              </w:rPr>
              <w:t>3/5/2021</w:t>
            </w:r>
          </w:p>
        </w:tc>
        <w:tc>
          <w:tcPr>
            <w:tcW w:w="1460" w:type="dxa"/>
            <w:vAlign w:val="bottom"/>
          </w:tcPr>
          <w:p>
            <w:pPr>
              <w:jc w:val="center"/>
              <w:ind w:right="1"/>
              <w:spacing w:after="0"/>
              <w:rPr>
                <w:sz w:val="20"/>
                <w:szCs w:val="20"/>
                <w:color w:val="auto"/>
              </w:rPr>
            </w:pPr>
            <w:r>
              <w:rPr>
                <w:rFonts w:ascii="Arial" w:cs="Arial" w:eastAsia="Arial" w:hAnsi="Arial"/>
                <w:sz w:val="20"/>
                <w:szCs w:val="20"/>
                <w:b w:val="1"/>
                <w:bCs w:val="1"/>
                <w:color w:val="auto"/>
                <w:w w:val="99"/>
              </w:rPr>
              <w:t>% Change</w:t>
            </w:r>
          </w:p>
        </w:tc>
      </w:tr>
      <w:tr>
        <w:trPr>
          <w:trHeight w:val="158"/>
        </w:trPr>
        <w:tc>
          <w:tcPr>
            <w:tcW w:w="70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r>
      <w:tr>
        <w:trPr>
          <w:trHeight w:val="551"/>
        </w:trPr>
        <w:tc>
          <w:tcPr>
            <w:tcW w:w="7040" w:type="dxa"/>
            <w:vAlign w:val="bottom"/>
          </w:tcPr>
          <w:p>
            <w:pPr>
              <w:spacing w:after="0"/>
              <w:rPr>
                <w:sz w:val="20"/>
                <w:szCs w:val="20"/>
                <w:color w:val="auto"/>
              </w:rPr>
            </w:pPr>
            <w:r>
              <w:rPr>
                <w:rFonts w:ascii="Arial" w:cs="Arial" w:eastAsia="Arial" w:hAnsi="Arial"/>
                <w:sz w:val="20"/>
                <w:szCs w:val="20"/>
                <w:color w:val="auto"/>
              </w:rPr>
              <w:t>CALLON PETROLEUM</w:t>
            </w:r>
          </w:p>
        </w:tc>
        <w:tc>
          <w:tcPr>
            <w:tcW w:w="1540" w:type="dxa"/>
            <w:vAlign w:val="bottom"/>
          </w:tcPr>
          <w:p>
            <w:pPr>
              <w:jc w:val="center"/>
              <w:ind w:left="81"/>
              <w:spacing w:after="0"/>
              <w:rPr>
                <w:sz w:val="20"/>
                <w:szCs w:val="20"/>
                <w:color w:val="auto"/>
              </w:rPr>
            </w:pPr>
            <w:r>
              <w:rPr>
                <w:rFonts w:ascii="Arial" w:cs="Arial" w:eastAsia="Arial" w:hAnsi="Arial"/>
                <w:sz w:val="20"/>
                <w:szCs w:val="20"/>
                <w:color w:val="auto"/>
                <w:w w:val="95"/>
              </w:rPr>
              <w:t>$9.54</w:t>
            </w:r>
          </w:p>
        </w:tc>
        <w:tc>
          <w:tcPr>
            <w:tcW w:w="1120" w:type="dxa"/>
            <w:vAlign w:val="bottom"/>
          </w:tcPr>
          <w:p>
            <w:pPr>
              <w:jc w:val="center"/>
              <w:spacing w:after="0"/>
              <w:rPr>
                <w:sz w:val="20"/>
                <w:szCs w:val="20"/>
                <w:color w:val="auto"/>
              </w:rPr>
            </w:pPr>
            <w:r>
              <w:rPr>
                <w:rFonts w:ascii="Arial" w:cs="Arial" w:eastAsia="Arial" w:hAnsi="Arial"/>
                <w:sz w:val="20"/>
                <w:szCs w:val="20"/>
                <w:color w:val="auto"/>
                <w:w w:val="98"/>
              </w:rPr>
              <w:t>$38.23</w:t>
            </w:r>
          </w:p>
        </w:tc>
        <w:tc>
          <w:tcPr>
            <w:tcW w:w="1460" w:type="dxa"/>
            <w:vAlign w:val="bottom"/>
          </w:tcPr>
          <w:p>
            <w:pPr>
              <w:jc w:val="center"/>
              <w:ind w:right="21"/>
              <w:spacing w:after="0"/>
              <w:rPr>
                <w:sz w:val="20"/>
                <w:szCs w:val="20"/>
                <w:color w:val="auto"/>
              </w:rPr>
            </w:pPr>
            <w:r>
              <w:rPr>
                <w:rFonts w:ascii="Arial" w:cs="Arial" w:eastAsia="Arial" w:hAnsi="Arial"/>
                <w:sz w:val="20"/>
                <w:szCs w:val="20"/>
                <w:color w:val="auto"/>
                <w:w w:val="97"/>
              </w:rPr>
              <w:t>301%</w:t>
            </w:r>
          </w:p>
        </w:tc>
      </w:tr>
      <w:tr>
        <w:trPr>
          <w:trHeight w:val="338"/>
        </w:trPr>
        <w:tc>
          <w:tcPr>
            <w:tcW w:w="7040" w:type="dxa"/>
            <w:vAlign w:val="bottom"/>
          </w:tcPr>
          <w:p>
            <w:pPr>
              <w:spacing w:after="0"/>
              <w:rPr>
                <w:sz w:val="20"/>
                <w:szCs w:val="20"/>
                <w:color w:val="auto"/>
              </w:rPr>
            </w:pPr>
            <w:r>
              <w:rPr>
                <w:rFonts w:ascii="Arial" w:cs="Arial" w:eastAsia="Arial" w:hAnsi="Arial"/>
                <w:sz w:val="20"/>
                <w:szCs w:val="20"/>
                <w:color w:val="auto"/>
              </w:rPr>
              <w:t>CENTENNIAL RESOURCE</w:t>
            </w:r>
          </w:p>
        </w:tc>
        <w:tc>
          <w:tcPr>
            <w:tcW w:w="1540" w:type="dxa"/>
            <w:vAlign w:val="bottom"/>
          </w:tcPr>
          <w:p>
            <w:pPr>
              <w:jc w:val="center"/>
              <w:ind w:left="81"/>
              <w:spacing w:after="0"/>
              <w:rPr>
                <w:sz w:val="20"/>
                <w:szCs w:val="20"/>
                <w:color w:val="auto"/>
              </w:rPr>
            </w:pPr>
            <w:r>
              <w:rPr>
                <w:rFonts w:ascii="Arial" w:cs="Arial" w:eastAsia="Arial" w:hAnsi="Arial"/>
                <w:sz w:val="20"/>
                <w:szCs w:val="20"/>
                <w:color w:val="auto"/>
                <w:w w:val="95"/>
              </w:rPr>
              <w:t>$1.11</w:t>
            </w:r>
          </w:p>
        </w:tc>
        <w:tc>
          <w:tcPr>
            <w:tcW w:w="1120" w:type="dxa"/>
            <w:vAlign w:val="bottom"/>
          </w:tcPr>
          <w:p>
            <w:pPr>
              <w:jc w:val="center"/>
              <w:ind w:right="1"/>
              <w:spacing w:after="0"/>
              <w:rPr>
                <w:sz w:val="20"/>
                <w:szCs w:val="20"/>
                <w:color w:val="auto"/>
              </w:rPr>
            </w:pPr>
            <w:r>
              <w:rPr>
                <w:rFonts w:ascii="Arial" w:cs="Arial" w:eastAsia="Arial" w:hAnsi="Arial"/>
                <w:sz w:val="20"/>
                <w:szCs w:val="20"/>
                <w:color w:val="auto"/>
                <w:w w:val="99"/>
              </w:rPr>
              <w:t>$5.00</w:t>
            </w:r>
          </w:p>
        </w:tc>
        <w:tc>
          <w:tcPr>
            <w:tcW w:w="1460" w:type="dxa"/>
            <w:vAlign w:val="bottom"/>
          </w:tcPr>
          <w:p>
            <w:pPr>
              <w:jc w:val="center"/>
              <w:ind w:right="21"/>
              <w:spacing w:after="0"/>
              <w:rPr>
                <w:sz w:val="20"/>
                <w:szCs w:val="20"/>
                <w:color w:val="auto"/>
              </w:rPr>
            </w:pPr>
            <w:r>
              <w:rPr>
                <w:rFonts w:ascii="Arial" w:cs="Arial" w:eastAsia="Arial" w:hAnsi="Arial"/>
                <w:sz w:val="20"/>
                <w:szCs w:val="20"/>
                <w:color w:val="auto"/>
                <w:w w:val="97"/>
              </w:rPr>
              <w:t>350%</w:t>
            </w:r>
          </w:p>
        </w:tc>
      </w:tr>
      <w:tr>
        <w:trPr>
          <w:trHeight w:val="338"/>
        </w:trPr>
        <w:tc>
          <w:tcPr>
            <w:tcW w:w="7040" w:type="dxa"/>
            <w:vAlign w:val="bottom"/>
          </w:tcPr>
          <w:p>
            <w:pPr>
              <w:spacing w:after="0"/>
              <w:rPr>
                <w:sz w:val="20"/>
                <w:szCs w:val="20"/>
                <w:color w:val="auto"/>
              </w:rPr>
            </w:pPr>
            <w:r>
              <w:rPr>
                <w:rFonts w:ascii="Arial" w:cs="Arial" w:eastAsia="Arial" w:hAnsi="Arial"/>
                <w:sz w:val="20"/>
                <w:szCs w:val="20"/>
                <w:color w:val="auto"/>
              </w:rPr>
              <w:t>SM ENERGY</w:t>
            </w:r>
          </w:p>
        </w:tc>
        <w:tc>
          <w:tcPr>
            <w:tcW w:w="1540" w:type="dxa"/>
            <w:vAlign w:val="bottom"/>
          </w:tcPr>
          <w:p>
            <w:pPr>
              <w:jc w:val="center"/>
              <w:ind w:left="81"/>
              <w:spacing w:after="0"/>
              <w:rPr>
                <w:sz w:val="20"/>
                <w:szCs w:val="20"/>
                <w:color w:val="auto"/>
              </w:rPr>
            </w:pPr>
            <w:r>
              <w:rPr>
                <w:rFonts w:ascii="Arial" w:cs="Arial" w:eastAsia="Arial" w:hAnsi="Arial"/>
                <w:sz w:val="20"/>
                <w:szCs w:val="20"/>
                <w:color w:val="auto"/>
                <w:w w:val="95"/>
              </w:rPr>
              <w:t>$4.12</w:t>
            </w:r>
          </w:p>
        </w:tc>
        <w:tc>
          <w:tcPr>
            <w:tcW w:w="1120" w:type="dxa"/>
            <w:vAlign w:val="bottom"/>
          </w:tcPr>
          <w:p>
            <w:pPr>
              <w:jc w:val="center"/>
              <w:spacing w:after="0"/>
              <w:rPr>
                <w:sz w:val="20"/>
                <w:szCs w:val="20"/>
                <w:color w:val="auto"/>
              </w:rPr>
            </w:pPr>
            <w:r>
              <w:rPr>
                <w:rFonts w:ascii="Arial" w:cs="Arial" w:eastAsia="Arial" w:hAnsi="Arial"/>
                <w:sz w:val="20"/>
                <w:szCs w:val="20"/>
                <w:color w:val="auto"/>
                <w:w w:val="98"/>
              </w:rPr>
              <w:t>$17.90</w:t>
            </w:r>
          </w:p>
        </w:tc>
        <w:tc>
          <w:tcPr>
            <w:tcW w:w="1460" w:type="dxa"/>
            <w:vAlign w:val="bottom"/>
          </w:tcPr>
          <w:p>
            <w:pPr>
              <w:jc w:val="center"/>
              <w:ind w:right="21"/>
              <w:spacing w:after="0"/>
              <w:rPr>
                <w:sz w:val="20"/>
                <w:szCs w:val="20"/>
                <w:color w:val="auto"/>
              </w:rPr>
            </w:pPr>
            <w:r>
              <w:rPr>
                <w:rFonts w:ascii="Arial" w:cs="Arial" w:eastAsia="Arial" w:hAnsi="Arial"/>
                <w:sz w:val="20"/>
                <w:szCs w:val="20"/>
                <w:color w:val="auto"/>
                <w:w w:val="97"/>
              </w:rPr>
              <w:t>334%</w:t>
            </w:r>
          </w:p>
        </w:tc>
      </w:tr>
      <w:tr>
        <w:trPr>
          <w:trHeight w:val="455"/>
        </w:trPr>
        <w:tc>
          <w:tcPr>
            <w:tcW w:w="7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31"/>
        </w:trPr>
        <w:tc>
          <w:tcPr>
            <w:tcW w:w="7040" w:type="dxa"/>
            <w:vAlign w:val="bottom"/>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20"/>
                <w:szCs w:val="20"/>
                <w:color w:val="auto"/>
                <w:w w:val="99"/>
              </w:rPr>
              <w:t>Average:</w:t>
            </w:r>
          </w:p>
        </w:tc>
        <w:tc>
          <w:tcPr>
            <w:tcW w:w="1460" w:type="dxa"/>
            <w:vAlign w:val="bottom"/>
            <w:tcBorders>
              <w:right w:val="single" w:sz="8" w:color="auto"/>
            </w:tcBorders>
          </w:tcPr>
          <w:p>
            <w:pPr>
              <w:jc w:val="center"/>
              <w:ind w:right="21"/>
              <w:spacing w:after="0"/>
              <w:rPr>
                <w:sz w:val="20"/>
                <w:szCs w:val="20"/>
                <w:color w:val="auto"/>
              </w:rPr>
            </w:pPr>
            <w:r>
              <w:rPr>
                <w:rFonts w:ascii="Arial" w:cs="Arial" w:eastAsia="Arial" w:hAnsi="Arial"/>
                <w:sz w:val="20"/>
                <w:szCs w:val="20"/>
                <w:color w:val="auto"/>
                <w:w w:val="97"/>
              </w:rPr>
              <w:t>329%</w:t>
            </w:r>
          </w:p>
        </w:tc>
      </w:tr>
      <w:tr>
        <w:trPr>
          <w:trHeight w:val="320"/>
        </w:trPr>
        <w:tc>
          <w:tcPr>
            <w:tcW w:w="7040" w:type="dxa"/>
            <w:vAlign w:val="bottom"/>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0"/>
                <w:szCs w:val="20"/>
                <w:color w:val="auto"/>
              </w:rPr>
              <w:t>Median:</w:t>
            </w:r>
          </w:p>
        </w:tc>
        <w:tc>
          <w:tcPr>
            <w:tcW w:w="1460" w:type="dxa"/>
            <w:vAlign w:val="bottom"/>
            <w:tcBorders>
              <w:right w:val="single" w:sz="8" w:color="auto"/>
            </w:tcBorders>
          </w:tcPr>
          <w:p>
            <w:pPr>
              <w:jc w:val="center"/>
              <w:ind w:right="21"/>
              <w:spacing w:after="0"/>
              <w:rPr>
                <w:sz w:val="20"/>
                <w:szCs w:val="20"/>
                <w:color w:val="auto"/>
              </w:rPr>
            </w:pPr>
            <w:r>
              <w:rPr>
                <w:rFonts w:ascii="Arial" w:cs="Arial" w:eastAsia="Arial" w:hAnsi="Arial"/>
                <w:sz w:val="20"/>
                <w:szCs w:val="20"/>
                <w:color w:val="auto"/>
                <w:w w:val="97"/>
              </w:rPr>
              <w:t>334%</w:t>
            </w:r>
          </w:p>
        </w:tc>
      </w:tr>
      <w:tr>
        <w:trPr>
          <w:trHeight w:val="117"/>
        </w:trPr>
        <w:tc>
          <w:tcPr>
            <w:tcW w:w="7040" w:type="dxa"/>
            <w:vAlign w:val="bottom"/>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r>
      <w:tr>
        <w:trPr>
          <w:trHeight w:val="551"/>
        </w:trPr>
        <w:tc>
          <w:tcPr>
            <w:tcW w:w="7040" w:type="dxa"/>
            <w:vAlign w:val="bottom"/>
          </w:tcPr>
          <w:p>
            <w:pPr>
              <w:spacing w:after="0"/>
              <w:rPr>
                <w:sz w:val="20"/>
                <w:szCs w:val="20"/>
                <w:color w:val="auto"/>
              </w:rPr>
            </w:pPr>
            <w:r>
              <w:rPr>
                <w:rFonts w:ascii="Arial" w:cs="Arial" w:eastAsia="Arial" w:hAnsi="Arial"/>
                <w:sz w:val="20"/>
                <w:szCs w:val="20"/>
                <w:color w:val="auto"/>
              </w:rPr>
              <w:t>QEP RESOURCES - Actual</w:t>
            </w:r>
          </w:p>
        </w:tc>
        <w:tc>
          <w:tcPr>
            <w:tcW w:w="1540" w:type="dxa"/>
            <w:vAlign w:val="bottom"/>
          </w:tcPr>
          <w:p>
            <w:pPr>
              <w:jc w:val="center"/>
              <w:ind w:left="81"/>
              <w:spacing w:after="0"/>
              <w:rPr>
                <w:sz w:val="20"/>
                <w:szCs w:val="20"/>
                <w:color w:val="auto"/>
              </w:rPr>
            </w:pPr>
            <w:r>
              <w:rPr>
                <w:rFonts w:ascii="Arial" w:cs="Arial" w:eastAsia="Arial" w:hAnsi="Arial"/>
                <w:sz w:val="20"/>
                <w:szCs w:val="20"/>
                <w:color w:val="auto"/>
                <w:w w:val="95"/>
              </w:rPr>
              <w:t>$1.58</w:t>
            </w:r>
          </w:p>
        </w:tc>
        <w:tc>
          <w:tcPr>
            <w:tcW w:w="1120" w:type="dxa"/>
            <w:vAlign w:val="bottom"/>
          </w:tcPr>
          <w:p>
            <w:pPr>
              <w:jc w:val="center"/>
              <w:ind w:right="1"/>
              <w:spacing w:after="0"/>
              <w:rPr>
                <w:sz w:val="20"/>
                <w:szCs w:val="20"/>
                <w:color w:val="auto"/>
              </w:rPr>
            </w:pPr>
            <w:r>
              <w:rPr>
                <w:rFonts w:ascii="Arial" w:cs="Arial" w:eastAsia="Arial" w:hAnsi="Arial"/>
                <w:sz w:val="20"/>
                <w:szCs w:val="20"/>
                <w:color w:val="auto"/>
                <w:w w:val="99"/>
              </w:rPr>
              <w:t>$4.28</w:t>
            </w:r>
          </w:p>
        </w:tc>
        <w:tc>
          <w:tcPr>
            <w:tcW w:w="1460" w:type="dxa"/>
            <w:vAlign w:val="bottom"/>
          </w:tcPr>
          <w:p>
            <w:pPr>
              <w:jc w:val="center"/>
              <w:ind w:right="21"/>
              <w:spacing w:after="0"/>
              <w:rPr>
                <w:sz w:val="20"/>
                <w:szCs w:val="20"/>
                <w:color w:val="auto"/>
              </w:rPr>
            </w:pPr>
            <w:r>
              <w:rPr>
                <w:rFonts w:ascii="Arial" w:cs="Arial" w:eastAsia="Arial" w:hAnsi="Arial"/>
                <w:sz w:val="20"/>
                <w:szCs w:val="20"/>
                <w:color w:val="auto"/>
                <w:w w:val="97"/>
              </w:rPr>
              <w:t>171%</w:t>
            </w:r>
          </w:p>
        </w:tc>
      </w:tr>
      <w:tr>
        <w:trPr>
          <w:trHeight w:val="675"/>
        </w:trPr>
        <w:tc>
          <w:tcPr>
            <w:tcW w:w="7040" w:type="dxa"/>
            <w:vAlign w:val="bottom"/>
          </w:tcPr>
          <w:p>
            <w:pPr>
              <w:spacing w:after="0"/>
              <w:rPr>
                <w:sz w:val="20"/>
                <w:szCs w:val="20"/>
                <w:color w:val="auto"/>
              </w:rPr>
            </w:pPr>
            <w:r>
              <w:rPr>
                <w:rFonts w:ascii="Arial" w:cs="Arial" w:eastAsia="Arial" w:hAnsi="Arial"/>
                <w:sz w:val="20"/>
                <w:szCs w:val="20"/>
                <w:b w:val="1"/>
                <w:bCs w:val="1"/>
                <w:color w:val="auto"/>
              </w:rPr>
              <w:t>QEP RESOURCES - Projected Based on Small Cap E&amp;P Peers Average</w:t>
            </w:r>
          </w:p>
        </w:tc>
        <w:tc>
          <w:tcPr>
            <w:tcW w:w="1540" w:type="dxa"/>
            <w:vAlign w:val="bottom"/>
          </w:tcPr>
          <w:p>
            <w:pPr>
              <w:spacing w:after="0"/>
              <w:rPr>
                <w:sz w:val="24"/>
                <w:szCs w:val="24"/>
                <w:color w:val="auto"/>
              </w:rPr>
            </w:pPr>
          </w:p>
        </w:tc>
        <w:tc>
          <w:tcPr>
            <w:tcW w:w="1120" w:type="dxa"/>
            <w:vAlign w:val="bottom"/>
          </w:tcPr>
          <w:p>
            <w:pPr>
              <w:jc w:val="center"/>
              <w:ind w:right="1"/>
              <w:spacing w:after="0"/>
              <w:rPr>
                <w:sz w:val="20"/>
                <w:szCs w:val="20"/>
                <w:color w:val="auto"/>
              </w:rPr>
            </w:pPr>
            <w:r>
              <w:rPr>
                <w:rFonts w:ascii="Arial" w:cs="Arial" w:eastAsia="Arial" w:hAnsi="Arial"/>
                <w:sz w:val="20"/>
                <w:szCs w:val="20"/>
                <w:b w:val="1"/>
                <w:bCs w:val="1"/>
                <w:color w:val="auto"/>
                <w:w w:val="99"/>
              </w:rPr>
              <w:t>$6.77</w:t>
            </w:r>
          </w:p>
        </w:tc>
        <w:tc>
          <w:tcPr>
            <w:tcW w:w="1460" w:type="dxa"/>
            <w:vAlign w:val="bottom"/>
          </w:tcPr>
          <w:p>
            <w:pPr>
              <w:jc w:val="center"/>
              <w:ind w:right="21"/>
              <w:spacing w:after="0"/>
              <w:rPr>
                <w:sz w:val="20"/>
                <w:szCs w:val="20"/>
                <w:color w:val="auto"/>
              </w:rPr>
            </w:pPr>
            <w:r>
              <w:rPr>
                <w:rFonts w:ascii="Arial" w:cs="Arial" w:eastAsia="Arial" w:hAnsi="Arial"/>
                <w:sz w:val="20"/>
                <w:szCs w:val="20"/>
                <w:b w:val="1"/>
                <w:bCs w:val="1"/>
                <w:color w:val="auto"/>
                <w:w w:val="97"/>
              </w:rPr>
              <w:t>329%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0637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*Unaffected date utilized by ISS in its report dated 2/26/2021</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Source: Bloomberg, Refinitiv</w:t>
      </w:r>
    </w:p>
    <w:p>
      <w:pPr>
        <w:spacing w:after="0" w:line="200" w:lineRule="exact"/>
        <w:rPr>
          <w:sz w:val="20"/>
          <w:szCs w:val="20"/>
          <w:color w:val="auto"/>
        </w:rPr>
      </w:pPr>
    </w:p>
    <w:p>
      <w:pPr>
        <w:spacing w:after="0" w:line="238"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QEP’s share price has lagged its Small Cap E&amp;P Peers by almost 50% since December 1, 2021. We believe that QEP’s underperformance resulted from the fact that its shares have been tethered to the share price of Diamondback, a much larger E&amp;P company than QEP, with a far lower debt to equity ratio than QEP. Accordingly, shareholders of QEP should demand that Diamondback pay a fair price for their QEP shares. QEP’s share price has been anchored at a value reflecting 0.05 of a Diamondback share per QEP share. The current terms of the Diamondback Acquisition value QEP shares at $4.26, a 37% discount to the illustrative $6.77 share price suggested by QEP’s Small Cap E&amp;P Peers.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Figure 1: QEP underperformance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349240" cy="1705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Source: Bloomberg, Refinitiv</w:t>
      </w:r>
    </w:p>
    <w:p>
      <w:pPr>
        <w:sectPr>
          <w:pgSz w:w="11900" w:h="16838" w:orient="portrait"/>
          <w:cols w:equalWidth="0" w:num="1">
            <w:col w:w="11140"/>
          </w:cols>
          <w:pgMar w:left="320" w:top="881" w:right="439" w:bottom="1440" w:gutter="0" w:footer="0" w:header="0"/>
        </w:sectPr>
      </w:pPr>
    </w:p>
    <w:bookmarkStart w:id="12" w:name="page13"/>
    <w:bookmarkEnd w:id="12"/>
    <w:p>
      <w:pPr>
        <w:spacing w:after="0"/>
        <w:rPr>
          <w:sz w:val="20"/>
          <w:szCs w:val="20"/>
          <w:color w:val="auto"/>
        </w:rPr>
      </w:pPr>
      <w:r>
        <w:rPr>
          <w:rFonts w:ascii="Arial" w:cs="Arial" w:eastAsia="Arial" w:hAnsi="Arial"/>
          <w:sz w:val="23"/>
          <w:szCs w:val="23"/>
          <w:b w:val="1"/>
          <w:bCs w:val="1"/>
          <w:u w:val="single" w:color="auto"/>
          <w:color w:val="auto"/>
        </w:rPr>
        <w:t>II. Public Company Trading Multiples Support Significantly Higher Valuation</w:t>
      </w:r>
    </w:p>
    <w:p>
      <w:pPr>
        <w:spacing w:after="0" w:line="258" w:lineRule="exact"/>
        <w:rPr>
          <w:sz w:val="20"/>
          <w:szCs w:val="20"/>
          <w:color w:val="auto"/>
        </w:rPr>
      </w:pPr>
    </w:p>
    <w:p>
      <w:pPr>
        <w:ind w:right="120"/>
        <w:spacing w:after="0" w:line="212" w:lineRule="auto"/>
        <w:rPr>
          <w:sz w:val="20"/>
          <w:szCs w:val="20"/>
          <w:color w:val="auto"/>
        </w:rPr>
      </w:pPr>
      <w:r>
        <w:rPr>
          <w:rFonts w:ascii="Arial" w:cs="Arial" w:eastAsia="Arial" w:hAnsi="Arial"/>
          <w:sz w:val="20"/>
          <w:szCs w:val="20"/>
          <w:color w:val="auto"/>
        </w:rPr>
        <w:t xml:space="preserve">Pages 86 and 87 of QEP’s </w:t>
      </w:r>
      <w:r>
        <w:rPr>
          <w:rFonts w:ascii="Arial" w:cs="Arial" w:eastAsia="Arial" w:hAnsi="Arial"/>
          <w:sz w:val="20"/>
          <w:szCs w:val="20"/>
          <w:color w:val="0563C1"/>
        </w:rPr>
        <w:t>definitive proxy statement</w:t>
      </w:r>
      <w:r>
        <w:rPr>
          <w:rFonts w:ascii="Arial" w:cs="Arial" w:eastAsia="Arial" w:hAnsi="Arial"/>
          <w:sz w:val="32"/>
          <w:szCs w:val="32"/>
          <w:u w:val="single" w:color="auto"/>
          <w:color w:val="0563C1"/>
          <w:vertAlign w:val="superscript"/>
        </w:rPr>
        <w:t>[5]</w:t>
      </w:r>
      <w:r>
        <w:rPr>
          <w:rFonts w:ascii="Arial" w:cs="Arial" w:eastAsia="Arial" w:hAnsi="Arial"/>
          <w:sz w:val="20"/>
          <w:szCs w:val="20"/>
          <w:color w:val="auto"/>
        </w:rPr>
        <w:t>, dated February 10, 2021, outline a “</w:t>
      </w:r>
      <w:r>
        <w:rPr>
          <w:rFonts w:ascii="Arial" w:cs="Arial" w:eastAsia="Arial" w:hAnsi="Arial"/>
          <w:sz w:val="20"/>
          <w:szCs w:val="20"/>
          <w:i w:val="1"/>
          <w:iCs w:val="1"/>
          <w:color w:val="auto"/>
        </w:rPr>
        <w:t>Selected Public Company Trading</w:t>
      </w:r>
      <w:r>
        <w:rPr>
          <w:rFonts w:ascii="Arial" w:cs="Arial" w:eastAsia="Arial" w:hAnsi="Arial"/>
          <w:sz w:val="20"/>
          <w:szCs w:val="20"/>
          <w:color w:val="auto"/>
        </w:rPr>
        <w:t xml:space="preserve"> </w:t>
      </w:r>
      <w:r>
        <w:rPr>
          <w:rFonts w:ascii="Arial" w:cs="Arial" w:eastAsia="Arial" w:hAnsi="Arial"/>
          <w:sz w:val="20"/>
          <w:szCs w:val="20"/>
          <w:i w:val="1"/>
          <w:iCs w:val="1"/>
          <w:color w:val="auto"/>
        </w:rPr>
        <w:t>Analysis for QEP on a Standalone Basis</w:t>
      </w:r>
      <w:r>
        <w:rPr>
          <w:rFonts w:ascii="Arial" w:cs="Arial" w:eastAsia="Arial" w:hAnsi="Arial"/>
          <w:sz w:val="20"/>
          <w:szCs w:val="20"/>
          <w:color w:val="auto"/>
        </w:rPr>
        <w:t>” conducted by QEP’s financial advisor, Evercore. Evercore selected an EV / EBITDAX</w:t>
      </w:r>
      <w:r>
        <w:rPr>
          <w:rFonts w:ascii="Arial" w:cs="Arial" w:eastAsia="Arial" w:hAnsi="Arial"/>
          <w:sz w:val="20"/>
          <w:szCs w:val="20"/>
          <w:i w:val="1"/>
          <w:iCs w:val="1"/>
          <w:color w:val="auto"/>
        </w:rPr>
        <w:t xml:space="preserve"> </w:t>
      </w:r>
      <w:r>
        <w:rPr>
          <w:rFonts w:ascii="Arial" w:cs="Arial" w:eastAsia="Arial" w:hAnsi="Arial"/>
          <w:sz w:val="20"/>
          <w:szCs w:val="20"/>
          <w:color w:val="auto"/>
        </w:rPr>
        <w:t>multiple “Reference Range” with which to value QEP that bracketed the mean and median of two groups of comparable companies that it curated. Reproduced in the table below is Evercore’s analysis: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520" w:type="dxa"/>
            <w:vAlign w:val="bottom"/>
            <w:gridSpan w:val="3"/>
          </w:tcPr>
          <w:p>
            <w:pPr>
              <w:spacing w:after="0"/>
              <w:rPr>
                <w:sz w:val="20"/>
                <w:szCs w:val="20"/>
                <w:color w:val="auto"/>
              </w:rPr>
            </w:pPr>
            <w:r>
              <w:rPr>
                <w:rFonts w:ascii="Arial" w:cs="Arial" w:eastAsia="Arial" w:hAnsi="Arial"/>
                <w:sz w:val="20"/>
                <w:szCs w:val="20"/>
                <w:b w:val="1"/>
                <w:bCs w:val="1"/>
                <w:color w:val="auto"/>
              </w:rPr>
              <w:t>Table 2: Evercore's Selected Public Company Trading Analysis</w:t>
            </w: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2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7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7520" w:type="dxa"/>
            <w:vAlign w:val="bottom"/>
            <w:gridSpan w:val="3"/>
          </w:tcPr>
          <w:p>
            <w:pPr>
              <w:spacing w:after="0"/>
              <w:rPr>
                <w:sz w:val="20"/>
                <w:szCs w:val="20"/>
                <w:color w:val="auto"/>
              </w:rPr>
            </w:pPr>
            <w:r>
              <w:rPr>
                <w:rFonts w:ascii="Arial" w:cs="Arial" w:eastAsia="Arial" w:hAnsi="Arial"/>
                <w:sz w:val="20"/>
                <w:szCs w:val="20"/>
                <w:color w:val="auto"/>
              </w:rPr>
              <w:t>Consensus Dec 18, 2020</w:t>
            </w:r>
          </w:p>
        </w:tc>
        <w:tc>
          <w:tcPr>
            <w:tcW w:w="640" w:type="dxa"/>
            <w:vAlign w:val="bottom"/>
          </w:tcPr>
          <w:p>
            <w:pPr>
              <w:spacing w:after="0"/>
              <w:rPr>
                <w:sz w:val="21"/>
                <w:szCs w:val="21"/>
                <w:color w:val="auto"/>
              </w:rPr>
            </w:pPr>
          </w:p>
        </w:tc>
        <w:tc>
          <w:tcPr>
            <w:tcW w:w="3080" w:type="dxa"/>
            <w:vAlign w:val="bottom"/>
            <w:gridSpan w:val="5"/>
          </w:tcPr>
          <w:p>
            <w:pPr>
              <w:jc w:val="center"/>
              <w:ind w:right="700"/>
              <w:spacing w:after="0"/>
              <w:rPr>
                <w:sz w:val="20"/>
                <w:szCs w:val="20"/>
                <w:color w:val="auto"/>
              </w:rPr>
            </w:pPr>
            <w:r>
              <w:rPr>
                <w:rFonts w:ascii="Arial" w:cs="Arial" w:eastAsia="Arial" w:hAnsi="Arial"/>
                <w:sz w:val="20"/>
                <w:szCs w:val="20"/>
                <w:color w:val="auto"/>
                <w:w w:val="96"/>
              </w:rPr>
              <w:t>Enterprise Value /</w:t>
            </w: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3"/>
          </w:tcPr>
          <w:p>
            <w:pPr>
              <w:jc w:val="center"/>
              <w:ind w:right="1420"/>
              <w:spacing w:after="0"/>
              <w:rPr>
                <w:sz w:val="20"/>
                <w:szCs w:val="20"/>
                <w:color w:val="auto"/>
              </w:rPr>
            </w:pPr>
            <w:r>
              <w:rPr>
                <w:rFonts w:ascii="Arial" w:cs="Arial" w:eastAsia="Arial" w:hAnsi="Arial"/>
                <w:sz w:val="20"/>
                <w:szCs w:val="20"/>
                <w:color w:val="auto"/>
                <w:w w:val="98"/>
              </w:rPr>
              <w:t>EBITDAX</w:t>
            </w:r>
          </w:p>
        </w:tc>
        <w:tc>
          <w:tcPr>
            <w:tcW w:w="0" w:type="dxa"/>
            <w:vAlign w:val="bottom"/>
          </w:tcPr>
          <w:p>
            <w:pPr>
              <w:spacing w:after="0"/>
              <w:rPr>
                <w:sz w:val="1"/>
                <w:szCs w:val="1"/>
                <w:color w:val="auto"/>
              </w:rPr>
            </w:pPr>
          </w:p>
        </w:tc>
      </w:tr>
      <w:tr>
        <w:trPr>
          <w:trHeight w:val="185"/>
        </w:trPr>
        <w:tc>
          <w:tcPr>
            <w:tcW w:w="2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7"/>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20"/>
                <w:szCs w:val="20"/>
                <w:color w:val="auto"/>
                <w:w w:val="96"/>
              </w:rPr>
              <w:t>2021E</w:t>
            </w:r>
          </w:p>
        </w:tc>
        <w:tc>
          <w:tcPr>
            <w:tcW w:w="1080" w:type="dxa"/>
            <w:vAlign w:val="bottom"/>
          </w:tcPr>
          <w:p>
            <w:pPr>
              <w:spacing w:after="0"/>
              <w:rPr>
                <w:sz w:val="24"/>
                <w:szCs w:val="2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20"/>
                <w:szCs w:val="20"/>
                <w:color w:val="auto"/>
                <w:w w:val="96"/>
              </w:rPr>
              <w:t>2022E</w:t>
            </w:r>
          </w:p>
        </w:tc>
        <w:tc>
          <w:tcPr>
            <w:tcW w:w="0" w:type="dxa"/>
            <w:vAlign w:val="bottom"/>
          </w:tcPr>
          <w:p>
            <w:pPr>
              <w:spacing w:after="0"/>
              <w:rPr>
                <w:sz w:val="1"/>
                <w:szCs w:val="1"/>
                <w:color w:val="auto"/>
              </w:rPr>
            </w:pPr>
          </w:p>
        </w:tc>
      </w:tr>
      <w:tr>
        <w:trPr>
          <w:trHeight w:val="318"/>
        </w:trPr>
        <w:tc>
          <w:tcPr>
            <w:tcW w:w="7520" w:type="dxa"/>
            <w:vAlign w:val="bottom"/>
            <w:gridSpan w:val="3"/>
          </w:tcPr>
          <w:p>
            <w:pPr>
              <w:spacing w:after="0"/>
              <w:rPr>
                <w:sz w:val="20"/>
                <w:szCs w:val="20"/>
                <w:color w:val="auto"/>
              </w:rPr>
            </w:pPr>
            <w:r>
              <w:rPr>
                <w:rFonts w:ascii="Arial" w:cs="Arial" w:eastAsia="Arial" w:hAnsi="Arial"/>
                <w:sz w:val="20"/>
                <w:szCs w:val="20"/>
                <w:color w:val="auto"/>
              </w:rPr>
              <w:t>Selected Mid Cap Companies</w:t>
            </w:r>
          </w:p>
        </w:tc>
        <w:tc>
          <w:tcPr>
            <w:tcW w:w="6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6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Cimarex Energy Co.</w:t>
            </w:r>
          </w:p>
        </w:tc>
        <w:tc>
          <w:tcPr>
            <w:tcW w:w="490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20"/>
                <w:szCs w:val="20"/>
                <w:color w:val="auto"/>
                <w:w w:val="95"/>
              </w:rPr>
              <w:t>5.0x</w:t>
            </w:r>
          </w:p>
        </w:tc>
        <w:tc>
          <w:tcPr>
            <w:tcW w:w="1080" w:type="dxa"/>
            <w:vAlign w:val="bottom"/>
          </w:tcPr>
          <w:p>
            <w:pPr>
              <w:spacing w:after="0"/>
              <w:rPr>
                <w:sz w:val="24"/>
                <w:szCs w:val="2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20"/>
                <w:szCs w:val="20"/>
                <w:color w:val="auto"/>
                <w:w w:val="95"/>
              </w:rPr>
              <w:t>4.3x</w:t>
            </w:r>
          </w:p>
        </w:tc>
        <w:tc>
          <w:tcPr>
            <w:tcW w:w="0" w:type="dxa"/>
            <w:vAlign w:val="bottom"/>
          </w:tcPr>
          <w:p>
            <w:pPr>
              <w:spacing w:after="0"/>
              <w:rPr>
                <w:sz w:val="1"/>
                <w:szCs w:val="1"/>
                <w:color w:val="auto"/>
              </w:rPr>
            </w:pPr>
          </w:p>
        </w:tc>
      </w:tr>
      <w:tr>
        <w:trPr>
          <w:trHeight w:val="338"/>
        </w:trPr>
        <w:tc>
          <w:tcPr>
            <w:tcW w:w="7520" w:type="dxa"/>
            <w:vAlign w:val="bottom"/>
            <w:gridSpan w:val="3"/>
          </w:tcPr>
          <w:p>
            <w:pPr>
              <w:spacing w:after="0"/>
              <w:rPr>
                <w:sz w:val="20"/>
                <w:szCs w:val="20"/>
                <w:color w:val="auto"/>
              </w:rPr>
            </w:pPr>
            <w:r>
              <w:rPr>
                <w:rFonts w:ascii="Arial" w:cs="Arial" w:eastAsia="Arial" w:hAnsi="Arial"/>
                <w:sz w:val="20"/>
                <w:szCs w:val="20"/>
                <w:color w:val="auto"/>
              </w:rPr>
              <w:t>Matador Resources Co.</w:t>
            </w:r>
          </w:p>
        </w:tc>
        <w:tc>
          <w:tcPr>
            <w:tcW w:w="64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20"/>
                <w:szCs w:val="20"/>
                <w:color w:val="auto"/>
                <w:w w:val="95"/>
              </w:rPr>
              <w:t>5.7x</w:t>
            </w:r>
          </w:p>
        </w:tc>
        <w:tc>
          <w:tcPr>
            <w:tcW w:w="1080" w:type="dxa"/>
            <w:vAlign w:val="bottom"/>
          </w:tcPr>
          <w:p>
            <w:pPr>
              <w:spacing w:after="0"/>
              <w:rPr>
                <w:sz w:val="24"/>
                <w:szCs w:val="2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20"/>
                <w:szCs w:val="20"/>
                <w:color w:val="auto"/>
                <w:w w:val="95"/>
              </w:rPr>
              <w:t>5.1x</w:t>
            </w:r>
          </w:p>
        </w:tc>
        <w:tc>
          <w:tcPr>
            <w:tcW w:w="0" w:type="dxa"/>
            <w:vAlign w:val="bottom"/>
          </w:tcPr>
          <w:p>
            <w:pPr>
              <w:spacing w:after="0"/>
              <w:rPr>
                <w:sz w:val="1"/>
                <w:szCs w:val="1"/>
                <w:color w:val="auto"/>
              </w:rPr>
            </w:pPr>
          </w:p>
        </w:tc>
      </w:tr>
      <w:tr>
        <w:trPr>
          <w:trHeight w:val="338"/>
        </w:trPr>
        <w:tc>
          <w:tcPr>
            <w:tcW w:w="7520" w:type="dxa"/>
            <w:vAlign w:val="bottom"/>
            <w:gridSpan w:val="3"/>
          </w:tcPr>
          <w:p>
            <w:pPr>
              <w:spacing w:after="0"/>
              <w:rPr>
                <w:sz w:val="20"/>
                <w:szCs w:val="20"/>
                <w:color w:val="auto"/>
              </w:rPr>
            </w:pPr>
            <w:r>
              <w:rPr>
                <w:rFonts w:ascii="Arial" w:cs="Arial" w:eastAsia="Arial" w:hAnsi="Arial"/>
                <w:sz w:val="20"/>
                <w:szCs w:val="20"/>
                <w:color w:val="auto"/>
              </w:rPr>
              <w:t>PDC Energy, Inc.</w:t>
            </w:r>
          </w:p>
        </w:tc>
        <w:tc>
          <w:tcPr>
            <w:tcW w:w="64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20"/>
                <w:szCs w:val="20"/>
                <w:color w:val="auto"/>
                <w:w w:val="95"/>
              </w:rPr>
              <w:t>3.7x</w:t>
            </w:r>
          </w:p>
        </w:tc>
        <w:tc>
          <w:tcPr>
            <w:tcW w:w="1080" w:type="dxa"/>
            <w:vAlign w:val="bottom"/>
          </w:tcPr>
          <w:p>
            <w:pPr>
              <w:spacing w:after="0"/>
              <w:rPr>
                <w:sz w:val="24"/>
                <w:szCs w:val="2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20"/>
                <w:szCs w:val="20"/>
                <w:color w:val="auto"/>
                <w:w w:val="95"/>
              </w:rPr>
              <w:t>3.4x</w:t>
            </w:r>
          </w:p>
        </w:tc>
        <w:tc>
          <w:tcPr>
            <w:tcW w:w="0" w:type="dxa"/>
            <w:vAlign w:val="bottom"/>
          </w:tcPr>
          <w:p>
            <w:pPr>
              <w:spacing w:after="0"/>
              <w:rPr>
                <w:sz w:val="1"/>
                <w:szCs w:val="1"/>
                <w:color w:val="auto"/>
              </w:rPr>
            </w:pPr>
          </w:p>
        </w:tc>
      </w:tr>
      <w:tr>
        <w:trPr>
          <w:trHeight w:val="117"/>
        </w:trPr>
        <w:tc>
          <w:tcPr>
            <w:tcW w:w="752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Median</w:t>
            </w:r>
          </w:p>
        </w:tc>
        <w:tc>
          <w:tcPr>
            <w:tcW w:w="6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7520" w:type="dxa"/>
            <w:vAlign w:val="bottom"/>
            <w:gridSpan w:val="3"/>
            <w:vMerge w:val="continue"/>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rPr>
              <w:t>5.0x</w:t>
            </w:r>
          </w:p>
        </w:tc>
        <w:tc>
          <w:tcPr>
            <w:tcW w:w="1080" w:type="dxa"/>
            <w:vAlign w:val="bottom"/>
          </w:tcPr>
          <w:p>
            <w:pPr>
              <w:spacing w:after="0"/>
              <w:rPr>
                <w:sz w:val="22"/>
                <w:szCs w:val="22"/>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20"/>
                <w:szCs w:val="20"/>
                <w:b w:val="1"/>
                <w:bCs w:val="1"/>
                <w:color w:val="auto"/>
              </w:rPr>
              <w:t>4.3x</w:t>
            </w:r>
          </w:p>
        </w:tc>
        <w:tc>
          <w:tcPr>
            <w:tcW w:w="0" w:type="dxa"/>
            <w:vAlign w:val="bottom"/>
          </w:tcPr>
          <w:p>
            <w:pPr>
              <w:spacing w:after="0"/>
              <w:rPr>
                <w:sz w:val="1"/>
                <w:szCs w:val="1"/>
                <w:color w:val="auto"/>
              </w:rPr>
            </w:pPr>
          </w:p>
        </w:tc>
      </w:tr>
      <w:tr>
        <w:trPr>
          <w:trHeight w:val="296"/>
        </w:trPr>
        <w:tc>
          <w:tcPr>
            <w:tcW w:w="7520" w:type="dxa"/>
            <w:vAlign w:val="bottom"/>
            <w:gridSpan w:val="3"/>
          </w:tcPr>
          <w:p>
            <w:pPr>
              <w:spacing w:after="0"/>
              <w:rPr>
                <w:sz w:val="20"/>
                <w:szCs w:val="20"/>
                <w:color w:val="auto"/>
              </w:rPr>
            </w:pPr>
            <w:r>
              <w:rPr>
                <w:rFonts w:ascii="Arial" w:cs="Arial" w:eastAsia="Arial" w:hAnsi="Arial"/>
                <w:sz w:val="20"/>
                <w:szCs w:val="20"/>
                <w:b w:val="1"/>
                <w:bCs w:val="1"/>
                <w:color w:val="auto"/>
              </w:rPr>
              <w:t>Mean</w:t>
            </w:r>
          </w:p>
        </w:tc>
        <w:tc>
          <w:tcPr>
            <w:tcW w:w="64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rPr>
              <w:t>4.8x</w:t>
            </w:r>
          </w:p>
        </w:tc>
        <w:tc>
          <w:tcPr>
            <w:tcW w:w="1080" w:type="dxa"/>
            <w:vAlign w:val="bottom"/>
          </w:tcPr>
          <w:p>
            <w:pPr>
              <w:spacing w:after="0"/>
              <w:rPr>
                <w:sz w:val="24"/>
                <w:szCs w:val="2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20"/>
                <w:szCs w:val="20"/>
                <w:b w:val="1"/>
                <w:bCs w:val="1"/>
                <w:color w:val="auto"/>
              </w:rPr>
              <w:t>4.3x</w:t>
            </w:r>
          </w:p>
        </w:tc>
        <w:tc>
          <w:tcPr>
            <w:tcW w:w="0" w:type="dxa"/>
            <w:vAlign w:val="bottom"/>
          </w:tcPr>
          <w:p>
            <w:pPr>
              <w:spacing w:after="0"/>
              <w:rPr>
                <w:sz w:val="1"/>
                <w:szCs w:val="1"/>
                <w:color w:val="auto"/>
              </w:rPr>
            </w:pPr>
          </w:p>
        </w:tc>
      </w:tr>
      <w:tr>
        <w:trPr>
          <w:trHeight w:val="630"/>
        </w:trPr>
        <w:tc>
          <w:tcPr>
            <w:tcW w:w="7520" w:type="dxa"/>
            <w:vAlign w:val="bottom"/>
            <w:gridSpan w:val="3"/>
          </w:tcPr>
          <w:p>
            <w:pPr>
              <w:spacing w:after="0"/>
              <w:rPr>
                <w:sz w:val="20"/>
                <w:szCs w:val="20"/>
                <w:color w:val="auto"/>
              </w:rPr>
            </w:pPr>
            <w:r>
              <w:rPr>
                <w:rFonts w:ascii="Arial" w:cs="Arial" w:eastAsia="Arial" w:hAnsi="Arial"/>
                <w:sz w:val="20"/>
                <w:szCs w:val="20"/>
                <w:color w:val="auto"/>
              </w:rPr>
              <w:t>Selected Small Cap Companies</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80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Callon Petroleum Company</w:t>
            </w:r>
          </w:p>
        </w:tc>
        <w:tc>
          <w:tcPr>
            <w:tcW w:w="4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20"/>
                <w:szCs w:val="20"/>
                <w:color w:val="auto"/>
                <w:w w:val="95"/>
              </w:rPr>
              <w:t>4.6x</w:t>
            </w:r>
          </w:p>
        </w:tc>
        <w:tc>
          <w:tcPr>
            <w:tcW w:w="1080" w:type="dxa"/>
            <w:vAlign w:val="bottom"/>
          </w:tcPr>
          <w:p>
            <w:pPr>
              <w:spacing w:after="0"/>
              <w:rPr>
                <w:sz w:val="24"/>
                <w:szCs w:val="2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20"/>
                <w:szCs w:val="20"/>
                <w:color w:val="auto"/>
                <w:w w:val="95"/>
              </w:rPr>
              <w:t>4.1x</w:t>
            </w:r>
          </w:p>
        </w:tc>
        <w:tc>
          <w:tcPr>
            <w:tcW w:w="0" w:type="dxa"/>
            <w:vAlign w:val="bottom"/>
          </w:tcPr>
          <w:p>
            <w:pPr>
              <w:spacing w:after="0"/>
              <w:rPr>
                <w:sz w:val="1"/>
                <w:szCs w:val="1"/>
                <w:color w:val="auto"/>
              </w:rPr>
            </w:pPr>
          </w:p>
        </w:tc>
      </w:tr>
      <w:tr>
        <w:trPr>
          <w:trHeight w:val="338"/>
        </w:trPr>
        <w:tc>
          <w:tcPr>
            <w:tcW w:w="7520" w:type="dxa"/>
            <w:vAlign w:val="bottom"/>
            <w:gridSpan w:val="3"/>
          </w:tcPr>
          <w:p>
            <w:pPr>
              <w:spacing w:after="0"/>
              <w:rPr>
                <w:sz w:val="20"/>
                <w:szCs w:val="20"/>
                <w:color w:val="auto"/>
              </w:rPr>
            </w:pPr>
            <w:r>
              <w:rPr>
                <w:rFonts w:ascii="Arial" w:cs="Arial" w:eastAsia="Arial" w:hAnsi="Arial"/>
                <w:sz w:val="20"/>
                <w:szCs w:val="20"/>
                <w:color w:val="auto"/>
              </w:rPr>
              <w:t>Centennial Resource Development, Inc.</w:t>
            </w:r>
          </w:p>
        </w:tc>
        <w:tc>
          <w:tcPr>
            <w:tcW w:w="64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20"/>
                <w:szCs w:val="20"/>
                <w:color w:val="auto"/>
                <w:w w:val="95"/>
              </w:rPr>
              <w:t>4.2x</w:t>
            </w:r>
          </w:p>
        </w:tc>
        <w:tc>
          <w:tcPr>
            <w:tcW w:w="1080" w:type="dxa"/>
            <w:vAlign w:val="bottom"/>
          </w:tcPr>
          <w:p>
            <w:pPr>
              <w:spacing w:after="0"/>
              <w:rPr>
                <w:sz w:val="24"/>
                <w:szCs w:val="2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20"/>
                <w:szCs w:val="20"/>
                <w:color w:val="auto"/>
                <w:w w:val="95"/>
              </w:rPr>
              <w:t>3.8x</w:t>
            </w:r>
          </w:p>
        </w:tc>
        <w:tc>
          <w:tcPr>
            <w:tcW w:w="0" w:type="dxa"/>
            <w:vAlign w:val="bottom"/>
          </w:tcPr>
          <w:p>
            <w:pPr>
              <w:spacing w:after="0"/>
              <w:rPr>
                <w:sz w:val="1"/>
                <w:szCs w:val="1"/>
                <w:color w:val="auto"/>
              </w:rPr>
            </w:pPr>
          </w:p>
        </w:tc>
      </w:tr>
      <w:tr>
        <w:trPr>
          <w:trHeight w:val="338"/>
        </w:trPr>
        <w:tc>
          <w:tcPr>
            <w:tcW w:w="7520" w:type="dxa"/>
            <w:vAlign w:val="bottom"/>
            <w:gridSpan w:val="3"/>
          </w:tcPr>
          <w:p>
            <w:pPr>
              <w:spacing w:after="0"/>
              <w:rPr>
                <w:sz w:val="20"/>
                <w:szCs w:val="20"/>
                <w:color w:val="auto"/>
              </w:rPr>
            </w:pPr>
            <w:r>
              <w:rPr>
                <w:rFonts w:ascii="Arial" w:cs="Arial" w:eastAsia="Arial" w:hAnsi="Arial"/>
                <w:sz w:val="20"/>
                <w:szCs w:val="20"/>
                <w:color w:val="auto"/>
              </w:rPr>
              <w:t>SM Energy Company</w:t>
            </w:r>
          </w:p>
        </w:tc>
        <w:tc>
          <w:tcPr>
            <w:tcW w:w="64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20"/>
                <w:szCs w:val="20"/>
                <w:color w:val="auto"/>
                <w:w w:val="95"/>
              </w:rPr>
              <w:t>3.4x</w:t>
            </w:r>
          </w:p>
        </w:tc>
        <w:tc>
          <w:tcPr>
            <w:tcW w:w="1080" w:type="dxa"/>
            <w:vAlign w:val="bottom"/>
          </w:tcPr>
          <w:p>
            <w:pPr>
              <w:spacing w:after="0"/>
              <w:rPr>
                <w:sz w:val="24"/>
                <w:szCs w:val="2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20"/>
                <w:szCs w:val="20"/>
                <w:color w:val="auto"/>
                <w:w w:val="95"/>
              </w:rPr>
              <w:t>2.8x</w:t>
            </w:r>
          </w:p>
        </w:tc>
        <w:tc>
          <w:tcPr>
            <w:tcW w:w="0" w:type="dxa"/>
            <w:vAlign w:val="bottom"/>
          </w:tcPr>
          <w:p>
            <w:pPr>
              <w:spacing w:after="0"/>
              <w:rPr>
                <w:sz w:val="1"/>
                <w:szCs w:val="1"/>
                <w:color w:val="auto"/>
              </w:rPr>
            </w:pPr>
          </w:p>
        </w:tc>
      </w:tr>
      <w:tr>
        <w:trPr>
          <w:trHeight w:val="118"/>
        </w:trPr>
        <w:tc>
          <w:tcPr>
            <w:tcW w:w="752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Median</w:t>
            </w:r>
          </w:p>
        </w:tc>
        <w:tc>
          <w:tcPr>
            <w:tcW w:w="6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7520" w:type="dxa"/>
            <w:vAlign w:val="bottom"/>
            <w:gridSpan w:val="3"/>
            <w:vMerge w:val="continue"/>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rPr>
              <w:t>4.2x</w:t>
            </w:r>
          </w:p>
        </w:tc>
        <w:tc>
          <w:tcPr>
            <w:tcW w:w="1080" w:type="dxa"/>
            <w:vAlign w:val="bottom"/>
          </w:tcPr>
          <w:p>
            <w:pPr>
              <w:spacing w:after="0"/>
              <w:rPr>
                <w:sz w:val="22"/>
                <w:szCs w:val="22"/>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20"/>
                <w:szCs w:val="20"/>
                <w:b w:val="1"/>
                <w:bCs w:val="1"/>
                <w:color w:val="auto"/>
              </w:rPr>
              <w:t>3.8x</w:t>
            </w:r>
          </w:p>
        </w:tc>
        <w:tc>
          <w:tcPr>
            <w:tcW w:w="0" w:type="dxa"/>
            <w:vAlign w:val="bottom"/>
          </w:tcPr>
          <w:p>
            <w:pPr>
              <w:spacing w:after="0"/>
              <w:rPr>
                <w:sz w:val="1"/>
                <w:szCs w:val="1"/>
                <w:color w:val="auto"/>
              </w:rPr>
            </w:pPr>
          </w:p>
        </w:tc>
      </w:tr>
      <w:tr>
        <w:trPr>
          <w:trHeight w:val="296"/>
        </w:trPr>
        <w:tc>
          <w:tcPr>
            <w:tcW w:w="7520" w:type="dxa"/>
            <w:vAlign w:val="bottom"/>
            <w:gridSpan w:val="3"/>
          </w:tcPr>
          <w:p>
            <w:pPr>
              <w:spacing w:after="0"/>
              <w:rPr>
                <w:sz w:val="20"/>
                <w:szCs w:val="20"/>
                <w:color w:val="auto"/>
              </w:rPr>
            </w:pPr>
            <w:r>
              <w:rPr>
                <w:rFonts w:ascii="Arial" w:cs="Arial" w:eastAsia="Arial" w:hAnsi="Arial"/>
                <w:sz w:val="20"/>
                <w:szCs w:val="20"/>
                <w:b w:val="1"/>
                <w:bCs w:val="1"/>
                <w:color w:val="auto"/>
              </w:rPr>
              <w:t>Mean</w:t>
            </w:r>
          </w:p>
        </w:tc>
        <w:tc>
          <w:tcPr>
            <w:tcW w:w="64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rPr>
              <w:t>4.1x</w:t>
            </w:r>
          </w:p>
        </w:tc>
        <w:tc>
          <w:tcPr>
            <w:tcW w:w="1080" w:type="dxa"/>
            <w:vAlign w:val="bottom"/>
          </w:tcPr>
          <w:p>
            <w:pPr>
              <w:spacing w:after="0"/>
              <w:rPr>
                <w:sz w:val="24"/>
                <w:szCs w:val="2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20"/>
                <w:szCs w:val="20"/>
                <w:b w:val="1"/>
                <w:bCs w:val="1"/>
                <w:color w:val="auto"/>
              </w:rPr>
              <w:t>3.6x</w:t>
            </w:r>
          </w:p>
        </w:tc>
        <w:tc>
          <w:tcPr>
            <w:tcW w:w="0" w:type="dxa"/>
            <w:vAlign w:val="bottom"/>
          </w:tcPr>
          <w:p>
            <w:pPr>
              <w:spacing w:after="0"/>
              <w:rPr>
                <w:sz w:val="1"/>
                <w:szCs w:val="1"/>
                <w:color w:val="auto"/>
              </w:rPr>
            </w:pPr>
          </w:p>
        </w:tc>
      </w:tr>
      <w:tr>
        <w:trPr>
          <w:trHeight w:val="675"/>
        </w:trPr>
        <w:tc>
          <w:tcPr>
            <w:tcW w:w="7520" w:type="dxa"/>
            <w:vAlign w:val="bottom"/>
            <w:gridSpan w:val="3"/>
          </w:tcPr>
          <w:p>
            <w:pPr>
              <w:spacing w:after="0"/>
              <w:rPr>
                <w:sz w:val="20"/>
                <w:szCs w:val="20"/>
                <w:color w:val="auto"/>
              </w:rPr>
            </w:pPr>
            <w:r>
              <w:rPr>
                <w:rFonts w:ascii="Arial" w:cs="Arial" w:eastAsia="Arial" w:hAnsi="Arial"/>
                <w:sz w:val="20"/>
                <w:szCs w:val="20"/>
                <w:color w:val="auto"/>
              </w:rPr>
              <w:t>QEP - Analyst Estimates</w:t>
            </w:r>
          </w:p>
        </w:tc>
        <w:tc>
          <w:tcPr>
            <w:tcW w:w="64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20"/>
                <w:szCs w:val="20"/>
                <w:color w:val="auto"/>
                <w:w w:val="95"/>
              </w:rPr>
              <w:t>4.2x</w:t>
            </w:r>
          </w:p>
        </w:tc>
        <w:tc>
          <w:tcPr>
            <w:tcW w:w="1080" w:type="dxa"/>
            <w:vAlign w:val="bottom"/>
          </w:tcPr>
          <w:p>
            <w:pPr>
              <w:spacing w:after="0"/>
              <w:rPr>
                <w:sz w:val="24"/>
                <w:szCs w:val="2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20"/>
                <w:szCs w:val="20"/>
                <w:color w:val="auto"/>
                <w:w w:val="95"/>
              </w:rPr>
              <w:t>3.6x</w:t>
            </w:r>
          </w:p>
        </w:tc>
        <w:tc>
          <w:tcPr>
            <w:tcW w:w="0" w:type="dxa"/>
            <w:vAlign w:val="bottom"/>
          </w:tcPr>
          <w:p>
            <w:pPr>
              <w:spacing w:after="0"/>
              <w:rPr>
                <w:sz w:val="1"/>
                <w:szCs w:val="1"/>
                <w:color w:val="auto"/>
              </w:rPr>
            </w:pPr>
          </w:p>
        </w:tc>
      </w:tr>
      <w:tr>
        <w:trPr>
          <w:trHeight w:val="338"/>
        </w:trPr>
        <w:tc>
          <w:tcPr>
            <w:tcW w:w="7520" w:type="dxa"/>
            <w:vAlign w:val="bottom"/>
            <w:gridSpan w:val="3"/>
          </w:tcPr>
          <w:p>
            <w:pPr>
              <w:spacing w:after="0"/>
              <w:rPr>
                <w:sz w:val="20"/>
                <w:szCs w:val="20"/>
                <w:color w:val="auto"/>
              </w:rPr>
            </w:pPr>
            <w:r>
              <w:rPr>
                <w:rFonts w:ascii="Arial" w:cs="Arial" w:eastAsia="Arial" w:hAnsi="Arial"/>
                <w:sz w:val="20"/>
                <w:szCs w:val="20"/>
                <w:color w:val="auto"/>
              </w:rPr>
              <w:t>QEP- Forecasts</w:t>
            </w:r>
          </w:p>
        </w:tc>
        <w:tc>
          <w:tcPr>
            <w:tcW w:w="64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20"/>
                <w:szCs w:val="20"/>
                <w:color w:val="auto"/>
                <w:w w:val="95"/>
              </w:rPr>
              <w:t>4.0x</w:t>
            </w:r>
          </w:p>
        </w:tc>
        <w:tc>
          <w:tcPr>
            <w:tcW w:w="1080" w:type="dxa"/>
            <w:vAlign w:val="bottom"/>
          </w:tcPr>
          <w:p>
            <w:pPr>
              <w:spacing w:after="0"/>
              <w:rPr>
                <w:sz w:val="24"/>
                <w:szCs w:val="2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20"/>
                <w:szCs w:val="20"/>
                <w:color w:val="auto"/>
                <w:w w:val="95"/>
              </w:rPr>
              <w:t>3.2x</w:t>
            </w:r>
          </w:p>
        </w:tc>
        <w:tc>
          <w:tcPr>
            <w:tcW w:w="0" w:type="dxa"/>
            <w:vAlign w:val="bottom"/>
          </w:tcPr>
          <w:p>
            <w:pPr>
              <w:spacing w:after="0"/>
              <w:rPr>
                <w:sz w:val="1"/>
                <w:szCs w:val="1"/>
                <w:color w:val="auto"/>
              </w:rPr>
            </w:pPr>
          </w:p>
        </w:tc>
      </w:tr>
      <w:tr>
        <w:trPr>
          <w:trHeight w:val="118"/>
        </w:trPr>
        <w:tc>
          <w:tcPr>
            <w:tcW w:w="752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"Reference Range" Selected By Evercore</w:t>
            </w:r>
          </w:p>
        </w:tc>
        <w:tc>
          <w:tcPr>
            <w:tcW w:w="6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7520" w:type="dxa"/>
            <w:vAlign w:val="bottom"/>
            <w:gridSpan w:val="3"/>
            <w:vMerge w:val="continue"/>
          </w:tcPr>
          <w:p>
            <w:pPr>
              <w:spacing w:after="0"/>
              <w:rPr>
                <w:sz w:val="22"/>
                <w:szCs w:val="22"/>
                <w:color w:val="auto"/>
              </w:rPr>
            </w:pPr>
          </w:p>
        </w:tc>
        <w:tc>
          <w:tcPr>
            <w:tcW w:w="1420" w:type="dxa"/>
            <w:vAlign w:val="bottom"/>
            <w:gridSpan w:val="3"/>
          </w:tcPr>
          <w:p>
            <w:pPr>
              <w:jc w:val="center"/>
              <w:ind w:left="321"/>
              <w:spacing w:after="0"/>
              <w:rPr>
                <w:sz w:val="20"/>
                <w:szCs w:val="20"/>
                <w:color w:val="auto"/>
              </w:rPr>
            </w:pPr>
            <w:r>
              <w:rPr>
                <w:rFonts w:ascii="Arial" w:cs="Arial" w:eastAsia="Arial" w:hAnsi="Arial"/>
                <w:sz w:val="20"/>
                <w:szCs w:val="20"/>
                <w:b w:val="1"/>
                <w:bCs w:val="1"/>
                <w:color w:val="auto"/>
              </w:rPr>
              <w:t>3.5x - 4.5x</w:t>
            </w:r>
          </w:p>
        </w:tc>
        <w:tc>
          <w:tcPr>
            <w:tcW w:w="2300" w:type="dxa"/>
            <w:vAlign w:val="bottom"/>
            <w:gridSpan w:val="3"/>
          </w:tcPr>
          <w:p>
            <w:pPr>
              <w:jc w:val="center"/>
              <w:ind w:left="321"/>
              <w:spacing w:after="0"/>
              <w:rPr>
                <w:sz w:val="20"/>
                <w:szCs w:val="20"/>
                <w:color w:val="auto"/>
              </w:rPr>
            </w:pPr>
            <w:r>
              <w:rPr>
                <w:rFonts w:ascii="Arial" w:cs="Arial" w:eastAsia="Arial" w:hAnsi="Arial"/>
                <w:sz w:val="20"/>
                <w:szCs w:val="20"/>
                <w:b w:val="1"/>
                <w:bCs w:val="1"/>
                <w:color w:val="auto"/>
              </w:rPr>
              <w:t>3.0x - 4.0x</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Source: QEP’s Definitive Proxy Statement, dated 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w:t>
      </w:r>
    </w:p>
    <w:p>
      <w:pPr>
        <w:spacing w:after="0" w:line="43" w:lineRule="exact"/>
        <w:rPr>
          <w:sz w:val="20"/>
          <w:szCs w:val="20"/>
          <w:color w:val="auto"/>
        </w:rPr>
      </w:pPr>
    </w:p>
    <w:p>
      <w:pPr>
        <w:spacing w:after="0"/>
        <w:rPr>
          <w:sz w:val="20"/>
          <w:szCs w:val="20"/>
          <w:color w:val="auto"/>
        </w:rPr>
      </w:pPr>
      <w:r>
        <w:rPr>
          <w:rFonts w:ascii="Arial" w:cs="Arial" w:eastAsia="Arial" w:hAnsi="Arial"/>
          <w:sz w:val="32"/>
          <w:szCs w:val="32"/>
          <w:color w:val="auto"/>
          <w:vertAlign w:val="superscript"/>
        </w:rPr>
        <w:t>5</w:t>
      </w:r>
      <w:r>
        <w:rPr>
          <w:rFonts w:ascii="Arial" w:cs="Arial" w:eastAsia="Arial" w:hAnsi="Arial"/>
          <w:sz w:val="16"/>
          <w:szCs w:val="16"/>
          <w:color w:val="auto"/>
        </w:rPr>
        <w:t xml:space="preserve"> QEP’s Definitive Proxy Statement, dated 2/10/2021, https://www.sec.gov/Archives/edgar/data/0001108827/000119312521036492/d16880ddefm14a.htm</w:t>
      </w:r>
    </w:p>
    <w:p>
      <w:pPr>
        <w:spacing w:after="0" w:line="115" w:lineRule="exact"/>
        <w:rPr>
          <w:sz w:val="20"/>
          <w:szCs w:val="20"/>
          <w:color w:val="auto"/>
        </w:rPr>
      </w:pPr>
    </w:p>
    <w:p>
      <w:pPr>
        <w:ind w:right="220"/>
        <w:spacing w:after="0" w:line="232" w:lineRule="auto"/>
        <w:rPr>
          <w:sz w:val="20"/>
          <w:szCs w:val="20"/>
          <w:color w:val="auto"/>
        </w:rPr>
      </w:pPr>
      <w:r>
        <w:rPr>
          <w:rFonts w:ascii="Arial" w:cs="Arial" w:eastAsia="Arial" w:hAnsi="Arial"/>
          <w:sz w:val="20"/>
          <w:szCs w:val="20"/>
          <w:color w:val="auto"/>
        </w:rPr>
        <w:t>If one were to recalculate current TEV / EBITDAX valuation metrics today for the comparable companies curated by Evercore, utilizing current TEV figures and consensus estimates of EBITDAX available on Bloomberg and Refinitiv, the results would suggest a standalone share price range for QEP of $5.74 to $6.34.</w:t>
      </w:r>
    </w:p>
    <w:p>
      <w:pPr>
        <w:sectPr>
          <w:pgSz w:w="11900" w:h="16838" w:orient="portrait"/>
          <w:cols w:equalWidth="0" w:num="1">
            <w:col w:w="11240"/>
          </w:cols>
          <w:pgMar w:left="320" w:top="68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61"/>
        </w:trPr>
        <w:tc>
          <w:tcPr>
            <w:tcW w:w="8740" w:type="dxa"/>
            <w:vAlign w:val="bottom"/>
            <w:gridSpan w:val="3"/>
          </w:tcPr>
          <w:p>
            <w:pPr>
              <w:spacing w:after="0"/>
              <w:rPr>
                <w:sz w:val="20"/>
                <w:szCs w:val="20"/>
                <w:color w:val="auto"/>
              </w:rPr>
            </w:pPr>
            <w:r>
              <w:rPr>
                <w:rFonts w:ascii="Arial" w:cs="Arial" w:eastAsia="Arial" w:hAnsi="Arial"/>
                <w:sz w:val="20"/>
                <w:szCs w:val="20"/>
                <w:b w:val="1"/>
                <w:bCs w:val="1"/>
                <w:color w:val="auto"/>
              </w:rPr>
              <w:t>Table 3: Updated Public Company Trading Analysis</w:t>
            </w: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2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9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8740" w:type="dxa"/>
            <w:vAlign w:val="bottom"/>
            <w:gridSpan w:val="3"/>
          </w:tcPr>
          <w:p>
            <w:pPr>
              <w:spacing w:after="0"/>
              <w:rPr>
                <w:sz w:val="20"/>
                <w:szCs w:val="20"/>
                <w:color w:val="auto"/>
              </w:rPr>
            </w:pPr>
            <w:r>
              <w:rPr>
                <w:rFonts w:ascii="Arial" w:cs="Arial" w:eastAsia="Arial" w:hAnsi="Arial"/>
                <w:sz w:val="20"/>
                <w:szCs w:val="20"/>
                <w:color w:val="auto"/>
              </w:rPr>
              <w:t>Consensus March 5, 2021</w:t>
            </w:r>
          </w:p>
        </w:tc>
        <w:tc>
          <w:tcPr>
            <w:tcW w:w="2500" w:type="dxa"/>
            <w:vAlign w:val="bottom"/>
            <w:gridSpan w:val="6"/>
          </w:tcPr>
          <w:p>
            <w:pPr>
              <w:jc w:val="center"/>
              <w:ind w:right="60"/>
              <w:spacing w:after="0"/>
              <w:rPr>
                <w:sz w:val="20"/>
                <w:szCs w:val="20"/>
                <w:color w:val="auto"/>
              </w:rPr>
            </w:pPr>
            <w:r>
              <w:rPr>
                <w:rFonts w:ascii="Arial" w:cs="Arial" w:eastAsia="Arial" w:hAnsi="Arial"/>
                <w:sz w:val="20"/>
                <w:szCs w:val="20"/>
                <w:color w:val="auto"/>
                <w:w w:val="98"/>
              </w:rPr>
              <w:t>Enterprise Value /</w:t>
            </w: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gridSpan w:val="2"/>
          </w:tcPr>
          <w:p>
            <w:pPr>
              <w:jc w:val="center"/>
              <w:ind w:left="281"/>
              <w:spacing w:after="0"/>
              <w:rPr>
                <w:sz w:val="20"/>
                <w:szCs w:val="20"/>
                <w:color w:val="auto"/>
              </w:rPr>
            </w:pPr>
            <w:r>
              <w:rPr>
                <w:rFonts w:ascii="Arial" w:cs="Arial" w:eastAsia="Arial" w:hAnsi="Arial"/>
                <w:sz w:val="20"/>
                <w:szCs w:val="20"/>
                <w:color w:val="auto"/>
              </w:rPr>
              <w:t>EBITDAX</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7"/>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20"/>
                <w:szCs w:val="20"/>
                <w:color w:val="auto"/>
              </w:rPr>
              <w:t>2021E</w:t>
            </w:r>
          </w:p>
        </w:tc>
        <w:tc>
          <w:tcPr>
            <w:tcW w:w="820" w:type="dxa"/>
            <w:vAlign w:val="bottom"/>
            <w:gridSpan w:val="3"/>
          </w:tcPr>
          <w:p>
            <w:pPr>
              <w:jc w:val="center"/>
              <w:ind w:right="220"/>
              <w:spacing w:after="0"/>
              <w:rPr>
                <w:sz w:val="20"/>
                <w:szCs w:val="20"/>
                <w:color w:val="auto"/>
              </w:rPr>
            </w:pPr>
            <w:r>
              <w:rPr>
                <w:rFonts w:ascii="Arial" w:cs="Arial" w:eastAsia="Arial" w:hAnsi="Arial"/>
                <w:sz w:val="20"/>
                <w:szCs w:val="20"/>
                <w:color w:val="auto"/>
                <w:w w:val="96"/>
              </w:rPr>
              <w:t>2022E</w:t>
            </w:r>
          </w:p>
        </w:tc>
        <w:tc>
          <w:tcPr>
            <w:tcW w:w="0" w:type="dxa"/>
            <w:vAlign w:val="bottom"/>
          </w:tcPr>
          <w:p>
            <w:pPr>
              <w:spacing w:after="0"/>
              <w:rPr>
                <w:sz w:val="1"/>
                <w:szCs w:val="1"/>
                <w:color w:val="auto"/>
              </w:rPr>
            </w:pPr>
          </w:p>
        </w:tc>
      </w:tr>
      <w:tr>
        <w:trPr>
          <w:trHeight w:val="318"/>
        </w:trPr>
        <w:tc>
          <w:tcPr>
            <w:tcW w:w="8740" w:type="dxa"/>
            <w:vAlign w:val="bottom"/>
            <w:gridSpan w:val="3"/>
          </w:tcPr>
          <w:p>
            <w:pPr>
              <w:spacing w:after="0"/>
              <w:rPr>
                <w:sz w:val="20"/>
                <w:szCs w:val="20"/>
                <w:color w:val="auto"/>
              </w:rPr>
            </w:pPr>
            <w:r>
              <w:rPr>
                <w:rFonts w:ascii="Arial" w:cs="Arial" w:eastAsia="Arial" w:hAnsi="Arial"/>
                <w:sz w:val="20"/>
                <w:szCs w:val="20"/>
                <w:color w:val="auto"/>
              </w:rPr>
              <w:t>Selected Mid Cap Companies</w:t>
            </w:r>
          </w:p>
        </w:tc>
        <w:tc>
          <w:tcPr>
            <w:tcW w:w="4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6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Cimarex Energy Co.</w:t>
            </w:r>
          </w:p>
        </w:tc>
        <w:tc>
          <w:tcPr>
            <w:tcW w:w="612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20"/>
                <w:szCs w:val="20"/>
                <w:color w:val="auto"/>
              </w:rPr>
              <w:t>6.3x</w:t>
            </w:r>
          </w:p>
        </w:tc>
        <w:tc>
          <w:tcPr>
            <w:tcW w:w="2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5.7x</w:t>
            </w:r>
          </w:p>
        </w:tc>
        <w:tc>
          <w:tcPr>
            <w:tcW w:w="0" w:type="dxa"/>
            <w:vAlign w:val="bottom"/>
          </w:tcPr>
          <w:p>
            <w:pPr>
              <w:spacing w:after="0"/>
              <w:rPr>
                <w:sz w:val="1"/>
                <w:szCs w:val="1"/>
                <w:color w:val="auto"/>
              </w:rPr>
            </w:pPr>
          </w:p>
        </w:tc>
      </w:tr>
      <w:tr>
        <w:trPr>
          <w:trHeight w:val="338"/>
        </w:trPr>
        <w:tc>
          <w:tcPr>
            <w:tcW w:w="8740" w:type="dxa"/>
            <w:vAlign w:val="bottom"/>
            <w:gridSpan w:val="3"/>
          </w:tcPr>
          <w:p>
            <w:pPr>
              <w:spacing w:after="0"/>
              <w:rPr>
                <w:sz w:val="20"/>
                <w:szCs w:val="20"/>
                <w:color w:val="auto"/>
              </w:rPr>
            </w:pPr>
            <w:r>
              <w:rPr>
                <w:rFonts w:ascii="Arial" w:cs="Arial" w:eastAsia="Arial" w:hAnsi="Arial"/>
                <w:sz w:val="20"/>
                <w:szCs w:val="20"/>
                <w:color w:val="auto"/>
              </w:rPr>
              <w:t>Matador Resources Co.</w:t>
            </w:r>
          </w:p>
        </w:tc>
        <w:tc>
          <w:tcPr>
            <w:tcW w:w="440" w:type="dxa"/>
            <w:vAlign w:val="bottom"/>
          </w:tcPr>
          <w:p>
            <w:pPr>
              <w:spacing w:after="0"/>
              <w:rPr>
                <w:sz w:val="24"/>
                <w:szCs w:val="2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20"/>
                <w:szCs w:val="20"/>
                <w:color w:val="auto"/>
              </w:rPr>
              <w:t>7.0x</w:t>
            </w:r>
          </w:p>
        </w:tc>
        <w:tc>
          <w:tcPr>
            <w:tcW w:w="2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6.1x</w:t>
            </w:r>
          </w:p>
        </w:tc>
        <w:tc>
          <w:tcPr>
            <w:tcW w:w="0" w:type="dxa"/>
            <w:vAlign w:val="bottom"/>
          </w:tcPr>
          <w:p>
            <w:pPr>
              <w:spacing w:after="0"/>
              <w:rPr>
                <w:sz w:val="1"/>
                <w:szCs w:val="1"/>
                <w:color w:val="auto"/>
              </w:rPr>
            </w:pPr>
          </w:p>
        </w:tc>
      </w:tr>
      <w:tr>
        <w:trPr>
          <w:trHeight w:val="338"/>
        </w:trPr>
        <w:tc>
          <w:tcPr>
            <w:tcW w:w="8740" w:type="dxa"/>
            <w:vAlign w:val="bottom"/>
            <w:gridSpan w:val="3"/>
          </w:tcPr>
          <w:p>
            <w:pPr>
              <w:spacing w:after="0"/>
              <w:rPr>
                <w:sz w:val="20"/>
                <w:szCs w:val="20"/>
                <w:color w:val="auto"/>
              </w:rPr>
            </w:pPr>
            <w:r>
              <w:rPr>
                <w:rFonts w:ascii="Arial" w:cs="Arial" w:eastAsia="Arial" w:hAnsi="Arial"/>
                <w:sz w:val="20"/>
                <w:szCs w:val="20"/>
                <w:color w:val="auto"/>
              </w:rPr>
              <w:t>PDC Energy, Inc.</w:t>
            </w:r>
          </w:p>
        </w:tc>
        <w:tc>
          <w:tcPr>
            <w:tcW w:w="440" w:type="dxa"/>
            <w:vAlign w:val="bottom"/>
          </w:tcPr>
          <w:p>
            <w:pPr>
              <w:spacing w:after="0"/>
              <w:rPr>
                <w:sz w:val="24"/>
                <w:szCs w:val="2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20"/>
                <w:szCs w:val="20"/>
                <w:color w:val="auto"/>
              </w:rPr>
              <w:t>4.9x</w:t>
            </w:r>
          </w:p>
        </w:tc>
        <w:tc>
          <w:tcPr>
            <w:tcW w:w="2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4.6x</w:t>
            </w:r>
          </w:p>
        </w:tc>
        <w:tc>
          <w:tcPr>
            <w:tcW w:w="0" w:type="dxa"/>
            <w:vAlign w:val="bottom"/>
          </w:tcPr>
          <w:p>
            <w:pPr>
              <w:spacing w:after="0"/>
              <w:rPr>
                <w:sz w:val="1"/>
                <w:szCs w:val="1"/>
                <w:color w:val="auto"/>
              </w:rPr>
            </w:pPr>
          </w:p>
        </w:tc>
      </w:tr>
      <w:tr>
        <w:trPr>
          <w:trHeight w:val="118"/>
        </w:trPr>
        <w:tc>
          <w:tcPr>
            <w:tcW w:w="8740" w:type="dxa"/>
            <w:vAlign w:val="bottom"/>
            <w:gridSpan w:val="3"/>
            <w:vMerge w:val="restart"/>
          </w:tcPr>
          <w:p>
            <w:pPr>
              <w:spacing w:after="0"/>
              <w:rPr>
                <w:sz w:val="20"/>
                <w:szCs w:val="20"/>
                <w:color w:val="auto"/>
              </w:rPr>
            </w:pPr>
            <w:r>
              <w:rPr>
                <w:rFonts w:ascii="Arial" w:cs="Arial" w:eastAsia="Arial" w:hAnsi="Arial"/>
                <w:sz w:val="20"/>
                <w:szCs w:val="20"/>
                <w:color w:val="auto"/>
              </w:rPr>
              <w:t>Median</w:t>
            </w:r>
          </w:p>
        </w:tc>
        <w:tc>
          <w:tcPr>
            <w:tcW w:w="4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8740" w:type="dxa"/>
            <w:vAlign w:val="bottom"/>
            <w:gridSpan w:val="3"/>
            <w:vMerge w:val="continue"/>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20"/>
                <w:szCs w:val="20"/>
                <w:b w:val="1"/>
                <w:bCs w:val="1"/>
                <w:color w:val="auto"/>
                <w:w w:val="97"/>
              </w:rPr>
              <w:t>6.3x</w:t>
            </w:r>
          </w:p>
        </w:tc>
        <w:tc>
          <w:tcPr>
            <w:tcW w:w="20" w:type="dxa"/>
            <w:vAlign w:val="bottom"/>
          </w:tcPr>
          <w:p>
            <w:pPr>
              <w:spacing w:after="0"/>
              <w:rPr>
                <w:sz w:val="22"/>
                <w:szCs w:val="2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rPr>
              <w:t>5.7x</w:t>
            </w:r>
          </w:p>
        </w:tc>
        <w:tc>
          <w:tcPr>
            <w:tcW w:w="0" w:type="dxa"/>
            <w:vAlign w:val="bottom"/>
          </w:tcPr>
          <w:p>
            <w:pPr>
              <w:spacing w:after="0"/>
              <w:rPr>
                <w:sz w:val="1"/>
                <w:szCs w:val="1"/>
                <w:color w:val="auto"/>
              </w:rPr>
            </w:pPr>
          </w:p>
        </w:tc>
      </w:tr>
      <w:tr>
        <w:trPr>
          <w:trHeight w:val="296"/>
        </w:trPr>
        <w:tc>
          <w:tcPr>
            <w:tcW w:w="8740" w:type="dxa"/>
            <w:vAlign w:val="bottom"/>
            <w:gridSpan w:val="3"/>
          </w:tcPr>
          <w:p>
            <w:pPr>
              <w:spacing w:after="0"/>
              <w:rPr>
                <w:sz w:val="20"/>
                <w:szCs w:val="20"/>
                <w:color w:val="auto"/>
              </w:rPr>
            </w:pPr>
            <w:r>
              <w:rPr>
                <w:rFonts w:ascii="Arial" w:cs="Arial" w:eastAsia="Arial" w:hAnsi="Arial"/>
                <w:sz w:val="20"/>
                <w:szCs w:val="20"/>
                <w:b w:val="1"/>
                <w:bCs w:val="1"/>
                <w:color w:val="auto"/>
              </w:rPr>
              <w:t>Mean</w:t>
            </w:r>
          </w:p>
        </w:tc>
        <w:tc>
          <w:tcPr>
            <w:tcW w:w="440" w:type="dxa"/>
            <w:vAlign w:val="bottom"/>
          </w:tcPr>
          <w:p>
            <w:pPr>
              <w:spacing w:after="0"/>
              <w:rPr>
                <w:sz w:val="24"/>
                <w:szCs w:val="2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20"/>
                <w:szCs w:val="20"/>
                <w:b w:val="1"/>
                <w:bCs w:val="1"/>
                <w:color w:val="auto"/>
                <w:w w:val="97"/>
              </w:rPr>
              <w:t>6.1x</w:t>
            </w:r>
          </w:p>
        </w:tc>
        <w:tc>
          <w:tcPr>
            <w:tcW w:w="2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rPr>
              <w:t>5.5x</w:t>
            </w:r>
          </w:p>
        </w:tc>
        <w:tc>
          <w:tcPr>
            <w:tcW w:w="0" w:type="dxa"/>
            <w:vAlign w:val="bottom"/>
          </w:tcPr>
          <w:p>
            <w:pPr>
              <w:spacing w:after="0"/>
              <w:rPr>
                <w:sz w:val="1"/>
                <w:szCs w:val="1"/>
                <w:color w:val="auto"/>
              </w:rPr>
            </w:pPr>
          </w:p>
        </w:tc>
      </w:tr>
      <w:tr>
        <w:trPr>
          <w:trHeight w:val="631"/>
        </w:trPr>
        <w:tc>
          <w:tcPr>
            <w:tcW w:w="8740" w:type="dxa"/>
            <w:vAlign w:val="bottom"/>
            <w:gridSpan w:val="3"/>
          </w:tcPr>
          <w:p>
            <w:pPr>
              <w:spacing w:after="0"/>
              <w:rPr>
                <w:sz w:val="20"/>
                <w:szCs w:val="20"/>
                <w:color w:val="auto"/>
              </w:rPr>
            </w:pPr>
            <w:r>
              <w:rPr>
                <w:rFonts w:ascii="Arial" w:cs="Arial" w:eastAsia="Arial" w:hAnsi="Arial"/>
                <w:sz w:val="20"/>
                <w:szCs w:val="20"/>
                <w:color w:val="auto"/>
              </w:rPr>
              <w:t>Selected Small Cap Companies</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80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Callon Petroleum Company</w:t>
            </w:r>
          </w:p>
        </w:tc>
        <w:tc>
          <w:tcPr>
            <w:tcW w:w="5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20"/>
                <w:szCs w:val="20"/>
                <w:color w:val="auto"/>
              </w:rPr>
              <w:t>6.2x</w:t>
            </w:r>
          </w:p>
        </w:tc>
        <w:tc>
          <w:tcPr>
            <w:tcW w:w="2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5.0x</w:t>
            </w:r>
          </w:p>
        </w:tc>
        <w:tc>
          <w:tcPr>
            <w:tcW w:w="0" w:type="dxa"/>
            <w:vAlign w:val="bottom"/>
          </w:tcPr>
          <w:p>
            <w:pPr>
              <w:spacing w:after="0"/>
              <w:rPr>
                <w:sz w:val="1"/>
                <w:szCs w:val="1"/>
                <w:color w:val="auto"/>
              </w:rPr>
            </w:pPr>
          </w:p>
        </w:tc>
      </w:tr>
      <w:tr>
        <w:trPr>
          <w:trHeight w:val="338"/>
        </w:trPr>
        <w:tc>
          <w:tcPr>
            <w:tcW w:w="8740" w:type="dxa"/>
            <w:vAlign w:val="bottom"/>
            <w:gridSpan w:val="3"/>
          </w:tcPr>
          <w:p>
            <w:pPr>
              <w:spacing w:after="0"/>
              <w:rPr>
                <w:sz w:val="20"/>
                <w:szCs w:val="20"/>
                <w:color w:val="auto"/>
              </w:rPr>
            </w:pPr>
            <w:r>
              <w:rPr>
                <w:rFonts w:ascii="Arial" w:cs="Arial" w:eastAsia="Arial" w:hAnsi="Arial"/>
                <w:sz w:val="20"/>
                <w:szCs w:val="20"/>
                <w:color w:val="auto"/>
              </w:rPr>
              <w:t>Centennial Resource Development, Inc.</w:t>
            </w:r>
          </w:p>
        </w:tc>
        <w:tc>
          <w:tcPr>
            <w:tcW w:w="440" w:type="dxa"/>
            <w:vAlign w:val="bottom"/>
          </w:tcPr>
          <w:p>
            <w:pPr>
              <w:spacing w:after="0"/>
              <w:rPr>
                <w:sz w:val="24"/>
                <w:szCs w:val="2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20"/>
                <w:szCs w:val="20"/>
                <w:color w:val="auto"/>
              </w:rPr>
              <w:t>5.9x</w:t>
            </w:r>
          </w:p>
        </w:tc>
        <w:tc>
          <w:tcPr>
            <w:tcW w:w="2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5.0x</w:t>
            </w:r>
          </w:p>
        </w:tc>
        <w:tc>
          <w:tcPr>
            <w:tcW w:w="0" w:type="dxa"/>
            <w:vAlign w:val="bottom"/>
          </w:tcPr>
          <w:p>
            <w:pPr>
              <w:spacing w:after="0"/>
              <w:rPr>
                <w:sz w:val="1"/>
                <w:szCs w:val="1"/>
                <w:color w:val="auto"/>
              </w:rPr>
            </w:pPr>
          </w:p>
        </w:tc>
      </w:tr>
      <w:tr>
        <w:trPr>
          <w:trHeight w:val="338"/>
        </w:trPr>
        <w:tc>
          <w:tcPr>
            <w:tcW w:w="8740" w:type="dxa"/>
            <w:vAlign w:val="bottom"/>
            <w:gridSpan w:val="3"/>
          </w:tcPr>
          <w:p>
            <w:pPr>
              <w:spacing w:after="0"/>
              <w:rPr>
                <w:sz w:val="20"/>
                <w:szCs w:val="20"/>
                <w:color w:val="auto"/>
              </w:rPr>
            </w:pPr>
            <w:r>
              <w:rPr>
                <w:rFonts w:ascii="Arial" w:cs="Arial" w:eastAsia="Arial" w:hAnsi="Arial"/>
                <w:sz w:val="20"/>
                <w:szCs w:val="20"/>
                <w:color w:val="auto"/>
              </w:rPr>
              <w:t>SM Energy Company</w:t>
            </w:r>
          </w:p>
        </w:tc>
        <w:tc>
          <w:tcPr>
            <w:tcW w:w="440" w:type="dxa"/>
            <w:vAlign w:val="bottom"/>
          </w:tcPr>
          <w:p>
            <w:pPr>
              <w:spacing w:after="0"/>
              <w:rPr>
                <w:sz w:val="24"/>
                <w:szCs w:val="2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20"/>
                <w:szCs w:val="20"/>
                <w:color w:val="auto"/>
              </w:rPr>
              <w:t>4.8x</w:t>
            </w:r>
          </w:p>
        </w:tc>
        <w:tc>
          <w:tcPr>
            <w:tcW w:w="2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3.6x</w:t>
            </w:r>
          </w:p>
        </w:tc>
        <w:tc>
          <w:tcPr>
            <w:tcW w:w="0" w:type="dxa"/>
            <w:vAlign w:val="bottom"/>
          </w:tcPr>
          <w:p>
            <w:pPr>
              <w:spacing w:after="0"/>
              <w:rPr>
                <w:sz w:val="1"/>
                <w:szCs w:val="1"/>
                <w:color w:val="auto"/>
              </w:rPr>
            </w:pPr>
          </w:p>
        </w:tc>
      </w:tr>
      <w:tr>
        <w:trPr>
          <w:trHeight w:val="118"/>
        </w:trPr>
        <w:tc>
          <w:tcPr>
            <w:tcW w:w="874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Median</w:t>
            </w:r>
          </w:p>
        </w:tc>
        <w:tc>
          <w:tcPr>
            <w:tcW w:w="4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8740" w:type="dxa"/>
            <w:vAlign w:val="bottom"/>
            <w:gridSpan w:val="3"/>
            <w:vMerge w:val="continue"/>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20"/>
                <w:szCs w:val="20"/>
                <w:b w:val="1"/>
                <w:bCs w:val="1"/>
                <w:color w:val="auto"/>
                <w:w w:val="97"/>
              </w:rPr>
              <w:t>5.9x</w:t>
            </w:r>
          </w:p>
        </w:tc>
        <w:tc>
          <w:tcPr>
            <w:tcW w:w="20" w:type="dxa"/>
            <w:vAlign w:val="bottom"/>
          </w:tcPr>
          <w:p>
            <w:pPr>
              <w:spacing w:after="0"/>
              <w:rPr>
                <w:sz w:val="22"/>
                <w:szCs w:val="2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rPr>
              <w:t>5.0x</w:t>
            </w:r>
          </w:p>
        </w:tc>
        <w:tc>
          <w:tcPr>
            <w:tcW w:w="0" w:type="dxa"/>
            <w:vAlign w:val="bottom"/>
          </w:tcPr>
          <w:p>
            <w:pPr>
              <w:spacing w:after="0"/>
              <w:rPr>
                <w:sz w:val="1"/>
                <w:szCs w:val="1"/>
                <w:color w:val="auto"/>
              </w:rPr>
            </w:pPr>
          </w:p>
        </w:tc>
      </w:tr>
      <w:tr>
        <w:trPr>
          <w:trHeight w:val="296"/>
        </w:trPr>
        <w:tc>
          <w:tcPr>
            <w:tcW w:w="8740" w:type="dxa"/>
            <w:vAlign w:val="bottom"/>
            <w:gridSpan w:val="3"/>
          </w:tcPr>
          <w:p>
            <w:pPr>
              <w:spacing w:after="0"/>
              <w:rPr>
                <w:sz w:val="20"/>
                <w:szCs w:val="20"/>
                <w:color w:val="auto"/>
              </w:rPr>
            </w:pPr>
            <w:r>
              <w:rPr>
                <w:rFonts w:ascii="Arial" w:cs="Arial" w:eastAsia="Arial" w:hAnsi="Arial"/>
                <w:sz w:val="20"/>
                <w:szCs w:val="20"/>
                <w:b w:val="1"/>
                <w:bCs w:val="1"/>
                <w:color w:val="auto"/>
              </w:rPr>
              <w:t>Mean</w:t>
            </w:r>
          </w:p>
        </w:tc>
        <w:tc>
          <w:tcPr>
            <w:tcW w:w="440" w:type="dxa"/>
            <w:vAlign w:val="bottom"/>
          </w:tcPr>
          <w:p>
            <w:pPr>
              <w:spacing w:after="0"/>
              <w:rPr>
                <w:sz w:val="24"/>
                <w:szCs w:val="2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20"/>
                <w:szCs w:val="20"/>
                <w:b w:val="1"/>
                <w:bCs w:val="1"/>
                <w:color w:val="auto"/>
                <w:w w:val="97"/>
              </w:rPr>
              <w:t>5.6x</w:t>
            </w:r>
          </w:p>
        </w:tc>
        <w:tc>
          <w:tcPr>
            <w:tcW w:w="2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rPr>
              <w:t>4.6x</w:t>
            </w:r>
          </w:p>
        </w:tc>
        <w:tc>
          <w:tcPr>
            <w:tcW w:w="0" w:type="dxa"/>
            <w:vAlign w:val="bottom"/>
          </w:tcPr>
          <w:p>
            <w:pPr>
              <w:spacing w:after="0"/>
              <w:rPr>
                <w:sz w:val="1"/>
                <w:szCs w:val="1"/>
                <w:color w:val="auto"/>
              </w:rPr>
            </w:pPr>
          </w:p>
        </w:tc>
      </w:tr>
      <w:tr>
        <w:trPr>
          <w:trHeight w:val="455"/>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740" w:type="dxa"/>
            <w:vAlign w:val="bottom"/>
            <w:gridSpan w:val="3"/>
            <w:shd w:val="clear" w:color="auto" w:fill="000000"/>
          </w:tcPr>
          <w:p>
            <w:pPr>
              <w:spacing w:after="0"/>
              <w:rPr>
                <w:sz w:val="20"/>
                <w:szCs w:val="20"/>
                <w:color w:val="auto"/>
              </w:rPr>
            </w:pPr>
            <w:r>
              <w:rPr>
                <w:rFonts w:ascii="Arial" w:cs="Arial" w:eastAsia="Arial" w:hAnsi="Arial"/>
                <w:sz w:val="20"/>
                <w:szCs w:val="20"/>
                <w:b w:val="1"/>
                <w:bCs w:val="1"/>
                <w:color w:val="FFFFFF"/>
              </w:rPr>
              <w:t>Average Multiple Expansion Since Fairness Opinion</w:t>
            </w:r>
          </w:p>
        </w:tc>
        <w:tc>
          <w:tcPr>
            <w:tcW w:w="440" w:type="dxa"/>
            <w:vAlign w:val="bottom"/>
            <w:shd w:val="clear" w:color="auto" w:fill="000000"/>
          </w:tcPr>
          <w:p>
            <w:pPr>
              <w:spacing w:after="0"/>
              <w:rPr>
                <w:sz w:val="22"/>
                <w:szCs w:val="22"/>
                <w:color w:val="auto"/>
              </w:rPr>
            </w:pPr>
          </w:p>
        </w:tc>
        <w:tc>
          <w:tcPr>
            <w:tcW w:w="580" w:type="dxa"/>
            <w:vAlign w:val="bottom"/>
            <w:shd w:val="clear" w:color="auto" w:fill="000000"/>
          </w:tcPr>
          <w:p>
            <w:pPr>
              <w:spacing w:after="0"/>
              <w:rPr>
                <w:sz w:val="22"/>
                <w:szCs w:val="22"/>
                <w:color w:val="auto"/>
              </w:rPr>
            </w:pPr>
          </w:p>
        </w:tc>
        <w:tc>
          <w:tcPr>
            <w:tcW w:w="660" w:type="dxa"/>
            <w:vAlign w:val="bottom"/>
            <w:shd w:val="clear" w:color="auto" w:fill="000000"/>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60" w:type="dxa"/>
            <w:vAlign w:val="bottom"/>
            <w:shd w:val="clear" w:color="auto" w:fill="000000"/>
          </w:tcPr>
          <w:p>
            <w:pPr>
              <w:spacing w:after="0"/>
              <w:rPr>
                <w:sz w:val="22"/>
                <w:szCs w:val="22"/>
                <w:color w:val="auto"/>
              </w:rPr>
            </w:pPr>
          </w:p>
        </w:tc>
        <w:tc>
          <w:tcPr>
            <w:tcW w:w="24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76"/>
        </w:trPr>
        <w:tc>
          <w:tcPr>
            <w:tcW w:w="262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594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580" w:type="dxa"/>
            <w:vAlign w:val="bottom"/>
            <w:shd w:val="clear" w:color="auto" w:fill="000000"/>
          </w:tcPr>
          <w:p>
            <w:pPr>
              <w:spacing w:after="0"/>
              <w:rPr>
                <w:sz w:val="6"/>
                <w:szCs w:val="6"/>
                <w:color w:val="auto"/>
              </w:rPr>
            </w:pPr>
          </w:p>
        </w:tc>
        <w:tc>
          <w:tcPr>
            <w:tcW w:w="66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740" w:type="dxa"/>
            <w:vAlign w:val="bottom"/>
            <w:gridSpan w:val="3"/>
          </w:tcPr>
          <w:p>
            <w:pPr>
              <w:spacing w:after="0"/>
              <w:rPr>
                <w:sz w:val="20"/>
                <w:szCs w:val="20"/>
                <w:color w:val="auto"/>
              </w:rPr>
            </w:pPr>
            <w:r>
              <w:rPr>
                <w:rFonts w:ascii="Arial" w:cs="Arial" w:eastAsia="Arial" w:hAnsi="Arial"/>
                <w:sz w:val="20"/>
                <w:szCs w:val="20"/>
                <w:color w:val="auto"/>
              </w:rPr>
              <w:t>Selected Mid Cap Companies</w:t>
            </w:r>
          </w:p>
        </w:tc>
        <w:tc>
          <w:tcPr>
            <w:tcW w:w="440" w:type="dxa"/>
            <w:vAlign w:val="bottom"/>
          </w:tcPr>
          <w:p>
            <w:pPr>
              <w:spacing w:after="0"/>
              <w:rPr>
                <w:sz w:val="20"/>
                <w:szCs w:val="20"/>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20"/>
                <w:szCs w:val="20"/>
                <w:color w:val="375623"/>
              </w:rPr>
              <w:t>+1.3x</w:t>
            </w:r>
          </w:p>
        </w:tc>
        <w:tc>
          <w:tcPr>
            <w:tcW w:w="2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20"/>
                <w:szCs w:val="20"/>
                <w:color w:val="375623"/>
                <w:w w:val="96"/>
              </w:rPr>
              <w:t>+1.2x</w:t>
            </w:r>
          </w:p>
        </w:tc>
        <w:tc>
          <w:tcPr>
            <w:tcW w:w="0" w:type="dxa"/>
            <w:vAlign w:val="bottom"/>
          </w:tcPr>
          <w:p>
            <w:pPr>
              <w:spacing w:after="0"/>
              <w:rPr>
                <w:sz w:val="1"/>
                <w:szCs w:val="1"/>
                <w:color w:val="auto"/>
              </w:rPr>
            </w:pPr>
          </w:p>
        </w:tc>
      </w:tr>
      <w:tr>
        <w:trPr>
          <w:trHeight w:val="320"/>
        </w:trPr>
        <w:tc>
          <w:tcPr>
            <w:tcW w:w="8740" w:type="dxa"/>
            <w:vAlign w:val="bottom"/>
            <w:gridSpan w:val="3"/>
          </w:tcPr>
          <w:p>
            <w:pPr>
              <w:spacing w:after="0"/>
              <w:rPr>
                <w:sz w:val="20"/>
                <w:szCs w:val="20"/>
                <w:color w:val="auto"/>
              </w:rPr>
            </w:pPr>
            <w:r>
              <w:rPr>
                <w:rFonts w:ascii="Arial" w:cs="Arial" w:eastAsia="Arial" w:hAnsi="Arial"/>
                <w:sz w:val="20"/>
                <w:szCs w:val="20"/>
                <w:color w:val="auto"/>
              </w:rPr>
              <w:t>Selected Small Cap Companies</w:t>
            </w:r>
          </w:p>
        </w:tc>
        <w:tc>
          <w:tcPr>
            <w:tcW w:w="440" w:type="dxa"/>
            <w:vAlign w:val="bottom"/>
          </w:tcPr>
          <w:p>
            <w:pPr>
              <w:spacing w:after="0"/>
              <w:rPr>
                <w:sz w:val="24"/>
                <w:szCs w:val="2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20"/>
                <w:szCs w:val="20"/>
                <w:color w:val="375623"/>
              </w:rPr>
              <w:t>+1.6x</w:t>
            </w:r>
          </w:p>
        </w:tc>
        <w:tc>
          <w:tcPr>
            <w:tcW w:w="2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20"/>
                <w:szCs w:val="20"/>
                <w:color w:val="375623"/>
                <w:w w:val="96"/>
              </w:rPr>
              <w:t>+1.0x</w:t>
            </w:r>
          </w:p>
        </w:tc>
        <w:tc>
          <w:tcPr>
            <w:tcW w:w="0" w:type="dxa"/>
            <w:vAlign w:val="bottom"/>
          </w:tcPr>
          <w:p>
            <w:pPr>
              <w:spacing w:after="0"/>
              <w:rPr>
                <w:sz w:val="1"/>
                <w:szCs w:val="1"/>
                <w:color w:val="auto"/>
              </w:rPr>
            </w:pPr>
          </w:p>
        </w:tc>
      </w:tr>
      <w:tr>
        <w:trPr>
          <w:trHeight w:val="455"/>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740" w:type="dxa"/>
            <w:vAlign w:val="bottom"/>
            <w:gridSpan w:val="3"/>
            <w:shd w:val="clear" w:color="auto" w:fill="000000"/>
          </w:tcPr>
          <w:p>
            <w:pPr>
              <w:spacing w:after="0"/>
              <w:rPr>
                <w:sz w:val="20"/>
                <w:szCs w:val="20"/>
                <w:color w:val="auto"/>
              </w:rPr>
            </w:pPr>
            <w:r>
              <w:rPr>
                <w:rFonts w:ascii="Arial" w:cs="Arial" w:eastAsia="Arial" w:hAnsi="Arial"/>
                <w:sz w:val="20"/>
                <w:szCs w:val="20"/>
                <w:b w:val="1"/>
                <w:bCs w:val="1"/>
                <w:color w:val="FFFFFF"/>
              </w:rPr>
              <w:t>QEP Adjusted Standalone Multiple (Reflecting Peer Multiple Expansion)</w:t>
            </w:r>
          </w:p>
        </w:tc>
        <w:tc>
          <w:tcPr>
            <w:tcW w:w="440" w:type="dxa"/>
            <w:vAlign w:val="bottom"/>
            <w:shd w:val="clear" w:color="auto" w:fill="000000"/>
          </w:tcPr>
          <w:p>
            <w:pPr>
              <w:spacing w:after="0"/>
              <w:rPr>
                <w:sz w:val="22"/>
                <w:szCs w:val="22"/>
                <w:color w:val="auto"/>
              </w:rPr>
            </w:pPr>
          </w:p>
        </w:tc>
        <w:tc>
          <w:tcPr>
            <w:tcW w:w="580" w:type="dxa"/>
            <w:vAlign w:val="bottom"/>
            <w:shd w:val="clear" w:color="auto" w:fill="000000"/>
          </w:tcPr>
          <w:p>
            <w:pPr>
              <w:spacing w:after="0"/>
              <w:rPr>
                <w:sz w:val="22"/>
                <w:szCs w:val="22"/>
                <w:color w:val="auto"/>
              </w:rPr>
            </w:pPr>
          </w:p>
        </w:tc>
        <w:tc>
          <w:tcPr>
            <w:tcW w:w="660" w:type="dxa"/>
            <w:vAlign w:val="bottom"/>
            <w:shd w:val="clear" w:color="auto" w:fill="000000"/>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60" w:type="dxa"/>
            <w:vAlign w:val="bottom"/>
            <w:shd w:val="clear" w:color="auto" w:fill="000000"/>
          </w:tcPr>
          <w:p>
            <w:pPr>
              <w:spacing w:after="0"/>
              <w:rPr>
                <w:sz w:val="22"/>
                <w:szCs w:val="22"/>
                <w:color w:val="auto"/>
              </w:rPr>
            </w:pPr>
          </w:p>
        </w:tc>
        <w:tc>
          <w:tcPr>
            <w:tcW w:w="24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76"/>
        </w:trPr>
        <w:tc>
          <w:tcPr>
            <w:tcW w:w="2620" w:type="dxa"/>
            <w:vAlign w:val="bottom"/>
            <w:shd w:val="clear" w:color="auto" w:fill="000000"/>
          </w:tcPr>
          <w:p>
            <w:pPr>
              <w:spacing w:after="0"/>
              <w:rPr>
                <w:sz w:val="6"/>
                <w:szCs w:val="6"/>
                <w:color w:val="auto"/>
              </w:rPr>
            </w:pPr>
          </w:p>
        </w:tc>
        <w:tc>
          <w:tcPr>
            <w:tcW w:w="180" w:type="dxa"/>
            <w:vAlign w:val="bottom"/>
            <w:shd w:val="clear" w:color="auto" w:fill="000000"/>
          </w:tcPr>
          <w:p>
            <w:pPr>
              <w:spacing w:after="0"/>
              <w:rPr>
                <w:sz w:val="6"/>
                <w:szCs w:val="6"/>
                <w:color w:val="auto"/>
              </w:rPr>
            </w:pPr>
          </w:p>
        </w:tc>
        <w:tc>
          <w:tcPr>
            <w:tcW w:w="594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580" w:type="dxa"/>
            <w:vAlign w:val="bottom"/>
            <w:shd w:val="clear" w:color="auto" w:fill="000000"/>
          </w:tcPr>
          <w:p>
            <w:pPr>
              <w:spacing w:after="0"/>
              <w:rPr>
                <w:sz w:val="6"/>
                <w:szCs w:val="6"/>
                <w:color w:val="auto"/>
              </w:rPr>
            </w:pPr>
          </w:p>
        </w:tc>
        <w:tc>
          <w:tcPr>
            <w:tcW w:w="66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6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740" w:type="dxa"/>
            <w:vAlign w:val="bottom"/>
            <w:gridSpan w:val="3"/>
          </w:tcPr>
          <w:p>
            <w:pPr>
              <w:spacing w:after="0"/>
              <w:rPr>
                <w:sz w:val="20"/>
                <w:szCs w:val="20"/>
                <w:color w:val="auto"/>
              </w:rPr>
            </w:pPr>
            <w:r>
              <w:rPr>
                <w:rFonts w:ascii="Arial" w:cs="Arial" w:eastAsia="Arial" w:hAnsi="Arial"/>
                <w:sz w:val="20"/>
                <w:szCs w:val="20"/>
                <w:color w:val="auto"/>
              </w:rPr>
              <w:t>vs. Selected Mid Cap Companies</w:t>
            </w:r>
          </w:p>
        </w:tc>
        <w:tc>
          <w:tcPr>
            <w:tcW w:w="440" w:type="dxa"/>
            <w:vAlign w:val="bottom"/>
          </w:tcPr>
          <w:p>
            <w:pPr>
              <w:spacing w:after="0"/>
              <w:rPr>
                <w:sz w:val="20"/>
                <w:szCs w:val="20"/>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20"/>
                <w:szCs w:val="20"/>
                <w:color w:val="auto"/>
              </w:rPr>
              <w:t>5.5x</w:t>
            </w:r>
          </w:p>
        </w:tc>
        <w:tc>
          <w:tcPr>
            <w:tcW w:w="2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4.8x</w:t>
            </w:r>
          </w:p>
        </w:tc>
        <w:tc>
          <w:tcPr>
            <w:tcW w:w="0" w:type="dxa"/>
            <w:vAlign w:val="bottom"/>
          </w:tcPr>
          <w:p>
            <w:pPr>
              <w:spacing w:after="0"/>
              <w:rPr>
                <w:sz w:val="1"/>
                <w:szCs w:val="1"/>
                <w:color w:val="auto"/>
              </w:rPr>
            </w:pPr>
          </w:p>
        </w:tc>
      </w:tr>
      <w:tr>
        <w:trPr>
          <w:trHeight w:val="320"/>
        </w:trPr>
        <w:tc>
          <w:tcPr>
            <w:tcW w:w="8740" w:type="dxa"/>
            <w:vAlign w:val="bottom"/>
            <w:gridSpan w:val="3"/>
          </w:tcPr>
          <w:p>
            <w:pPr>
              <w:spacing w:after="0"/>
              <w:rPr>
                <w:sz w:val="20"/>
                <w:szCs w:val="20"/>
                <w:color w:val="auto"/>
              </w:rPr>
            </w:pPr>
            <w:r>
              <w:rPr>
                <w:rFonts w:ascii="Arial" w:cs="Arial" w:eastAsia="Arial" w:hAnsi="Arial"/>
                <w:sz w:val="20"/>
                <w:szCs w:val="20"/>
                <w:color w:val="auto"/>
              </w:rPr>
              <w:t>vs. Selected Small Cap Companies</w:t>
            </w:r>
          </w:p>
        </w:tc>
        <w:tc>
          <w:tcPr>
            <w:tcW w:w="440" w:type="dxa"/>
            <w:vAlign w:val="bottom"/>
          </w:tcPr>
          <w:p>
            <w:pPr>
              <w:spacing w:after="0"/>
              <w:rPr>
                <w:sz w:val="24"/>
                <w:szCs w:val="2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20"/>
                <w:szCs w:val="20"/>
                <w:color w:val="auto"/>
              </w:rPr>
              <w:t>5.8x</w:t>
            </w:r>
          </w:p>
        </w:tc>
        <w:tc>
          <w:tcPr>
            <w:tcW w:w="2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4.6x</w:t>
            </w:r>
          </w:p>
        </w:tc>
        <w:tc>
          <w:tcPr>
            <w:tcW w:w="0" w:type="dxa"/>
            <w:vAlign w:val="bottom"/>
          </w:tcPr>
          <w:p>
            <w:pPr>
              <w:spacing w:after="0"/>
              <w:rPr>
                <w:sz w:val="1"/>
                <w:szCs w:val="1"/>
                <w:color w:val="auto"/>
              </w:rPr>
            </w:pPr>
          </w:p>
        </w:tc>
      </w:tr>
      <w:tr>
        <w:trPr>
          <w:trHeight w:val="455"/>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740" w:type="dxa"/>
            <w:vAlign w:val="bottom"/>
            <w:gridSpan w:val="3"/>
            <w:shd w:val="clear" w:color="auto" w:fill="4472C4"/>
          </w:tcPr>
          <w:p>
            <w:pPr>
              <w:spacing w:after="0"/>
              <w:rPr>
                <w:sz w:val="20"/>
                <w:szCs w:val="20"/>
                <w:color w:val="auto"/>
              </w:rPr>
            </w:pPr>
            <w:r>
              <w:rPr>
                <w:rFonts w:ascii="Arial" w:cs="Arial" w:eastAsia="Arial" w:hAnsi="Arial"/>
                <w:sz w:val="20"/>
                <w:szCs w:val="20"/>
                <w:b w:val="1"/>
                <w:bCs w:val="1"/>
                <w:color w:val="FFFFFF"/>
              </w:rPr>
              <w:t>QEP Adjusted Standalone Price (Reflecting Peer Multiple Expansion)</w:t>
            </w:r>
          </w:p>
        </w:tc>
        <w:tc>
          <w:tcPr>
            <w:tcW w:w="440" w:type="dxa"/>
            <w:vAlign w:val="bottom"/>
            <w:shd w:val="clear" w:color="auto" w:fill="4472C4"/>
          </w:tcPr>
          <w:p>
            <w:pPr>
              <w:spacing w:after="0"/>
              <w:rPr>
                <w:sz w:val="22"/>
                <w:szCs w:val="22"/>
                <w:color w:val="auto"/>
              </w:rPr>
            </w:pPr>
          </w:p>
        </w:tc>
        <w:tc>
          <w:tcPr>
            <w:tcW w:w="580" w:type="dxa"/>
            <w:vAlign w:val="bottom"/>
            <w:shd w:val="clear" w:color="auto" w:fill="4472C4"/>
          </w:tcPr>
          <w:p>
            <w:pPr>
              <w:spacing w:after="0"/>
              <w:rPr>
                <w:sz w:val="22"/>
                <w:szCs w:val="22"/>
                <w:color w:val="auto"/>
              </w:rPr>
            </w:pPr>
          </w:p>
        </w:tc>
        <w:tc>
          <w:tcPr>
            <w:tcW w:w="660" w:type="dxa"/>
            <w:vAlign w:val="bottom"/>
            <w:shd w:val="clear" w:color="auto" w:fill="4472C4"/>
          </w:tcPr>
          <w:p>
            <w:pPr>
              <w:spacing w:after="0"/>
              <w:rPr>
                <w:sz w:val="22"/>
                <w:szCs w:val="22"/>
                <w:color w:val="auto"/>
              </w:rPr>
            </w:pPr>
          </w:p>
        </w:tc>
        <w:tc>
          <w:tcPr>
            <w:tcW w:w="20" w:type="dxa"/>
            <w:vAlign w:val="bottom"/>
            <w:shd w:val="clear" w:color="auto" w:fill="4472C4"/>
          </w:tcPr>
          <w:p>
            <w:pPr>
              <w:spacing w:after="0"/>
              <w:rPr>
                <w:sz w:val="22"/>
                <w:szCs w:val="22"/>
                <w:color w:val="auto"/>
              </w:rPr>
            </w:pPr>
          </w:p>
        </w:tc>
        <w:tc>
          <w:tcPr>
            <w:tcW w:w="560" w:type="dxa"/>
            <w:vAlign w:val="bottom"/>
            <w:shd w:val="clear" w:color="auto" w:fill="4472C4"/>
          </w:tcPr>
          <w:p>
            <w:pPr>
              <w:spacing w:after="0"/>
              <w:rPr>
                <w:sz w:val="22"/>
                <w:szCs w:val="22"/>
                <w:color w:val="auto"/>
              </w:rPr>
            </w:pPr>
          </w:p>
        </w:tc>
        <w:tc>
          <w:tcPr>
            <w:tcW w:w="240" w:type="dxa"/>
            <w:vAlign w:val="bottom"/>
            <w:shd w:val="clear" w:color="auto" w:fill="4472C4"/>
          </w:tcPr>
          <w:p>
            <w:pPr>
              <w:spacing w:after="0"/>
              <w:rPr>
                <w:sz w:val="22"/>
                <w:szCs w:val="22"/>
                <w:color w:val="auto"/>
              </w:rPr>
            </w:pPr>
          </w:p>
        </w:tc>
        <w:tc>
          <w:tcPr>
            <w:tcW w:w="0" w:type="dxa"/>
            <w:vAlign w:val="bottom"/>
          </w:tcPr>
          <w:p>
            <w:pPr>
              <w:spacing w:after="0"/>
              <w:rPr>
                <w:sz w:val="1"/>
                <w:szCs w:val="1"/>
                <w:color w:val="auto"/>
              </w:rPr>
            </w:pPr>
          </w:p>
        </w:tc>
      </w:tr>
      <w:tr>
        <w:trPr>
          <w:trHeight w:val="76"/>
        </w:trPr>
        <w:tc>
          <w:tcPr>
            <w:tcW w:w="2620" w:type="dxa"/>
            <w:vAlign w:val="bottom"/>
            <w:shd w:val="clear" w:color="auto" w:fill="4472C4"/>
          </w:tcPr>
          <w:p>
            <w:pPr>
              <w:spacing w:after="0"/>
              <w:rPr>
                <w:sz w:val="6"/>
                <w:szCs w:val="6"/>
                <w:color w:val="auto"/>
              </w:rPr>
            </w:pPr>
          </w:p>
        </w:tc>
        <w:tc>
          <w:tcPr>
            <w:tcW w:w="180" w:type="dxa"/>
            <w:vAlign w:val="bottom"/>
            <w:shd w:val="clear" w:color="auto" w:fill="4472C4"/>
          </w:tcPr>
          <w:p>
            <w:pPr>
              <w:spacing w:after="0"/>
              <w:rPr>
                <w:sz w:val="6"/>
                <w:szCs w:val="6"/>
                <w:color w:val="auto"/>
              </w:rPr>
            </w:pPr>
          </w:p>
        </w:tc>
        <w:tc>
          <w:tcPr>
            <w:tcW w:w="5940" w:type="dxa"/>
            <w:vAlign w:val="bottom"/>
            <w:shd w:val="clear" w:color="auto" w:fill="4472C4"/>
          </w:tcPr>
          <w:p>
            <w:pPr>
              <w:spacing w:after="0"/>
              <w:rPr>
                <w:sz w:val="6"/>
                <w:szCs w:val="6"/>
                <w:color w:val="auto"/>
              </w:rPr>
            </w:pPr>
          </w:p>
        </w:tc>
        <w:tc>
          <w:tcPr>
            <w:tcW w:w="440" w:type="dxa"/>
            <w:vAlign w:val="bottom"/>
            <w:shd w:val="clear" w:color="auto" w:fill="4472C4"/>
          </w:tcPr>
          <w:p>
            <w:pPr>
              <w:spacing w:after="0"/>
              <w:rPr>
                <w:sz w:val="6"/>
                <w:szCs w:val="6"/>
                <w:color w:val="auto"/>
              </w:rPr>
            </w:pPr>
          </w:p>
        </w:tc>
        <w:tc>
          <w:tcPr>
            <w:tcW w:w="580" w:type="dxa"/>
            <w:vAlign w:val="bottom"/>
            <w:shd w:val="clear" w:color="auto" w:fill="4472C4"/>
          </w:tcPr>
          <w:p>
            <w:pPr>
              <w:spacing w:after="0"/>
              <w:rPr>
                <w:sz w:val="6"/>
                <w:szCs w:val="6"/>
                <w:color w:val="auto"/>
              </w:rPr>
            </w:pPr>
          </w:p>
        </w:tc>
        <w:tc>
          <w:tcPr>
            <w:tcW w:w="660" w:type="dxa"/>
            <w:vAlign w:val="bottom"/>
            <w:shd w:val="clear" w:color="auto" w:fill="4472C4"/>
          </w:tcPr>
          <w:p>
            <w:pPr>
              <w:spacing w:after="0"/>
              <w:rPr>
                <w:sz w:val="6"/>
                <w:szCs w:val="6"/>
                <w:color w:val="auto"/>
              </w:rPr>
            </w:pPr>
          </w:p>
        </w:tc>
        <w:tc>
          <w:tcPr>
            <w:tcW w:w="20" w:type="dxa"/>
            <w:vAlign w:val="bottom"/>
            <w:shd w:val="clear" w:color="auto" w:fill="4472C4"/>
          </w:tcPr>
          <w:p>
            <w:pPr>
              <w:spacing w:after="0"/>
              <w:rPr>
                <w:sz w:val="6"/>
                <w:szCs w:val="6"/>
                <w:color w:val="auto"/>
              </w:rPr>
            </w:pPr>
          </w:p>
        </w:tc>
        <w:tc>
          <w:tcPr>
            <w:tcW w:w="560" w:type="dxa"/>
            <w:vAlign w:val="bottom"/>
            <w:shd w:val="clear" w:color="auto" w:fill="4472C4"/>
          </w:tcPr>
          <w:p>
            <w:pPr>
              <w:spacing w:after="0"/>
              <w:rPr>
                <w:sz w:val="6"/>
                <w:szCs w:val="6"/>
                <w:color w:val="auto"/>
              </w:rPr>
            </w:pPr>
          </w:p>
        </w:tc>
        <w:tc>
          <w:tcPr>
            <w:tcW w:w="240" w:type="dxa"/>
            <w:vAlign w:val="bottom"/>
            <w:shd w:val="clear" w:color="auto" w:fill="4472C4"/>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8740" w:type="dxa"/>
            <w:vAlign w:val="bottom"/>
            <w:gridSpan w:val="3"/>
          </w:tcPr>
          <w:p>
            <w:pPr>
              <w:spacing w:after="0"/>
              <w:rPr>
                <w:sz w:val="20"/>
                <w:szCs w:val="20"/>
                <w:color w:val="auto"/>
              </w:rPr>
            </w:pPr>
            <w:r>
              <w:rPr>
                <w:rFonts w:ascii="Arial" w:cs="Arial" w:eastAsia="Arial" w:hAnsi="Arial"/>
                <w:sz w:val="20"/>
                <w:szCs w:val="20"/>
                <w:color w:val="auto"/>
              </w:rPr>
              <w:t>vs. Selected Mid Cap Companies</w:t>
            </w:r>
          </w:p>
        </w:tc>
        <w:tc>
          <w:tcPr>
            <w:tcW w:w="1020" w:type="dxa"/>
            <w:vAlign w:val="bottom"/>
            <w:gridSpan w:val="2"/>
          </w:tcPr>
          <w:p>
            <w:pPr>
              <w:jc w:val="center"/>
              <w:ind w:left="341"/>
              <w:spacing w:after="0"/>
              <w:rPr>
                <w:sz w:val="20"/>
                <w:szCs w:val="20"/>
                <w:color w:val="auto"/>
              </w:rPr>
            </w:pPr>
            <w:r>
              <w:rPr>
                <w:rFonts w:ascii="Arial" w:cs="Arial" w:eastAsia="Arial" w:hAnsi="Arial"/>
                <w:sz w:val="20"/>
                <w:szCs w:val="20"/>
                <w:b w:val="1"/>
                <w:bCs w:val="1"/>
                <w:color w:val="4472C4"/>
                <w:w w:val="99"/>
              </w:rPr>
              <w:t>$5.74</w:t>
            </w:r>
          </w:p>
        </w:tc>
        <w:tc>
          <w:tcPr>
            <w:tcW w:w="660" w:type="dxa"/>
            <w:vAlign w:val="bottom"/>
          </w:tcPr>
          <w:p>
            <w:pPr>
              <w:spacing w:after="0"/>
              <w:rPr>
                <w:sz w:val="22"/>
                <w:szCs w:val="22"/>
                <w:color w:val="auto"/>
              </w:rPr>
            </w:pPr>
          </w:p>
        </w:tc>
        <w:tc>
          <w:tcPr>
            <w:tcW w:w="580" w:type="dxa"/>
            <w:vAlign w:val="bottom"/>
            <w:gridSpan w:val="2"/>
          </w:tcPr>
          <w:p>
            <w:pPr>
              <w:jc w:val="center"/>
              <w:spacing w:after="0"/>
              <w:rPr>
                <w:sz w:val="20"/>
                <w:szCs w:val="20"/>
                <w:color w:val="auto"/>
              </w:rPr>
            </w:pPr>
            <w:r>
              <w:rPr>
                <w:rFonts w:ascii="Arial" w:cs="Arial" w:eastAsia="Arial" w:hAnsi="Arial"/>
                <w:sz w:val="20"/>
                <w:szCs w:val="20"/>
                <w:b w:val="1"/>
                <w:bCs w:val="1"/>
                <w:color w:val="4472C4"/>
                <w:w w:val="95"/>
              </w:rPr>
              <w:t>$6.26</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8740" w:type="dxa"/>
            <w:vAlign w:val="bottom"/>
            <w:gridSpan w:val="3"/>
          </w:tcPr>
          <w:p>
            <w:pPr>
              <w:spacing w:after="0"/>
              <w:rPr>
                <w:sz w:val="20"/>
                <w:szCs w:val="20"/>
                <w:color w:val="auto"/>
              </w:rPr>
            </w:pPr>
            <w:r>
              <w:rPr>
                <w:rFonts w:ascii="Arial" w:cs="Arial" w:eastAsia="Arial" w:hAnsi="Arial"/>
                <w:sz w:val="20"/>
                <w:szCs w:val="20"/>
                <w:color w:val="auto"/>
              </w:rPr>
              <w:t>vs. Selected Small Cap Companies</w:t>
            </w:r>
          </w:p>
        </w:tc>
        <w:tc>
          <w:tcPr>
            <w:tcW w:w="1020" w:type="dxa"/>
            <w:vAlign w:val="bottom"/>
            <w:gridSpan w:val="2"/>
          </w:tcPr>
          <w:p>
            <w:pPr>
              <w:jc w:val="center"/>
              <w:ind w:left="341"/>
              <w:spacing w:after="0"/>
              <w:rPr>
                <w:sz w:val="20"/>
                <w:szCs w:val="20"/>
                <w:color w:val="auto"/>
              </w:rPr>
            </w:pPr>
            <w:r>
              <w:rPr>
                <w:rFonts w:ascii="Arial" w:cs="Arial" w:eastAsia="Arial" w:hAnsi="Arial"/>
                <w:sz w:val="20"/>
                <w:szCs w:val="20"/>
                <w:b w:val="1"/>
                <w:bCs w:val="1"/>
                <w:color w:val="4472C4"/>
                <w:w w:val="99"/>
              </w:rPr>
              <w:t>$6.34</w:t>
            </w:r>
          </w:p>
        </w:tc>
        <w:tc>
          <w:tcPr>
            <w:tcW w:w="660" w:type="dxa"/>
            <w:vAlign w:val="bottom"/>
          </w:tcPr>
          <w:p>
            <w:pPr>
              <w:spacing w:after="0"/>
              <w:rPr>
                <w:sz w:val="24"/>
                <w:szCs w:val="24"/>
                <w:color w:val="auto"/>
              </w:rPr>
            </w:pPr>
          </w:p>
        </w:tc>
        <w:tc>
          <w:tcPr>
            <w:tcW w:w="580" w:type="dxa"/>
            <w:vAlign w:val="bottom"/>
            <w:gridSpan w:val="2"/>
          </w:tcPr>
          <w:p>
            <w:pPr>
              <w:jc w:val="center"/>
              <w:spacing w:after="0"/>
              <w:rPr>
                <w:sz w:val="20"/>
                <w:szCs w:val="20"/>
                <w:color w:val="auto"/>
              </w:rPr>
            </w:pPr>
            <w:r>
              <w:rPr>
                <w:rFonts w:ascii="Arial" w:cs="Arial" w:eastAsia="Arial" w:hAnsi="Arial"/>
                <w:sz w:val="20"/>
                <w:szCs w:val="20"/>
                <w:b w:val="1"/>
                <w:bCs w:val="1"/>
                <w:color w:val="4472C4"/>
                <w:w w:val="95"/>
              </w:rPr>
              <w:t>$5.75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740" w:type="dxa"/>
            <w:vAlign w:val="bottom"/>
            <w:gridSpan w:val="3"/>
            <w:shd w:val="clear" w:color="auto" w:fill="4472C4"/>
          </w:tcPr>
          <w:p>
            <w:pPr>
              <w:spacing w:after="0"/>
              <w:rPr>
                <w:sz w:val="20"/>
                <w:szCs w:val="20"/>
                <w:color w:val="auto"/>
              </w:rPr>
            </w:pPr>
            <w:r>
              <w:rPr>
                <w:rFonts w:ascii="Arial" w:cs="Arial" w:eastAsia="Arial" w:hAnsi="Arial"/>
                <w:sz w:val="20"/>
                <w:szCs w:val="20"/>
                <w:b w:val="1"/>
                <w:bCs w:val="1"/>
                <w:color w:val="FFFFFF"/>
              </w:rPr>
              <w:t>QEP Upside vs. Current Price</w:t>
            </w:r>
          </w:p>
        </w:tc>
        <w:tc>
          <w:tcPr>
            <w:tcW w:w="440" w:type="dxa"/>
            <w:vAlign w:val="bottom"/>
            <w:shd w:val="clear" w:color="auto" w:fill="4472C4"/>
          </w:tcPr>
          <w:p>
            <w:pPr>
              <w:spacing w:after="0"/>
              <w:rPr>
                <w:sz w:val="22"/>
                <w:szCs w:val="22"/>
                <w:color w:val="auto"/>
              </w:rPr>
            </w:pPr>
          </w:p>
        </w:tc>
        <w:tc>
          <w:tcPr>
            <w:tcW w:w="580" w:type="dxa"/>
            <w:vAlign w:val="bottom"/>
            <w:shd w:val="clear" w:color="auto" w:fill="4472C4"/>
          </w:tcPr>
          <w:p>
            <w:pPr>
              <w:spacing w:after="0"/>
              <w:rPr>
                <w:sz w:val="22"/>
                <w:szCs w:val="22"/>
                <w:color w:val="auto"/>
              </w:rPr>
            </w:pPr>
          </w:p>
        </w:tc>
        <w:tc>
          <w:tcPr>
            <w:tcW w:w="660" w:type="dxa"/>
            <w:vAlign w:val="bottom"/>
            <w:shd w:val="clear" w:color="auto" w:fill="4472C4"/>
          </w:tcPr>
          <w:p>
            <w:pPr>
              <w:spacing w:after="0"/>
              <w:rPr>
                <w:sz w:val="22"/>
                <w:szCs w:val="22"/>
                <w:color w:val="auto"/>
              </w:rPr>
            </w:pPr>
          </w:p>
        </w:tc>
        <w:tc>
          <w:tcPr>
            <w:tcW w:w="20" w:type="dxa"/>
            <w:vAlign w:val="bottom"/>
            <w:shd w:val="clear" w:color="auto" w:fill="4472C4"/>
          </w:tcPr>
          <w:p>
            <w:pPr>
              <w:spacing w:after="0"/>
              <w:rPr>
                <w:sz w:val="22"/>
                <w:szCs w:val="22"/>
                <w:color w:val="auto"/>
              </w:rPr>
            </w:pPr>
          </w:p>
        </w:tc>
        <w:tc>
          <w:tcPr>
            <w:tcW w:w="560" w:type="dxa"/>
            <w:vAlign w:val="bottom"/>
            <w:shd w:val="clear" w:color="auto" w:fill="4472C4"/>
          </w:tcPr>
          <w:p>
            <w:pPr>
              <w:spacing w:after="0"/>
              <w:rPr>
                <w:sz w:val="22"/>
                <w:szCs w:val="22"/>
                <w:color w:val="auto"/>
              </w:rPr>
            </w:pPr>
          </w:p>
        </w:tc>
        <w:tc>
          <w:tcPr>
            <w:tcW w:w="240" w:type="dxa"/>
            <w:vAlign w:val="bottom"/>
            <w:shd w:val="clear" w:color="auto" w:fill="4472C4"/>
          </w:tcPr>
          <w:p>
            <w:pPr>
              <w:spacing w:after="0"/>
              <w:rPr>
                <w:sz w:val="22"/>
                <w:szCs w:val="22"/>
                <w:color w:val="auto"/>
              </w:rPr>
            </w:pPr>
          </w:p>
        </w:tc>
        <w:tc>
          <w:tcPr>
            <w:tcW w:w="0" w:type="dxa"/>
            <w:vAlign w:val="bottom"/>
          </w:tcPr>
          <w:p>
            <w:pPr>
              <w:spacing w:after="0"/>
              <w:rPr>
                <w:sz w:val="1"/>
                <w:szCs w:val="1"/>
                <w:color w:val="auto"/>
              </w:rPr>
            </w:pPr>
          </w:p>
        </w:tc>
      </w:tr>
      <w:tr>
        <w:trPr>
          <w:trHeight w:val="76"/>
        </w:trPr>
        <w:tc>
          <w:tcPr>
            <w:tcW w:w="2620" w:type="dxa"/>
            <w:vAlign w:val="bottom"/>
            <w:shd w:val="clear" w:color="auto" w:fill="4472C4"/>
          </w:tcPr>
          <w:p>
            <w:pPr>
              <w:spacing w:after="0"/>
              <w:rPr>
                <w:sz w:val="6"/>
                <w:szCs w:val="6"/>
                <w:color w:val="auto"/>
              </w:rPr>
            </w:pPr>
          </w:p>
        </w:tc>
        <w:tc>
          <w:tcPr>
            <w:tcW w:w="180" w:type="dxa"/>
            <w:vAlign w:val="bottom"/>
            <w:shd w:val="clear" w:color="auto" w:fill="4472C4"/>
          </w:tcPr>
          <w:p>
            <w:pPr>
              <w:spacing w:after="0"/>
              <w:rPr>
                <w:sz w:val="6"/>
                <w:szCs w:val="6"/>
                <w:color w:val="auto"/>
              </w:rPr>
            </w:pPr>
          </w:p>
        </w:tc>
        <w:tc>
          <w:tcPr>
            <w:tcW w:w="5940" w:type="dxa"/>
            <w:vAlign w:val="bottom"/>
            <w:shd w:val="clear" w:color="auto" w:fill="4472C4"/>
          </w:tcPr>
          <w:p>
            <w:pPr>
              <w:spacing w:after="0"/>
              <w:rPr>
                <w:sz w:val="6"/>
                <w:szCs w:val="6"/>
                <w:color w:val="auto"/>
              </w:rPr>
            </w:pPr>
          </w:p>
        </w:tc>
        <w:tc>
          <w:tcPr>
            <w:tcW w:w="440" w:type="dxa"/>
            <w:vAlign w:val="bottom"/>
            <w:shd w:val="clear" w:color="auto" w:fill="4472C4"/>
          </w:tcPr>
          <w:p>
            <w:pPr>
              <w:spacing w:after="0"/>
              <w:rPr>
                <w:sz w:val="6"/>
                <w:szCs w:val="6"/>
                <w:color w:val="auto"/>
              </w:rPr>
            </w:pPr>
          </w:p>
        </w:tc>
        <w:tc>
          <w:tcPr>
            <w:tcW w:w="580" w:type="dxa"/>
            <w:vAlign w:val="bottom"/>
            <w:shd w:val="clear" w:color="auto" w:fill="4472C4"/>
          </w:tcPr>
          <w:p>
            <w:pPr>
              <w:spacing w:after="0"/>
              <w:rPr>
                <w:sz w:val="6"/>
                <w:szCs w:val="6"/>
                <w:color w:val="auto"/>
              </w:rPr>
            </w:pPr>
          </w:p>
        </w:tc>
        <w:tc>
          <w:tcPr>
            <w:tcW w:w="660" w:type="dxa"/>
            <w:vAlign w:val="bottom"/>
            <w:shd w:val="clear" w:color="auto" w:fill="4472C4"/>
          </w:tcPr>
          <w:p>
            <w:pPr>
              <w:spacing w:after="0"/>
              <w:rPr>
                <w:sz w:val="6"/>
                <w:szCs w:val="6"/>
                <w:color w:val="auto"/>
              </w:rPr>
            </w:pPr>
          </w:p>
        </w:tc>
        <w:tc>
          <w:tcPr>
            <w:tcW w:w="20" w:type="dxa"/>
            <w:vAlign w:val="bottom"/>
            <w:shd w:val="clear" w:color="auto" w:fill="4472C4"/>
          </w:tcPr>
          <w:p>
            <w:pPr>
              <w:spacing w:after="0"/>
              <w:rPr>
                <w:sz w:val="6"/>
                <w:szCs w:val="6"/>
                <w:color w:val="auto"/>
              </w:rPr>
            </w:pPr>
          </w:p>
        </w:tc>
        <w:tc>
          <w:tcPr>
            <w:tcW w:w="560" w:type="dxa"/>
            <w:vAlign w:val="bottom"/>
            <w:shd w:val="clear" w:color="auto" w:fill="4472C4"/>
          </w:tcPr>
          <w:p>
            <w:pPr>
              <w:spacing w:after="0"/>
              <w:rPr>
                <w:sz w:val="6"/>
                <w:szCs w:val="6"/>
                <w:color w:val="auto"/>
              </w:rPr>
            </w:pPr>
          </w:p>
        </w:tc>
        <w:tc>
          <w:tcPr>
            <w:tcW w:w="240" w:type="dxa"/>
            <w:vAlign w:val="bottom"/>
            <w:shd w:val="clear" w:color="auto" w:fill="4472C4"/>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740" w:type="dxa"/>
            <w:vAlign w:val="bottom"/>
            <w:gridSpan w:val="3"/>
          </w:tcPr>
          <w:p>
            <w:pPr>
              <w:spacing w:after="0"/>
              <w:rPr>
                <w:sz w:val="20"/>
                <w:szCs w:val="20"/>
                <w:color w:val="auto"/>
              </w:rPr>
            </w:pPr>
            <w:r>
              <w:rPr>
                <w:rFonts w:ascii="Arial" w:cs="Arial" w:eastAsia="Arial" w:hAnsi="Arial"/>
                <w:sz w:val="20"/>
                <w:szCs w:val="20"/>
                <w:color w:val="auto"/>
              </w:rPr>
              <w:t>vs. Selected Mid Cap Companies</w:t>
            </w:r>
          </w:p>
        </w:tc>
        <w:tc>
          <w:tcPr>
            <w:tcW w:w="1020" w:type="dxa"/>
            <w:vAlign w:val="bottom"/>
            <w:gridSpan w:val="2"/>
          </w:tcPr>
          <w:p>
            <w:pPr>
              <w:jc w:val="center"/>
              <w:ind w:left="341"/>
              <w:spacing w:after="0"/>
              <w:rPr>
                <w:sz w:val="20"/>
                <w:szCs w:val="20"/>
                <w:color w:val="auto"/>
              </w:rPr>
            </w:pPr>
            <w:r>
              <w:rPr>
                <w:rFonts w:ascii="Arial" w:cs="Arial" w:eastAsia="Arial" w:hAnsi="Arial"/>
                <w:sz w:val="20"/>
                <w:szCs w:val="20"/>
                <w:color w:val="4472C4"/>
                <w:w w:val="94"/>
              </w:rPr>
              <w:t>34%</w:t>
            </w:r>
          </w:p>
        </w:tc>
        <w:tc>
          <w:tcPr>
            <w:tcW w:w="660" w:type="dxa"/>
            <w:vAlign w:val="bottom"/>
          </w:tcPr>
          <w:p>
            <w:pPr>
              <w:spacing w:after="0"/>
              <w:rPr>
                <w:sz w:val="20"/>
                <w:szCs w:val="20"/>
                <w:color w:val="auto"/>
              </w:rPr>
            </w:pPr>
          </w:p>
        </w:tc>
        <w:tc>
          <w:tcPr>
            <w:tcW w:w="580" w:type="dxa"/>
            <w:vAlign w:val="bottom"/>
            <w:gridSpan w:val="2"/>
          </w:tcPr>
          <w:p>
            <w:pPr>
              <w:jc w:val="center"/>
              <w:spacing w:after="0"/>
              <w:rPr>
                <w:sz w:val="20"/>
                <w:szCs w:val="20"/>
                <w:color w:val="auto"/>
              </w:rPr>
            </w:pPr>
            <w:r>
              <w:rPr>
                <w:rFonts w:ascii="Arial" w:cs="Arial" w:eastAsia="Arial" w:hAnsi="Arial"/>
                <w:sz w:val="20"/>
                <w:szCs w:val="20"/>
                <w:color w:val="4472C4"/>
                <w:w w:val="99"/>
              </w:rPr>
              <w:t>46%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8740" w:type="dxa"/>
            <w:vAlign w:val="bottom"/>
            <w:gridSpan w:val="3"/>
          </w:tcPr>
          <w:p>
            <w:pPr>
              <w:spacing w:after="0"/>
              <w:rPr>
                <w:sz w:val="20"/>
                <w:szCs w:val="20"/>
                <w:color w:val="auto"/>
              </w:rPr>
            </w:pPr>
            <w:r>
              <w:rPr>
                <w:rFonts w:ascii="Arial" w:cs="Arial" w:eastAsia="Arial" w:hAnsi="Arial"/>
                <w:sz w:val="20"/>
                <w:szCs w:val="20"/>
                <w:color w:val="auto"/>
              </w:rPr>
              <w:t>vs. Selected Small Cap Companies</w:t>
            </w:r>
          </w:p>
        </w:tc>
        <w:tc>
          <w:tcPr>
            <w:tcW w:w="1020" w:type="dxa"/>
            <w:vAlign w:val="bottom"/>
            <w:gridSpan w:val="2"/>
          </w:tcPr>
          <w:p>
            <w:pPr>
              <w:jc w:val="center"/>
              <w:ind w:left="341"/>
              <w:spacing w:after="0"/>
              <w:rPr>
                <w:sz w:val="20"/>
                <w:szCs w:val="20"/>
                <w:color w:val="auto"/>
              </w:rPr>
            </w:pPr>
            <w:r>
              <w:rPr>
                <w:rFonts w:ascii="Arial" w:cs="Arial" w:eastAsia="Arial" w:hAnsi="Arial"/>
                <w:sz w:val="20"/>
                <w:szCs w:val="20"/>
                <w:color w:val="4472C4"/>
                <w:w w:val="94"/>
              </w:rPr>
              <w:t>48%</w:t>
            </w:r>
          </w:p>
        </w:tc>
        <w:tc>
          <w:tcPr>
            <w:tcW w:w="660" w:type="dxa"/>
            <w:vAlign w:val="bottom"/>
          </w:tcPr>
          <w:p>
            <w:pPr>
              <w:spacing w:after="0"/>
              <w:rPr>
                <w:sz w:val="24"/>
                <w:szCs w:val="24"/>
                <w:color w:val="auto"/>
              </w:rPr>
            </w:pPr>
          </w:p>
        </w:tc>
        <w:tc>
          <w:tcPr>
            <w:tcW w:w="580" w:type="dxa"/>
            <w:vAlign w:val="bottom"/>
            <w:gridSpan w:val="2"/>
          </w:tcPr>
          <w:p>
            <w:pPr>
              <w:jc w:val="center"/>
              <w:spacing w:after="0"/>
              <w:rPr>
                <w:sz w:val="20"/>
                <w:szCs w:val="20"/>
                <w:color w:val="auto"/>
              </w:rPr>
            </w:pPr>
            <w:r>
              <w:rPr>
                <w:rFonts w:ascii="Arial" w:cs="Arial" w:eastAsia="Arial" w:hAnsi="Arial"/>
                <w:sz w:val="20"/>
                <w:szCs w:val="20"/>
                <w:color w:val="4472C4"/>
                <w:w w:val="99"/>
              </w:rPr>
              <w:t>34%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Source: Bloomberg, Refinitiv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 w:name="page15"/>
    <w:bookmarkEnd w:id="14"/>
    <w:p>
      <w:pPr>
        <w:ind w:right="160"/>
        <w:spacing w:after="0" w:line="229" w:lineRule="auto"/>
        <w:rPr>
          <w:sz w:val="20"/>
          <w:szCs w:val="20"/>
          <w:color w:val="auto"/>
        </w:rPr>
      </w:pPr>
      <w:r>
        <w:rPr>
          <w:rFonts w:ascii="Arial" w:cs="Arial" w:eastAsia="Arial" w:hAnsi="Arial"/>
          <w:sz w:val="20"/>
          <w:szCs w:val="20"/>
          <w:color w:val="auto"/>
        </w:rPr>
        <w:t>Utilizing the same peer group as Evercore and employing a virtually identical public company trading multiple methodology, we believe there is considerably more upside potential in QEP shares today as a standalone company than the value offered to QEP shareholders under the current terms of the Diamondback Acquisition. It appears easily observable that current trading multiples of E&amp;P companies similar to QEP are supportive of significant upside for QEP’s stock and they reinforce our contention that the current terms of the Diamondback Acquisition are value destructive to QEP shareholders.</w:t>
      </w:r>
    </w:p>
    <w:p>
      <w:pPr>
        <w:spacing w:after="0" w:line="395"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auto"/>
        </w:rPr>
        <w:t>III. A Path Forward</w:t>
      </w:r>
    </w:p>
    <w:p>
      <w:pPr>
        <w:spacing w:after="0" w:line="255"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We believe that 2020 marked a pivotal period for QEP. Prior to the merger, QEP’s management adopted a revised operating plan that focused on cash flow generation and liability management. QEP also implemented a reduction in its capital budget and suspended its quarterly dividend.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QEP’s FY 2020 10-K</w:t>
      </w:r>
      <w:r>
        <w:rPr>
          <w:rFonts w:ascii="Arial" w:cs="Arial" w:eastAsia="Arial" w:hAnsi="Arial"/>
          <w:sz w:val="32"/>
          <w:szCs w:val="32"/>
          <w:color w:val="auto"/>
          <w:vertAlign w:val="superscript"/>
        </w:rPr>
        <w:t>[6]</w:t>
      </w:r>
      <w:r>
        <w:rPr>
          <w:rFonts w:ascii="Arial" w:cs="Arial" w:eastAsia="Arial" w:hAnsi="Arial"/>
          <w:sz w:val="20"/>
          <w:szCs w:val="20"/>
          <w:color w:val="auto"/>
        </w:rPr>
        <w:t xml:space="preserve"> highlights the reduction that it achieved in cost per barrel:</w:t>
      </w:r>
    </w:p>
    <w:p>
      <w:pPr>
        <w:spacing w:after="0" w:line="95" w:lineRule="exact"/>
        <w:rPr>
          <w:sz w:val="20"/>
          <w:szCs w:val="20"/>
          <w:color w:val="auto"/>
        </w:rPr>
      </w:pPr>
    </w:p>
    <w:p>
      <w:pPr>
        <w:ind w:left="660" w:right="640"/>
        <w:spacing w:after="0" w:line="234" w:lineRule="auto"/>
        <w:rPr>
          <w:sz w:val="20"/>
          <w:szCs w:val="20"/>
          <w:color w:val="auto"/>
        </w:rPr>
      </w:pPr>
      <w:r>
        <w:rPr>
          <w:rFonts w:ascii="Arial" w:cs="Arial" w:eastAsia="Arial" w:hAnsi="Arial"/>
          <w:sz w:val="20"/>
          <w:szCs w:val="20"/>
          <w:i w:val="1"/>
          <w:iCs w:val="1"/>
          <w:color w:val="auto"/>
        </w:rPr>
        <w:t>“During the year ended December 31, 2020, LOE decreased $1.01 per Boe, or 18%, compared to the year ended December 31, 2019, primarily due to continuing efforts to reduce operating expenses, despite decreased production in the Permian and Williston basins.”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Source: </w:t>
      </w:r>
      <w:r>
        <w:rPr>
          <w:rFonts w:ascii="Arial" w:cs="Arial" w:eastAsia="Arial" w:hAnsi="Arial"/>
          <w:sz w:val="16"/>
          <w:szCs w:val="16"/>
          <w:color w:val="0563C1"/>
        </w:rPr>
        <w:t>QEP’s 2020 10k</w:t>
      </w:r>
    </w:p>
    <w:p>
      <w:pPr>
        <w:spacing w:after="0" w:line="216" w:lineRule="exact"/>
        <w:rPr>
          <w:sz w:val="20"/>
          <w:szCs w:val="20"/>
          <w:color w:val="auto"/>
        </w:rPr>
      </w:pPr>
    </w:p>
    <w:p>
      <w:pPr>
        <w:spacing w:after="0" w:line="204" w:lineRule="auto"/>
        <w:rPr>
          <w:sz w:val="20"/>
          <w:szCs w:val="20"/>
          <w:color w:val="auto"/>
        </w:rPr>
      </w:pPr>
      <w:r>
        <w:rPr>
          <w:rFonts w:ascii="Arial" w:cs="Arial" w:eastAsia="Arial" w:hAnsi="Arial"/>
          <w:sz w:val="19"/>
          <w:szCs w:val="19"/>
          <w:color w:val="auto"/>
        </w:rPr>
        <w:t>In November 2018, QEP announced a definitive agreement to sell its Williston Basin assets to Vantage Energy Acquisition Corp. for upwards of $1.65 billion</w:t>
      </w:r>
      <w:r>
        <w:rPr>
          <w:rFonts w:ascii="Arial" w:cs="Arial" w:eastAsia="Arial" w:hAnsi="Arial"/>
          <w:sz w:val="31"/>
          <w:szCs w:val="31"/>
          <w:color w:val="auto"/>
          <w:vertAlign w:val="superscript"/>
        </w:rPr>
        <w:t>[7]</w:t>
      </w:r>
      <w:r>
        <w:rPr>
          <w:rFonts w:ascii="Arial" w:cs="Arial" w:eastAsia="Arial" w:hAnsi="Arial"/>
          <w:sz w:val="19"/>
          <w:szCs w:val="19"/>
          <w:color w:val="auto"/>
        </w:rPr>
        <w:t>. The transaction terminated in Feb 2019, when WTI traded at approximately $55 per barrel. Today</w:t>
      </w:r>
    </w:p>
    <w:p>
      <w:pPr>
        <w:ind w:right="100"/>
        <w:spacing w:after="0" w:line="212" w:lineRule="auto"/>
        <w:rPr>
          <w:sz w:val="20"/>
          <w:szCs w:val="20"/>
          <w:color w:val="auto"/>
        </w:rPr>
      </w:pPr>
      <w:r>
        <w:rPr>
          <w:rFonts w:ascii="Arial" w:cs="Arial" w:eastAsia="Arial" w:hAnsi="Arial"/>
          <w:sz w:val="20"/>
          <w:szCs w:val="20"/>
          <w:color w:val="auto"/>
        </w:rPr>
        <w:t xml:space="preserve">WTI trades in excess of $60. The </w:t>
      </w:r>
      <w:r>
        <w:rPr>
          <w:rFonts w:ascii="Arial" w:cs="Arial" w:eastAsia="Arial" w:hAnsi="Arial"/>
          <w:sz w:val="20"/>
          <w:szCs w:val="20"/>
          <w:color w:val="0563C1"/>
        </w:rPr>
        <w:t>background section of the definitive proxy</w:t>
      </w:r>
      <w:r>
        <w:rPr>
          <w:rFonts w:ascii="Arial" w:cs="Arial" w:eastAsia="Arial" w:hAnsi="Arial"/>
          <w:sz w:val="32"/>
          <w:szCs w:val="32"/>
          <w:u w:val="single" w:color="auto"/>
          <w:color w:val="0563C1"/>
          <w:vertAlign w:val="superscript"/>
        </w:rPr>
        <w:t>[8]</w:t>
      </w:r>
      <w:r>
        <w:rPr>
          <w:rFonts w:ascii="Arial" w:cs="Arial" w:eastAsia="Arial" w:hAnsi="Arial"/>
          <w:sz w:val="20"/>
          <w:szCs w:val="20"/>
          <w:color w:val="auto"/>
        </w:rPr>
        <w:t xml:space="preserve"> discusses inbound inquiries from parties interested in acquiring QEP’s Williston Basin assets. Now is the time for QEP to reengage potential buyers of its Williston Basin assets, utilize the proceeds to pay down debt, and finally achieve its years-long quest to transform into a pure play Permian operator.</w:t>
      </w:r>
    </w:p>
    <w:p>
      <w:pPr>
        <w:spacing w:after="0" w:line="197"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We believe that QEP’s Permian assets, wrapped in a more modestly indebted corporate entity (sans the Williston assets), represents an attractive acquisition target or merger partner. QEP’s ability to generate cash flow and drive efficiency will create a highly attractive pure-play Permian operator. We urge shareholders to not leave meaningful value on the table.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w:t>
      </w:r>
    </w:p>
    <w:p>
      <w:pPr>
        <w:ind w:left="120" w:hanging="112"/>
        <w:spacing w:after="0" w:line="216" w:lineRule="auto"/>
        <w:tabs>
          <w:tab w:leader="none" w:pos="120" w:val="left"/>
        </w:tabs>
        <w:numPr>
          <w:ilvl w:val="0"/>
          <w:numId w:val="14"/>
        </w:numPr>
        <w:rPr>
          <w:rFonts w:ascii="Arial" w:cs="Arial" w:eastAsia="Arial" w:hAnsi="Arial"/>
          <w:sz w:val="27"/>
          <w:szCs w:val="27"/>
          <w:color w:val="auto"/>
          <w:vertAlign w:val="superscript"/>
        </w:rPr>
      </w:pPr>
      <w:r>
        <w:rPr>
          <w:rFonts w:ascii="Arial" w:cs="Arial" w:eastAsia="Arial" w:hAnsi="Arial"/>
          <w:sz w:val="16"/>
          <w:szCs w:val="16"/>
          <w:color w:val="auto"/>
        </w:rPr>
        <w:t>QEP FY 2020 10K https://www.sec.gov/ix?doc=/Archives/edgar/data/1108827/000110882721000012/qep-20201231.htm</w:t>
      </w:r>
    </w:p>
    <w:p>
      <w:pPr>
        <w:spacing w:after="0" w:line="63" w:lineRule="exact"/>
        <w:rPr>
          <w:sz w:val="20"/>
          <w:szCs w:val="20"/>
          <w:color w:val="auto"/>
        </w:rPr>
      </w:pPr>
    </w:p>
    <w:p>
      <w:pPr>
        <w:ind w:right="340" w:firstLine="8"/>
        <w:spacing w:after="0" w:line="186" w:lineRule="auto"/>
        <w:tabs>
          <w:tab w:leader="none" w:pos="112" w:val="left"/>
        </w:tabs>
        <w:numPr>
          <w:ilvl w:val="0"/>
          <w:numId w:val="15"/>
        </w:numPr>
        <w:rPr>
          <w:rFonts w:ascii="Arial" w:cs="Arial" w:eastAsia="Arial" w:hAnsi="Arial"/>
          <w:sz w:val="27"/>
          <w:szCs w:val="27"/>
          <w:color w:val="auto"/>
          <w:vertAlign w:val="superscript"/>
        </w:rPr>
      </w:pPr>
      <w:r>
        <w:rPr>
          <w:rFonts w:ascii="Arial" w:cs="Arial" w:eastAsia="Arial" w:hAnsi="Arial"/>
          <w:sz w:val="16"/>
          <w:szCs w:val="16"/>
          <w:color w:val="auto"/>
        </w:rPr>
        <w:t>Vantage Energy press release, 11/7/2018, https://www.globenewswire.com/news-release/2018/11/07/1646757/0/en/Vantage-Energy-Acquisition-Corp-Announces-1-65-Billion-Acquisition-of-Williston-Basin-Assets-from-QEP-Resources-to-Form-Publicly-Traded-Vantage-Energy-Inc.html</w:t>
      </w:r>
    </w:p>
    <w:p>
      <w:pPr>
        <w:spacing w:after="0" w:line="62" w:lineRule="exact"/>
        <w:rPr>
          <w:sz w:val="20"/>
          <w:szCs w:val="20"/>
          <w:color w:val="auto"/>
        </w:rPr>
      </w:pPr>
    </w:p>
    <w:p>
      <w:pPr>
        <w:ind w:right="3040" w:firstLine="8"/>
        <w:spacing w:after="0" w:line="186" w:lineRule="auto"/>
        <w:tabs>
          <w:tab w:leader="none" w:pos="120" w:val="left"/>
        </w:tabs>
        <w:numPr>
          <w:ilvl w:val="0"/>
          <w:numId w:val="16"/>
        </w:numPr>
        <w:rPr>
          <w:rFonts w:ascii="Arial" w:cs="Arial" w:eastAsia="Arial" w:hAnsi="Arial"/>
          <w:sz w:val="27"/>
          <w:szCs w:val="27"/>
          <w:color w:val="auto"/>
          <w:vertAlign w:val="superscript"/>
        </w:rPr>
      </w:pPr>
      <w:r>
        <w:rPr>
          <w:rFonts w:ascii="Arial" w:cs="Arial" w:eastAsia="Arial" w:hAnsi="Arial"/>
          <w:sz w:val="16"/>
          <w:szCs w:val="16"/>
          <w:color w:val="auto"/>
        </w:rPr>
        <w:t>QEP’s Definitive Proxy Statement, dated 2/10/2021, https://www.sec.gov/Archives/edgar/data/0001108827/000119312521036492/d16880ddefm14a.htm#toc16880_55</w:t>
      </w:r>
    </w:p>
    <w:p>
      <w:pPr>
        <w:sectPr>
          <w:pgSz w:w="11900" w:h="16838" w:orient="portrait"/>
          <w:cols w:equalWidth="0" w:num="1">
            <w:col w:w="11220"/>
          </w:cols>
          <w:pgMar w:left="320" w:top="703" w:right="359" w:bottom="1440" w:gutter="0" w:footer="0" w:header="0"/>
        </w:sectPr>
      </w:pPr>
    </w:p>
    <w:bookmarkStart w:id="15" w:name="page16"/>
    <w:bookmarkEnd w:id="15"/>
    <w:p>
      <w:pPr>
        <w:spacing w:after="0"/>
        <w:rPr>
          <w:sz w:val="20"/>
          <w:szCs w:val="20"/>
          <w:color w:val="auto"/>
        </w:rPr>
      </w:pPr>
      <w:r>
        <w:rPr>
          <w:rFonts w:ascii="Arial" w:cs="Arial" w:eastAsia="Arial" w:hAnsi="Arial"/>
          <w:sz w:val="23"/>
          <w:szCs w:val="23"/>
          <w:b w:val="1"/>
          <w:bCs w:val="1"/>
          <w:u w:val="single" w:color="auto"/>
          <w:color w:val="auto"/>
        </w:rPr>
        <w:t>IV. Conclusion</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Diamondback contacted QEP on November 30, 2020, with an interest in making an offer for QEP. Only three weeks later, a</w:t>
      </w:r>
    </w:p>
    <w:p>
      <w:pPr>
        <w:ind w:right="940"/>
        <w:spacing w:after="0" w:line="202" w:lineRule="auto"/>
        <w:rPr>
          <w:sz w:val="20"/>
          <w:szCs w:val="20"/>
          <w:color w:val="auto"/>
        </w:rPr>
      </w:pPr>
      <w:r>
        <w:rPr>
          <w:rFonts w:ascii="Arial" w:cs="Arial" w:eastAsia="Arial" w:hAnsi="Arial"/>
          <w:sz w:val="20"/>
          <w:szCs w:val="20"/>
          <w:color w:val="auto"/>
        </w:rPr>
        <w:t>merger agreement was signed</w:t>
      </w:r>
      <w:r>
        <w:rPr>
          <w:rFonts w:ascii="Arial" w:cs="Arial" w:eastAsia="Arial" w:hAnsi="Arial"/>
          <w:sz w:val="32"/>
          <w:szCs w:val="32"/>
          <w:color w:val="auto"/>
          <w:vertAlign w:val="superscript"/>
        </w:rPr>
        <w:t>[9]</w:t>
      </w:r>
      <w:r>
        <w:rPr>
          <w:rFonts w:ascii="Arial" w:cs="Arial" w:eastAsia="Arial" w:hAnsi="Arial"/>
          <w:sz w:val="20"/>
          <w:szCs w:val="20"/>
          <w:color w:val="auto"/>
        </w:rPr>
        <w:t>. In hindsight, the shotgun wedding seems entirely unnecessary, and fortunately QEP shareholders still have the ability to prevent that from consummating.</w:t>
      </w:r>
    </w:p>
    <w:p>
      <w:pPr>
        <w:spacing w:after="0" w:line="196" w:lineRule="exact"/>
        <w:rPr>
          <w:sz w:val="20"/>
          <w:szCs w:val="20"/>
          <w:color w:val="auto"/>
        </w:rPr>
      </w:pPr>
    </w:p>
    <w:p>
      <w:pPr>
        <w:jc w:val="both"/>
        <w:ind w:right="80"/>
        <w:spacing w:after="0" w:line="226" w:lineRule="auto"/>
        <w:rPr>
          <w:sz w:val="20"/>
          <w:szCs w:val="20"/>
          <w:color w:val="auto"/>
        </w:rPr>
      </w:pPr>
      <w:r>
        <w:rPr>
          <w:rFonts w:ascii="Arial" w:cs="Arial" w:eastAsia="Arial" w:hAnsi="Arial"/>
          <w:sz w:val="20"/>
          <w:szCs w:val="20"/>
          <w:color w:val="auto"/>
        </w:rPr>
        <w:t>In just the past week, OPEC announced an agreement to extend oil output cuts and Saudi Arabia agreed to extend its voluntary cut of 1 million barrels per day</w:t>
      </w:r>
      <w:r>
        <w:rPr>
          <w:rFonts w:ascii="Arial" w:cs="Arial" w:eastAsia="Arial" w:hAnsi="Arial"/>
          <w:sz w:val="32"/>
          <w:szCs w:val="32"/>
          <w:color w:val="auto"/>
          <w:vertAlign w:val="superscript"/>
        </w:rPr>
        <w:t>[10]</w:t>
      </w:r>
      <w:r>
        <w:rPr>
          <w:rFonts w:ascii="Arial" w:cs="Arial" w:eastAsia="Arial" w:hAnsi="Arial"/>
          <w:sz w:val="20"/>
          <w:szCs w:val="20"/>
          <w:color w:val="auto"/>
        </w:rPr>
        <w:t>. Goldman Sachs raised its Brent forecast to $75 per barrel for Q2 2021 and $80 per barrel in for Q3 2021</w:t>
      </w:r>
      <w:r>
        <w:rPr>
          <w:rFonts w:ascii="Arial" w:cs="Arial" w:eastAsia="Arial" w:hAnsi="Arial"/>
          <w:sz w:val="32"/>
          <w:szCs w:val="32"/>
          <w:color w:val="auto"/>
          <w:vertAlign w:val="superscript"/>
        </w:rPr>
        <w:t>[11]</w:t>
      </w:r>
      <w:r>
        <w:rPr>
          <w:rFonts w:ascii="Arial" w:cs="Arial" w:eastAsia="Arial" w:hAnsi="Arial"/>
          <w:sz w:val="20"/>
          <w:szCs w:val="20"/>
          <w:color w:val="auto"/>
        </w:rPr>
        <w:t>.</w:t>
      </w:r>
    </w:p>
    <w:p>
      <w:pPr>
        <w:spacing w:after="0" w:line="62" w:lineRule="exact"/>
        <w:rPr>
          <w:sz w:val="20"/>
          <w:szCs w:val="20"/>
          <w:color w:val="auto"/>
        </w:rPr>
      </w:pPr>
    </w:p>
    <w:p>
      <w:pPr>
        <w:ind w:right="160"/>
        <w:spacing w:after="0" w:line="232" w:lineRule="auto"/>
        <w:rPr>
          <w:sz w:val="20"/>
          <w:szCs w:val="20"/>
          <w:color w:val="auto"/>
        </w:rPr>
      </w:pPr>
      <w:r>
        <w:rPr>
          <w:rFonts w:ascii="Arial" w:cs="Arial" w:eastAsia="Arial" w:hAnsi="Arial"/>
          <w:sz w:val="20"/>
          <w:szCs w:val="20"/>
          <w:color w:val="auto"/>
        </w:rPr>
        <w:t>With the rebound in E&amp;P valuations, historically strong interest by multiple parties in QEP’s assets, and QEP’s success in its own standalone plan, there appears to be no rationale for QEP shareholders to forfeit significant upside to Diamondback at the current terms of the Diamondback Acquisition.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3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Table 4: Summary of QEP Standalone Share Price Analyses</w:t>
            </w:r>
          </w:p>
        </w:tc>
        <w:tc>
          <w:tcPr>
            <w:tcW w:w="26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r>
      <w:tr>
        <w:trPr>
          <w:trHeight w:val="255"/>
        </w:trPr>
        <w:tc>
          <w:tcPr>
            <w:tcW w:w="6360" w:type="dxa"/>
            <w:vAlign w:val="bottom"/>
          </w:tcPr>
          <w:p>
            <w:pPr>
              <w:spacing w:after="0"/>
              <w:rPr>
                <w:sz w:val="22"/>
                <w:szCs w:val="22"/>
                <w:color w:val="auto"/>
              </w:rPr>
            </w:pPr>
          </w:p>
        </w:tc>
        <w:tc>
          <w:tcPr>
            <w:tcW w:w="2640" w:type="dxa"/>
            <w:vAlign w:val="bottom"/>
          </w:tcPr>
          <w:p>
            <w:pPr>
              <w:ind w:left="760"/>
              <w:spacing w:after="0"/>
              <w:rPr>
                <w:sz w:val="20"/>
                <w:szCs w:val="20"/>
                <w:color w:val="auto"/>
              </w:rPr>
            </w:pPr>
            <w:r>
              <w:rPr>
                <w:rFonts w:ascii="Arial" w:cs="Arial" w:eastAsia="Arial" w:hAnsi="Arial"/>
                <w:sz w:val="20"/>
                <w:szCs w:val="20"/>
                <w:b w:val="1"/>
                <w:bCs w:val="1"/>
                <w:color w:val="auto"/>
              </w:rPr>
              <w:t>Illustrative Price</w:t>
            </w:r>
          </w:p>
        </w:tc>
        <w:tc>
          <w:tcPr>
            <w:tcW w:w="2240" w:type="dxa"/>
            <w:vAlign w:val="bottom"/>
          </w:tcPr>
          <w:p>
            <w:pPr>
              <w:ind w:left="340"/>
              <w:spacing w:after="0"/>
              <w:rPr>
                <w:sz w:val="20"/>
                <w:szCs w:val="20"/>
                <w:color w:val="auto"/>
              </w:rPr>
            </w:pPr>
            <w:r>
              <w:rPr>
                <w:rFonts w:ascii="Arial" w:cs="Arial" w:eastAsia="Arial" w:hAnsi="Arial"/>
                <w:sz w:val="20"/>
                <w:szCs w:val="20"/>
                <w:b w:val="1"/>
                <w:bCs w:val="1"/>
                <w:color w:val="auto"/>
              </w:rPr>
              <w:t>Potential Upside</w:t>
            </w:r>
          </w:p>
        </w:tc>
      </w:tr>
      <w:tr>
        <w:trPr>
          <w:trHeight w:val="76"/>
        </w:trPr>
        <w:tc>
          <w:tcPr>
            <w:tcW w:w="6360" w:type="dxa"/>
            <w:vAlign w:val="bottom"/>
            <w:tcBorders>
              <w:bottom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r>
      <w:tr>
        <w:trPr>
          <w:trHeight w:val="551"/>
        </w:trPr>
        <w:tc>
          <w:tcPr>
            <w:tcW w:w="6360" w:type="dxa"/>
            <w:vAlign w:val="bottom"/>
          </w:tcPr>
          <w:p>
            <w:pPr>
              <w:ind w:left="100"/>
              <w:spacing w:after="0"/>
              <w:rPr>
                <w:sz w:val="20"/>
                <w:szCs w:val="20"/>
                <w:color w:val="auto"/>
              </w:rPr>
            </w:pPr>
            <w:r>
              <w:rPr>
                <w:rFonts w:ascii="Arial" w:cs="Arial" w:eastAsia="Arial" w:hAnsi="Arial"/>
                <w:sz w:val="20"/>
                <w:szCs w:val="20"/>
                <w:color w:val="auto"/>
              </w:rPr>
              <w:t>Share Price Performance of Comparable Companies</w:t>
            </w:r>
          </w:p>
        </w:tc>
        <w:tc>
          <w:tcPr>
            <w:tcW w:w="2640" w:type="dxa"/>
            <w:vAlign w:val="bottom"/>
          </w:tcPr>
          <w:p>
            <w:pPr>
              <w:jc w:val="center"/>
              <w:ind w:left="301"/>
              <w:spacing w:after="0"/>
              <w:rPr>
                <w:sz w:val="20"/>
                <w:szCs w:val="20"/>
                <w:color w:val="auto"/>
              </w:rPr>
            </w:pPr>
            <w:r>
              <w:rPr>
                <w:rFonts w:ascii="Arial" w:cs="Arial" w:eastAsia="Arial" w:hAnsi="Arial"/>
                <w:sz w:val="20"/>
                <w:szCs w:val="20"/>
                <w:color w:val="auto"/>
                <w:w w:val="95"/>
              </w:rPr>
              <w:t>$6.77</w:t>
            </w:r>
          </w:p>
        </w:tc>
        <w:tc>
          <w:tcPr>
            <w:tcW w:w="2240" w:type="dxa"/>
            <w:vAlign w:val="bottom"/>
          </w:tcPr>
          <w:p>
            <w:pPr>
              <w:jc w:val="center"/>
              <w:spacing w:after="0"/>
              <w:rPr>
                <w:sz w:val="20"/>
                <w:szCs w:val="20"/>
                <w:color w:val="auto"/>
              </w:rPr>
            </w:pPr>
            <w:r>
              <w:rPr>
                <w:rFonts w:ascii="Arial" w:cs="Arial" w:eastAsia="Arial" w:hAnsi="Arial"/>
                <w:sz w:val="20"/>
                <w:szCs w:val="20"/>
                <w:color w:val="auto"/>
                <w:w w:val="99"/>
              </w:rPr>
              <w:t>59%</w:t>
            </w:r>
          </w:p>
        </w:tc>
      </w:tr>
      <w:tr>
        <w:trPr>
          <w:trHeight w:val="675"/>
        </w:trPr>
        <w:tc>
          <w:tcPr>
            <w:tcW w:w="6360" w:type="dxa"/>
            <w:vAlign w:val="bottom"/>
          </w:tcPr>
          <w:p>
            <w:pPr>
              <w:ind w:left="100"/>
              <w:spacing w:after="0"/>
              <w:rPr>
                <w:sz w:val="20"/>
                <w:szCs w:val="20"/>
                <w:color w:val="auto"/>
              </w:rPr>
            </w:pPr>
            <w:r>
              <w:rPr>
                <w:rFonts w:ascii="Arial" w:cs="Arial" w:eastAsia="Arial" w:hAnsi="Arial"/>
                <w:sz w:val="20"/>
                <w:szCs w:val="20"/>
                <w:color w:val="auto"/>
              </w:rPr>
              <w:t>Evercore's Selected Public Company Trading Analysis</w:t>
            </w:r>
          </w:p>
        </w:tc>
        <w:tc>
          <w:tcPr>
            <w:tcW w:w="2640" w:type="dxa"/>
            <w:vAlign w:val="bottom"/>
          </w:tcPr>
          <w:p>
            <w:pPr>
              <w:jc w:val="center"/>
              <w:ind w:left="301"/>
              <w:spacing w:after="0"/>
              <w:rPr>
                <w:sz w:val="20"/>
                <w:szCs w:val="20"/>
                <w:color w:val="auto"/>
              </w:rPr>
            </w:pPr>
            <w:r>
              <w:rPr>
                <w:rFonts w:ascii="Arial" w:cs="Arial" w:eastAsia="Arial" w:hAnsi="Arial"/>
                <w:sz w:val="20"/>
                <w:szCs w:val="20"/>
                <w:color w:val="auto"/>
                <w:w w:val="98"/>
              </w:rPr>
              <w:t>$5.74 - $6.34</w:t>
            </w:r>
          </w:p>
        </w:tc>
        <w:tc>
          <w:tcPr>
            <w:tcW w:w="2240" w:type="dxa"/>
            <w:vAlign w:val="bottom"/>
          </w:tcPr>
          <w:p>
            <w:pPr>
              <w:jc w:val="center"/>
              <w:spacing w:after="0"/>
              <w:rPr>
                <w:sz w:val="20"/>
                <w:szCs w:val="20"/>
                <w:color w:val="auto"/>
              </w:rPr>
            </w:pPr>
            <w:r>
              <w:rPr>
                <w:rFonts w:ascii="Arial" w:cs="Arial" w:eastAsia="Arial" w:hAnsi="Arial"/>
                <w:sz w:val="20"/>
                <w:szCs w:val="20"/>
                <w:color w:val="auto"/>
                <w:w w:val="98"/>
              </w:rPr>
              <w:t>34% - 48%</w:t>
            </w:r>
          </w:p>
        </w:tc>
      </w:tr>
      <w:tr>
        <w:trPr>
          <w:trHeight w:val="455"/>
        </w:trPr>
        <w:tc>
          <w:tcPr>
            <w:tcW w:w="6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61"/>
        </w:trPr>
        <w:tc>
          <w:tcPr>
            <w:tcW w:w="6360" w:type="dxa"/>
            <w:vAlign w:val="bottom"/>
            <w:shd w:val="clear" w:color="auto" w:fill="000000"/>
          </w:tcPr>
          <w:p>
            <w:pPr>
              <w:ind w:left="100"/>
              <w:spacing w:after="0"/>
              <w:rPr>
                <w:sz w:val="20"/>
                <w:szCs w:val="20"/>
                <w:color w:val="auto"/>
              </w:rPr>
            </w:pPr>
            <w:r>
              <w:rPr>
                <w:rFonts w:ascii="Arial" w:cs="Arial" w:eastAsia="Arial" w:hAnsi="Arial"/>
                <w:sz w:val="20"/>
                <w:szCs w:val="20"/>
                <w:b w:val="1"/>
                <w:bCs w:val="1"/>
                <w:color w:val="FFFFFF"/>
              </w:rPr>
              <w:t>Average</w:t>
            </w:r>
          </w:p>
        </w:tc>
        <w:tc>
          <w:tcPr>
            <w:tcW w:w="2640" w:type="dxa"/>
            <w:vAlign w:val="bottom"/>
            <w:shd w:val="clear" w:color="auto" w:fill="000000"/>
          </w:tcPr>
          <w:p>
            <w:pPr>
              <w:jc w:val="center"/>
              <w:ind w:left="301"/>
              <w:spacing w:after="0"/>
              <w:rPr>
                <w:sz w:val="20"/>
                <w:szCs w:val="20"/>
                <w:color w:val="auto"/>
              </w:rPr>
            </w:pPr>
            <w:r>
              <w:rPr>
                <w:rFonts w:ascii="Arial" w:cs="Arial" w:eastAsia="Arial" w:hAnsi="Arial"/>
                <w:sz w:val="20"/>
                <w:szCs w:val="20"/>
                <w:b w:val="1"/>
                <w:bCs w:val="1"/>
                <w:color w:val="FFFFFF"/>
                <w:w w:val="98"/>
              </w:rPr>
              <w:t>$6.25 - $6.55</w:t>
            </w:r>
          </w:p>
        </w:tc>
        <w:tc>
          <w:tcPr>
            <w:tcW w:w="2240" w:type="dxa"/>
            <w:vAlign w:val="bottom"/>
            <w:shd w:val="clear" w:color="auto" w:fill="000000"/>
          </w:tcPr>
          <w:p>
            <w:pPr>
              <w:jc w:val="center"/>
              <w:spacing w:after="0"/>
              <w:rPr>
                <w:sz w:val="20"/>
                <w:szCs w:val="20"/>
                <w:color w:val="auto"/>
              </w:rPr>
            </w:pPr>
            <w:r>
              <w:rPr>
                <w:rFonts w:ascii="Arial" w:cs="Arial" w:eastAsia="Arial" w:hAnsi="Arial"/>
                <w:sz w:val="20"/>
                <w:szCs w:val="20"/>
                <w:b w:val="1"/>
                <w:bCs w:val="1"/>
                <w:color w:val="FFFFFF"/>
                <w:w w:val="98"/>
              </w:rPr>
              <w:t>46% - 53%</w:t>
            </w:r>
          </w:p>
        </w:tc>
      </w:tr>
      <w:tr>
        <w:trPr>
          <w:trHeight w:val="76"/>
        </w:trPr>
        <w:tc>
          <w:tcPr>
            <w:tcW w:w="6360" w:type="dxa"/>
            <w:vAlign w:val="bottom"/>
            <w:shd w:val="clear" w:color="auto" w:fill="000000"/>
          </w:tcPr>
          <w:p>
            <w:pPr>
              <w:spacing w:after="0"/>
              <w:rPr>
                <w:sz w:val="6"/>
                <w:szCs w:val="6"/>
                <w:color w:val="auto"/>
              </w:rPr>
            </w:pPr>
          </w:p>
        </w:tc>
        <w:tc>
          <w:tcPr>
            <w:tcW w:w="2640" w:type="dxa"/>
            <w:vAlign w:val="bottom"/>
            <w:shd w:val="clear" w:color="auto" w:fill="000000"/>
          </w:tcPr>
          <w:p>
            <w:pPr>
              <w:spacing w:after="0"/>
              <w:rPr>
                <w:sz w:val="6"/>
                <w:szCs w:val="6"/>
                <w:color w:val="auto"/>
              </w:rPr>
            </w:pPr>
          </w:p>
        </w:tc>
        <w:tc>
          <w:tcPr>
            <w:tcW w:w="2240" w:type="dxa"/>
            <w:vAlign w:val="bottom"/>
            <w:shd w:val="clear" w:color="auto" w:fill="000000"/>
          </w:tcPr>
          <w:p>
            <w:pPr>
              <w:spacing w:after="0"/>
              <w:rPr>
                <w:sz w:val="6"/>
                <w:szCs w:val="6"/>
                <w:color w:val="auto"/>
              </w:rPr>
            </w:pPr>
          </w:p>
        </w:tc>
      </w:tr>
    </w:tbl>
    <w:p>
      <w:pPr>
        <w:spacing w:after="0" w:line="200" w:lineRule="exact"/>
        <w:rPr>
          <w:sz w:val="20"/>
          <w:szCs w:val="20"/>
          <w:color w:val="auto"/>
        </w:rPr>
      </w:pPr>
    </w:p>
    <w:p>
      <w:pPr>
        <w:spacing w:after="0" w:line="363"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Although the board of QEP is compelled by the merger agreement that it signed with Diamondback to maintain its recommendation in favor of the Diamondback Acquisition, we and fellow shareholders can and should vote to reject the merger on its current terms. If QEP shareholders support the Diamondback Acquisition at the Special Meeting next week, they will collectively facilitate a substantial transfer of value from QEP shareholders to existing Diamondback shareholders for grossly inadequate consideration.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w:t>
      </w:r>
    </w:p>
    <w:p>
      <w:pPr>
        <w:spacing w:after="0" w:line="127" w:lineRule="exact"/>
        <w:rPr>
          <w:sz w:val="20"/>
          <w:szCs w:val="20"/>
          <w:color w:val="auto"/>
        </w:rPr>
      </w:pPr>
    </w:p>
    <w:p>
      <w:pPr>
        <w:jc w:val="both"/>
        <w:ind w:right="180" w:firstLine="8"/>
        <w:spacing w:after="0" w:line="183" w:lineRule="auto"/>
        <w:tabs>
          <w:tab w:leader="none" w:pos="146" w:val="left"/>
        </w:tabs>
        <w:numPr>
          <w:ilvl w:val="0"/>
          <w:numId w:val="17"/>
        </w:numPr>
        <w:rPr>
          <w:rFonts w:ascii="Arial" w:cs="Arial" w:eastAsia="Arial" w:hAnsi="Arial"/>
          <w:sz w:val="33"/>
          <w:szCs w:val="33"/>
          <w:color w:val="auto"/>
          <w:vertAlign w:val="superscript"/>
        </w:rPr>
      </w:pPr>
      <w:r>
        <w:rPr>
          <w:rFonts w:ascii="Arial" w:cs="Arial" w:eastAsia="Arial" w:hAnsi="Arial"/>
          <w:sz w:val="16"/>
          <w:szCs w:val="16"/>
          <w:color w:val="auto"/>
        </w:rPr>
        <w:t xml:space="preserve">Excerpt from Page 71 of the Proxy: “On November 30, 2020, Mr. Stice contacted Mr. Cutt to inform him that Diamondback would be interested in making an offer to acquire QEP. Mr. Cutt responded that management of QEP and the QEP board would be willing to consider an offer.” </w:t>
      </w:r>
      <w:r>
        <w:rPr>
          <w:rFonts w:ascii="Arial" w:cs="Arial" w:eastAsia="Arial" w:hAnsi="Arial"/>
          <w:sz w:val="16"/>
          <w:szCs w:val="16"/>
          <w:color w:val="0563C1"/>
        </w:rPr>
        <w:t>http://ir.qepres.com/static-files/a7a0aba0-293d-4d74-a493-414ed779ecf4</w:t>
      </w:r>
    </w:p>
    <w:p>
      <w:pPr>
        <w:ind w:left="220" w:hanging="212"/>
        <w:spacing w:after="0" w:line="203" w:lineRule="auto"/>
        <w:tabs>
          <w:tab w:leader="none" w:pos="220" w:val="left"/>
        </w:tabs>
        <w:numPr>
          <w:ilvl w:val="0"/>
          <w:numId w:val="18"/>
        </w:numPr>
        <w:rPr>
          <w:rFonts w:ascii="Arial" w:cs="Arial" w:eastAsia="Arial" w:hAnsi="Arial"/>
          <w:sz w:val="28"/>
          <w:szCs w:val="28"/>
          <w:color w:val="auto"/>
          <w:vertAlign w:val="superscript"/>
        </w:rPr>
      </w:pPr>
      <w:r>
        <w:rPr>
          <w:rFonts w:ascii="Arial" w:cs="Arial" w:eastAsia="Arial" w:hAnsi="Arial"/>
          <w:sz w:val="15"/>
          <w:szCs w:val="15"/>
          <w:color w:val="auto"/>
        </w:rPr>
        <w:t xml:space="preserve">OPEC+ extends most oil output cuts into April, Saudi keeps voluntary curb </w:t>
      </w:r>
      <w:r>
        <w:rPr>
          <w:rFonts w:ascii="Arial" w:cs="Arial" w:eastAsia="Arial" w:hAnsi="Arial"/>
          <w:sz w:val="15"/>
          <w:szCs w:val="15"/>
          <w:color w:val="0563C1"/>
        </w:rPr>
        <w:t>https://www.reuters.com/article/idUSKBN2AW0WA</w:t>
      </w:r>
    </w:p>
    <w:p>
      <w:pPr>
        <w:spacing w:after="0" w:line="116" w:lineRule="exact"/>
        <w:rPr>
          <w:rFonts w:ascii="Arial" w:cs="Arial" w:eastAsia="Arial" w:hAnsi="Arial"/>
          <w:sz w:val="28"/>
          <w:szCs w:val="28"/>
          <w:color w:val="auto"/>
          <w:vertAlign w:val="superscript"/>
        </w:rPr>
      </w:pPr>
    </w:p>
    <w:p>
      <w:pPr>
        <w:ind w:right="320" w:firstLine="8"/>
        <w:spacing w:after="0" w:line="181" w:lineRule="auto"/>
        <w:tabs>
          <w:tab w:leader="none" w:pos="238" w:val="left"/>
        </w:tabs>
        <w:numPr>
          <w:ilvl w:val="0"/>
          <w:numId w:val="18"/>
        </w:numPr>
        <w:rPr>
          <w:rFonts w:ascii="Arial" w:cs="Arial" w:eastAsia="Arial" w:hAnsi="Arial"/>
          <w:sz w:val="29"/>
          <w:szCs w:val="29"/>
          <w:color w:val="auto"/>
          <w:vertAlign w:val="superscript"/>
        </w:rPr>
      </w:pPr>
      <w:r>
        <w:rPr>
          <w:rFonts w:ascii="Arial" w:cs="Arial" w:eastAsia="Arial" w:hAnsi="Arial"/>
          <w:sz w:val="15"/>
          <w:szCs w:val="15"/>
          <w:color w:val="auto"/>
        </w:rPr>
        <w:t xml:space="preserve">Goldman hikes Brent forecast, says 'shale discipline' behind OPEC strategy </w:t>
      </w:r>
      <w:r>
        <w:rPr>
          <w:rFonts w:ascii="Arial" w:cs="Arial" w:eastAsia="Arial" w:hAnsi="Arial"/>
          <w:sz w:val="15"/>
          <w:szCs w:val="15"/>
          <w:color w:val="0563C1"/>
        </w:rPr>
        <w:t>https://www.reuters.com/article/us-global-oil-research-goldman/goldman-hikes-brent-forecast-says-shale-discipline-behind-opec-strategy-idUSKBN2AX0O5</w:t>
      </w:r>
    </w:p>
    <w:p>
      <w:pPr>
        <w:sectPr>
          <w:pgSz w:w="11900" w:h="16838" w:orient="portrait"/>
          <w:cols w:equalWidth="0" w:num="1">
            <w:col w:w="11240"/>
          </w:cols>
          <w:pgMar w:left="320" w:top="548"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color w:val="auto"/>
        </w:rPr>
        <w:t>In light of this, we believe ISS should rescind its recommendation in support of the Diamondback Acquisition.</w:t>
      </w:r>
    </w:p>
    <w:p>
      <w:pPr>
        <w:spacing w:after="0" w:line="202"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We recognize that the preponderance of merger and acquisition transactions involving public company E&amp;P targets during the past year have provided little to no premium to existing shareholders. We grasp that consolidation has been necessary in order to shore up balance sheets and create operators with the scale and financial strength to survive the next decade. But a 50% discount to fair value is ludicrous and a massive disservice to QEP shareholders. We do not see any downside to voting against the Diamondback Acquisition; on the contrary, we see incredible upside.</w:t>
      </w:r>
    </w:p>
    <w:p>
      <w:pPr>
        <w:spacing w:after="0" w:line="199" w:lineRule="exact"/>
        <w:rPr>
          <w:sz w:val="20"/>
          <w:szCs w:val="20"/>
          <w:color w:val="auto"/>
        </w:rPr>
      </w:pPr>
    </w:p>
    <w:p>
      <w:pPr>
        <w:ind w:right="320"/>
        <w:spacing w:after="0" w:line="236" w:lineRule="auto"/>
        <w:rPr>
          <w:sz w:val="20"/>
          <w:szCs w:val="20"/>
          <w:color w:val="auto"/>
        </w:rPr>
      </w:pPr>
      <w:r>
        <w:rPr>
          <w:rFonts w:ascii="Arial" w:cs="Arial" w:eastAsia="Arial" w:hAnsi="Arial"/>
          <w:sz w:val="20"/>
          <w:szCs w:val="20"/>
          <w:color w:val="auto"/>
        </w:rPr>
        <w:t>Accordingly, we intend to vote AGAINST the value destructive Diamondback Acquisition at the upcoming Special Meeting on March 16, 2021 and we believe that it is in the best interests of all QEP shareholders to do likewise.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Mark Ort</w:t>
      </w:r>
    </w:p>
    <w:p>
      <w:pPr>
        <w:spacing w:after="0" w:line="225" w:lineRule="auto"/>
        <w:rPr>
          <w:sz w:val="20"/>
          <w:szCs w:val="20"/>
          <w:color w:val="auto"/>
        </w:rPr>
      </w:pPr>
      <w:r>
        <w:rPr>
          <w:rFonts w:ascii="Arial" w:cs="Arial" w:eastAsia="Arial" w:hAnsi="Arial"/>
          <w:sz w:val="20"/>
          <w:szCs w:val="20"/>
          <w:color w:val="auto"/>
        </w:rPr>
        <w:t>Portfolio Manager</w:t>
      </w:r>
    </w:p>
    <w:p>
      <w:pPr>
        <w:spacing w:after="0"/>
        <w:rPr>
          <w:sz w:val="20"/>
          <w:szCs w:val="20"/>
          <w:color w:val="auto"/>
        </w:rPr>
      </w:pPr>
      <w:r>
        <w:rPr>
          <w:rFonts w:ascii="Arial" w:cs="Arial" w:eastAsia="Arial" w:hAnsi="Arial"/>
          <w:sz w:val="20"/>
          <w:szCs w:val="20"/>
          <w:color w:val="auto"/>
        </w:rPr>
        <w:t>Glazer Capital,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Glazer Capital, LLC</w:t>
      </w:r>
    </w:p>
    <w:p>
      <w:pPr>
        <w:spacing w:after="0" w:line="10" w:lineRule="exact"/>
        <w:rPr>
          <w:sz w:val="20"/>
          <w:szCs w:val="20"/>
          <w:color w:val="auto"/>
        </w:rPr>
      </w:pPr>
    </w:p>
    <w:p>
      <w:pPr>
        <w:ind w:right="220"/>
        <w:spacing w:after="0" w:line="230" w:lineRule="auto"/>
        <w:rPr>
          <w:sz w:val="20"/>
          <w:szCs w:val="20"/>
          <w:color w:val="auto"/>
        </w:rPr>
      </w:pPr>
      <w:r>
        <w:rPr>
          <w:rFonts w:ascii="Arial" w:cs="Arial" w:eastAsia="Arial" w:hAnsi="Arial"/>
          <w:sz w:val="20"/>
          <w:szCs w:val="20"/>
          <w:color w:val="auto"/>
        </w:rPr>
        <w:t>Founded by Paul J. Glazer in 1998, Glazer Capital LLC is a New York City based investment management firm specializing in investment strategies that are intended to be non-directional, market neutral, and liquid. Glazer Capital aims to achieve uncorrelated absolute returns in all market environments through its disciplined investment approach and research-driven methodology. The firm had assets under management of $2.4 billion as of March 1, 2021.</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Contacts</w:t>
      </w:r>
    </w:p>
    <w:p>
      <w:pPr>
        <w:spacing w:after="0" w:line="235" w:lineRule="auto"/>
        <w:rPr>
          <w:sz w:val="20"/>
          <w:szCs w:val="20"/>
          <w:color w:val="auto"/>
        </w:rPr>
      </w:pPr>
      <w:r>
        <w:rPr>
          <w:rFonts w:ascii="Arial" w:cs="Arial" w:eastAsia="Arial" w:hAnsi="Arial"/>
          <w:sz w:val="20"/>
          <w:szCs w:val="20"/>
          <w:color w:val="auto"/>
        </w:rPr>
        <w:t>Zach Kouwe</w:t>
      </w:r>
    </w:p>
    <w:p>
      <w:pPr>
        <w:spacing w:after="0" w:line="226" w:lineRule="auto"/>
        <w:rPr>
          <w:sz w:val="20"/>
          <w:szCs w:val="20"/>
          <w:color w:val="auto"/>
        </w:rPr>
      </w:pPr>
      <w:r>
        <w:rPr>
          <w:rFonts w:ascii="Arial" w:cs="Arial" w:eastAsia="Arial" w:hAnsi="Arial"/>
          <w:sz w:val="20"/>
          <w:szCs w:val="20"/>
          <w:color w:val="auto"/>
        </w:rPr>
        <w:t>Dukas Linden Public Relations</w:t>
      </w:r>
    </w:p>
    <w:p>
      <w:pPr>
        <w:spacing w:after="0" w:line="225" w:lineRule="auto"/>
        <w:rPr>
          <w:sz w:val="20"/>
          <w:szCs w:val="20"/>
          <w:color w:val="auto"/>
        </w:rPr>
      </w:pPr>
      <w:r>
        <w:rPr>
          <w:rFonts w:ascii="Arial" w:cs="Arial" w:eastAsia="Arial" w:hAnsi="Arial"/>
          <w:sz w:val="20"/>
          <w:szCs w:val="20"/>
          <w:color w:val="auto"/>
        </w:rPr>
        <w:t>646-808-3665</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1155CC"/>
        </w:rPr>
        <w:t>glazercaptial@dlpr.com</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373737"/>
        </w:rPr>
        <w:t>FORWARD-LOOKING STATEMENTS</w:t>
      </w:r>
    </w:p>
    <w:p>
      <w:pPr>
        <w:spacing w:after="0" w:line="226" w:lineRule="exact"/>
        <w:rPr>
          <w:sz w:val="20"/>
          <w:szCs w:val="20"/>
          <w:color w:val="auto"/>
        </w:rPr>
      </w:pPr>
    </w:p>
    <w:p>
      <w:pPr>
        <w:spacing w:after="0" w:line="227" w:lineRule="auto"/>
        <w:rPr>
          <w:sz w:val="20"/>
          <w:szCs w:val="20"/>
          <w:color w:val="auto"/>
        </w:rPr>
      </w:pPr>
      <w:r>
        <w:rPr>
          <w:rFonts w:ascii="Arial" w:cs="Arial" w:eastAsia="Arial" w:hAnsi="Arial"/>
          <w:sz w:val="20"/>
          <w:szCs w:val="20"/>
          <w:color w:val="373737"/>
        </w:rPr>
        <w:t>Certain statements contained in this letter, and the documents referred to in this letter, are "forward-looking statements" and are prospective. These statements may be identified by their use of forward-looking terminology such as the words "expects", "projects", "believes", "anticipates", "intends" or other similar words.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are subject to inherent risks and uncertainties surrounding future expectations. Important factors that could cause actual results to differ materially from the expectations set forth in this letter include, among other things, the factors identified under the section entitled "Risk Factors" of QEP’s proxy statement/prospectus for the special meeting and other risk factors contained in QEP’s filings with the Securities and Exchange Commission. Such forward-looking statements should therefore be construed in light of such factors, and Glazer Capital is under no obligation and expressly disclaims any intention or obligation to update or revise any forward-looking statements, whether as a result of new information, future events or otherwise, except as required by law.</w:t>
      </w:r>
    </w:p>
    <w:p>
      <w:pPr>
        <w:sectPr>
          <w:pgSz w:w="11900" w:h="16838" w:orient="portrait"/>
          <w:cols w:equalWidth="0" w:num="1">
            <w:col w:w="11200"/>
          </w:cols>
          <w:pgMar w:left="320" w:top="487" w:right="379" w:bottom="1440" w:gutter="0" w:footer="0" w:header="0"/>
        </w:sectPr>
      </w:pPr>
    </w:p>
    <w:bookmarkStart w:id="17" w:name="page18"/>
    <w:bookmarkEnd w:id="17"/>
    <w:p>
      <w:pPr>
        <w:ind w:left="10200"/>
        <w:spacing w:after="0"/>
        <w:rPr>
          <w:sz w:val="20"/>
          <w:szCs w:val="20"/>
          <w:color w:val="auto"/>
        </w:rPr>
      </w:pPr>
      <w:r>
        <w:rPr>
          <w:rFonts w:ascii="Arial" w:cs="Arial" w:eastAsia="Arial" w:hAnsi="Arial"/>
          <w:sz w:val="20"/>
          <w:szCs w:val="20"/>
          <w:b w:val="1"/>
          <w:bCs w:val="1"/>
          <w:u w:val="single" w:color="auto"/>
          <w:color w:val="auto"/>
        </w:rPr>
        <w:t>EXHIBIT B</w:t>
      </w:r>
    </w:p>
    <w:p>
      <w:pPr>
        <w:spacing w:after="0" w:line="173" w:lineRule="exact"/>
        <w:rPr>
          <w:sz w:val="20"/>
          <w:szCs w:val="20"/>
          <w:color w:val="auto"/>
        </w:rPr>
      </w:pPr>
    </w:p>
    <w:p>
      <w:pPr>
        <w:ind w:right="120"/>
        <w:spacing w:after="0" w:line="258" w:lineRule="auto"/>
        <w:rPr>
          <w:sz w:val="20"/>
          <w:szCs w:val="20"/>
          <w:color w:val="auto"/>
        </w:rPr>
      </w:pPr>
      <w:r>
        <w:rPr>
          <w:rFonts w:ascii="Arial" w:cs="Arial" w:eastAsia="Arial" w:hAnsi="Arial"/>
          <w:sz w:val="54"/>
          <w:szCs w:val="54"/>
          <w:b w:val="1"/>
          <w:bCs w:val="1"/>
          <w:color w:val="auto"/>
        </w:rPr>
        <w:t>Glazer Capital Announces it has Voted AGAINST the Proposed Acquisition of QEP by Diamondback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-1251585</wp:posOffset>
            </wp:positionV>
            <wp:extent cx="349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line="115" w:lineRule="exact"/>
        <w:rPr>
          <w:sz w:val="20"/>
          <w:szCs w:val="20"/>
          <w:color w:val="auto"/>
        </w:rPr>
      </w:pPr>
    </w:p>
    <w:p>
      <w:pPr>
        <w:ind w:right="280"/>
        <w:spacing w:after="0" w:line="250" w:lineRule="auto"/>
        <w:rPr>
          <w:sz w:val="20"/>
          <w:szCs w:val="20"/>
          <w:color w:val="auto"/>
        </w:rPr>
      </w:pPr>
      <w:r>
        <w:rPr>
          <w:rFonts w:ascii="Arial" w:cs="Arial" w:eastAsia="Arial" w:hAnsi="Arial"/>
          <w:sz w:val="25"/>
          <w:szCs w:val="25"/>
          <w:color w:val="auto"/>
        </w:rPr>
        <w:t>Maintains its View That Merger Consideration Offered by Diamondback Continues to be Materially Inadequate</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i w:val="1"/>
          <w:iCs w:val="1"/>
          <w:color w:val="auto"/>
        </w:rPr>
        <w:t>Strongly Urges QEP Shareholders Vote AGAINST the Acquisition of QEP by Diamondback</w:t>
      </w:r>
    </w:p>
    <w:p>
      <w:pPr>
        <w:spacing w:after="0" w:line="212" w:lineRule="exact"/>
        <w:rPr>
          <w:sz w:val="20"/>
          <w:szCs w:val="20"/>
          <w:color w:val="auto"/>
        </w:rPr>
      </w:pPr>
    </w:p>
    <w:p>
      <w:pPr>
        <w:ind w:right="1020"/>
        <w:spacing w:after="0" w:line="254" w:lineRule="auto"/>
        <w:rPr>
          <w:sz w:val="20"/>
          <w:szCs w:val="20"/>
          <w:color w:val="auto"/>
        </w:rPr>
      </w:pPr>
      <w:r>
        <w:rPr>
          <w:rFonts w:ascii="Arial" w:cs="Arial" w:eastAsia="Arial" w:hAnsi="Arial"/>
          <w:sz w:val="25"/>
          <w:szCs w:val="25"/>
          <w:i w:val="1"/>
          <w:iCs w:val="1"/>
          <w:color w:val="auto"/>
        </w:rPr>
        <w:t>ISS in its Revised Recommendation Today Stated in Part That: "It is reasonably likely that if shareholders reject the transaction, QEP shares will rise above the value of the merger consideration"</w:t>
      </w:r>
    </w:p>
    <w:p>
      <w:pPr>
        <w:spacing w:after="0" w:line="175"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NEW YORK, March 11, 2021 /PRNewswire/ -- Glazer Capital, LLC ("Glazer Capital" or "we"), a manager of investment funds and separate accounts that collectively beneficially own over 13,800,000 shares, or approximately 5.7% of the outstanding shares, of QEP Resources, Inc. (NYSE: QEP) ("QEP") common stock, today reiterated its call for its fellow QEP shareholders to reject the proposed acquisition (the "Diamondback Acquisition") of QEP by Diamondback Energy, Inc. (Nasdaq: FANG) ("Diamondback") at the special meeting of QEP stockholders scheduled to be held on March 16, 2021 (the "Special Meeting").</w:t>
      </w:r>
    </w:p>
    <w:p>
      <w:pPr>
        <w:spacing w:after="0" w:line="199"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Glazer Capital applauds Institutional Shareholder Services Inc. ("ISS"), an independent proxy advisory firm, for its thoughtful reanalysis of its vote recommendation. Glazer Capital is gratified that ISS recognized the validity of Glazer Capital's analysis by revising its recommendation to that of "Cautionary," despite maintaining its original conclusion.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ISS stated, in part:</w:t>
      </w:r>
    </w:p>
    <w:p>
      <w:pPr>
        <w:spacing w:after="0" w:line="182" w:lineRule="exact"/>
        <w:rPr>
          <w:sz w:val="20"/>
          <w:szCs w:val="20"/>
          <w:color w:val="auto"/>
        </w:rPr>
      </w:pPr>
    </w:p>
    <w:p>
      <w:pPr>
        <w:ind w:left="660" w:right="120"/>
        <w:spacing w:after="0" w:line="236" w:lineRule="auto"/>
        <w:rPr>
          <w:sz w:val="20"/>
          <w:szCs w:val="20"/>
          <w:color w:val="auto"/>
        </w:rPr>
      </w:pPr>
      <w:r>
        <w:rPr>
          <w:rFonts w:ascii="Arial" w:cs="Arial" w:eastAsia="Arial" w:hAnsi="Arial"/>
          <w:sz w:val="20"/>
          <w:szCs w:val="20"/>
          <w:i w:val="1"/>
          <w:iCs w:val="1"/>
          <w:color w:val="auto"/>
        </w:rPr>
        <w:t>"QEP shares have historically been highly correlated with that peer set, and it is reasonably likely that if shareholders reject the transaction, QEP shares will rise above the value of the merger consideration. This dynamic creates a unique opportunity for shareholders to seek better transaction terms if they are willing to exit QEP now or if they prefer the higher risk / higher reward potential of standalone QEP."</w:t>
      </w:r>
    </w:p>
    <w:p>
      <w:pPr>
        <w:spacing w:after="0" w:line="195" w:lineRule="exact"/>
        <w:rPr>
          <w:sz w:val="20"/>
          <w:szCs w:val="20"/>
          <w:color w:val="auto"/>
        </w:rPr>
      </w:pPr>
    </w:p>
    <w:p>
      <w:pPr>
        <w:ind w:right="40"/>
        <w:spacing w:after="0"/>
        <w:rPr>
          <w:sz w:val="20"/>
          <w:szCs w:val="20"/>
          <w:color w:val="auto"/>
        </w:rPr>
      </w:pPr>
      <w:r>
        <w:rPr>
          <w:rFonts w:ascii="Arial" w:cs="Arial" w:eastAsia="Arial" w:hAnsi="Arial"/>
          <w:sz w:val="19"/>
          <w:szCs w:val="19"/>
          <w:color w:val="auto"/>
        </w:rPr>
        <w:t>Glazer Capital's analysis maintains that QEP shares are worth far more today than the merger consideration of 0.05 shares of Diamondback per QEP share. We believe that the current terms of the Diamondback Acquisition shortchange QEP shareholders due to the dramatic rise in valuations and share prices of exploration and production ("E&amp;P") companies, particularly those with higher debt to equity ratios, since QEP and Diamondback signed their merger agreement. Glazer Capital highlights for QEP shareholders that the current offer by Diamondback potentially leaves $1.21 to $ 2.26 of value per QEP share on the table. The Diamondback offer was originally valued at a 1% premium to QEP's closing price on December 18, 2020,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while Glazer Capital estimates that it now represents a discount of -22% to -35% to QEP's standalone value</w:t>
      </w:r>
      <w:r>
        <w:rPr>
          <w:rFonts w:ascii="Arial" w:cs="Arial" w:eastAsia="Arial" w:hAnsi="Arial"/>
          <w:sz w:val="29"/>
          <w:szCs w:val="29"/>
          <w:color w:val="auto"/>
          <w:vertAlign w:val="superscript"/>
        </w:rPr>
        <w:t>1</w:t>
      </w:r>
      <w:r>
        <w:rPr>
          <w:rFonts w:ascii="Arial" w:cs="Arial" w:eastAsia="Arial" w:hAnsi="Arial"/>
          <w:sz w:val="20"/>
          <w:szCs w:val="20"/>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2" w:lineRule="exact"/>
        <w:rPr>
          <w:sz w:val="20"/>
          <w:szCs w:val="20"/>
          <w:color w:val="auto"/>
        </w:rPr>
      </w:pPr>
    </w:p>
    <w:p>
      <w:pPr>
        <w:ind w:left="120" w:hanging="112"/>
        <w:spacing w:after="0"/>
        <w:tabs>
          <w:tab w:leader="none" w:pos="120" w:val="left"/>
        </w:tabs>
        <w:numPr>
          <w:ilvl w:val="0"/>
          <w:numId w:val="19"/>
        </w:numPr>
        <w:rPr>
          <w:rFonts w:ascii="Arial" w:cs="Arial" w:eastAsia="Arial" w:hAnsi="Arial"/>
          <w:sz w:val="21"/>
          <w:szCs w:val="21"/>
          <w:color w:val="auto"/>
          <w:vertAlign w:val="superscript"/>
        </w:rPr>
      </w:pPr>
      <w:r>
        <w:rPr>
          <w:rFonts w:ascii="Arial" w:cs="Arial" w:eastAsia="Arial" w:hAnsi="Arial"/>
          <w:sz w:val="14"/>
          <w:szCs w:val="14"/>
          <w:color w:val="auto"/>
        </w:rPr>
        <w:t>Security prices and data inputs utilized to calculate figures in this press release not otherwise cited are sourced from Bloomberg as of the close of business of March 10, 2021.</w:t>
      </w:r>
    </w:p>
    <w:p>
      <w:pPr>
        <w:sectPr>
          <w:pgSz w:w="11900" w:h="16838" w:orient="portrait"/>
          <w:cols w:equalWidth="0" w:num="1">
            <w:col w:w="11200"/>
          </w:cols>
          <w:pgMar w:left="320" w:top="112" w:right="379" w:bottom="1440" w:gutter="0" w:footer="0" w:header="0"/>
        </w:sectPr>
      </w:pPr>
    </w:p>
    <w:bookmarkStart w:id="18" w:name="page19"/>
    <w:bookmarkEnd w:id="18"/>
    <w:p>
      <w:pPr>
        <w:ind w:right="100"/>
        <w:spacing w:after="0" w:line="232" w:lineRule="auto"/>
        <w:rPr>
          <w:sz w:val="20"/>
          <w:szCs w:val="20"/>
          <w:color w:val="auto"/>
        </w:rPr>
      </w:pPr>
      <w:r>
        <w:rPr>
          <w:rFonts w:ascii="Arial" w:cs="Arial" w:eastAsia="Arial" w:hAnsi="Arial"/>
          <w:sz w:val="20"/>
          <w:szCs w:val="20"/>
          <w:color w:val="auto"/>
        </w:rPr>
        <w:t>QEP's financial adviser, Evercore Group, selected six companies that it judged to have business characteristics similar to QEP. The current trading multiples of those six companies illustrate that QEP's standalone value today could range from $5.39 to $6.44.</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Updated Public Company Trading Analysis Based on Evercore's Fairness Opinion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880" w:type="dxa"/>
            <w:vAlign w:val="bottom"/>
          </w:tcPr>
          <w:p>
            <w:pPr>
              <w:spacing w:after="0"/>
              <w:rPr>
                <w:sz w:val="20"/>
                <w:szCs w:val="20"/>
                <w:color w:val="auto"/>
              </w:rPr>
            </w:pPr>
            <w:r>
              <w:rPr>
                <w:rFonts w:ascii="Arial" w:cs="Arial" w:eastAsia="Arial" w:hAnsi="Arial"/>
                <w:sz w:val="20"/>
                <w:szCs w:val="20"/>
                <w:i w:val="1"/>
                <w:iCs w:val="1"/>
                <w:color w:val="auto"/>
              </w:rPr>
              <w:t>Market Data and Estimates as of 3/10/21</w:t>
            </w:r>
          </w:p>
        </w:tc>
        <w:tc>
          <w:tcPr>
            <w:tcW w:w="1680" w:type="dxa"/>
            <w:vAlign w:val="bottom"/>
            <w:gridSpan w:val="2"/>
          </w:tcPr>
          <w:p>
            <w:pPr>
              <w:spacing w:after="0"/>
              <w:rPr>
                <w:sz w:val="20"/>
                <w:szCs w:val="20"/>
                <w:color w:val="auto"/>
              </w:rPr>
            </w:pPr>
            <w:r>
              <w:rPr>
                <w:rFonts w:ascii="Arial" w:cs="Arial" w:eastAsia="Arial" w:hAnsi="Arial"/>
                <w:sz w:val="20"/>
                <w:szCs w:val="20"/>
                <w:color w:val="auto"/>
              </w:rPr>
              <w:t>Enterprise Value /</w:t>
            </w:r>
          </w:p>
        </w:tc>
        <w:tc>
          <w:tcPr>
            <w:tcW w:w="580" w:type="dxa"/>
            <w:vAlign w:val="bottom"/>
          </w:tcPr>
          <w:p>
            <w:pPr>
              <w:spacing w:after="0"/>
              <w:rPr>
                <w:sz w:val="20"/>
                <w:szCs w:val="20"/>
                <w:color w:val="auto"/>
              </w:rPr>
            </w:pPr>
          </w:p>
        </w:tc>
      </w:tr>
      <w:tr>
        <w:trPr>
          <w:trHeight w:val="237"/>
        </w:trPr>
        <w:tc>
          <w:tcPr>
            <w:tcW w:w="788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20"/>
                <w:szCs w:val="20"/>
                <w:color w:val="auto"/>
              </w:rPr>
              <w:t>EBITDAX</w:t>
            </w:r>
          </w:p>
        </w:tc>
        <w:tc>
          <w:tcPr>
            <w:tcW w:w="580" w:type="dxa"/>
            <w:vAlign w:val="bottom"/>
          </w:tcPr>
          <w:p>
            <w:pPr>
              <w:spacing w:after="0"/>
              <w:rPr>
                <w:sz w:val="20"/>
                <w:szCs w:val="20"/>
                <w:color w:val="auto"/>
              </w:rPr>
            </w:pPr>
          </w:p>
        </w:tc>
      </w:tr>
      <w:tr>
        <w:trPr>
          <w:trHeight w:val="648"/>
        </w:trPr>
        <w:tc>
          <w:tcPr>
            <w:tcW w:w="7880" w:type="dxa"/>
            <w:vAlign w:val="bottom"/>
          </w:tcPr>
          <w:p>
            <w:pPr>
              <w:spacing w:after="0"/>
              <w:rPr>
                <w:sz w:val="20"/>
                <w:szCs w:val="20"/>
                <w:color w:val="auto"/>
              </w:rPr>
            </w:pPr>
            <w:r>
              <w:rPr>
                <w:rFonts w:ascii="Arial" w:cs="Arial" w:eastAsia="Arial" w:hAnsi="Arial"/>
                <w:sz w:val="20"/>
                <w:szCs w:val="20"/>
                <w:color w:val="auto"/>
              </w:rPr>
              <w:t>QEP Current Price</w:t>
            </w:r>
          </w:p>
        </w:tc>
        <w:tc>
          <w:tcPr>
            <w:tcW w:w="580" w:type="dxa"/>
            <w:vAlign w:val="bottom"/>
          </w:tcPr>
          <w:p>
            <w:pPr>
              <w:spacing w:after="0"/>
              <w:rPr>
                <w:sz w:val="20"/>
                <w:szCs w:val="20"/>
                <w:color w:val="auto"/>
              </w:rPr>
            </w:pPr>
            <w:r>
              <w:rPr>
                <w:rFonts w:ascii="Arial" w:cs="Arial" w:eastAsia="Arial" w:hAnsi="Arial"/>
                <w:sz w:val="20"/>
                <w:szCs w:val="20"/>
                <w:color w:val="auto"/>
              </w:rPr>
              <w:t>$4.18</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88"/>
        </w:trPr>
        <w:tc>
          <w:tcPr>
            <w:tcW w:w="788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Arial" w:cs="Arial" w:eastAsia="Arial" w:hAnsi="Arial"/>
                <w:sz w:val="20"/>
                <w:szCs w:val="20"/>
                <w:color w:val="auto"/>
              </w:rPr>
              <w:t>2021E</w:t>
            </w:r>
          </w:p>
        </w:tc>
        <w:tc>
          <w:tcPr>
            <w:tcW w:w="580" w:type="dxa"/>
            <w:vAlign w:val="bottom"/>
          </w:tcPr>
          <w:p>
            <w:pPr>
              <w:spacing w:after="0"/>
              <w:rPr>
                <w:sz w:val="20"/>
                <w:szCs w:val="20"/>
                <w:color w:val="auto"/>
              </w:rPr>
            </w:pPr>
            <w:r>
              <w:rPr>
                <w:rFonts w:ascii="Arial" w:cs="Arial" w:eastAsia="Arial" w:hAnsi="Arial"/>
                <w:sz w:val="20"/>
                <w:szCs w:val="20"/>
                <w:color w:val="auto"/>
                <w:w w:val="96"/>
              </w:rPr>
              <w:t>2022E</w:t>
            </w:r>
          </w:p>
        </w:tc>
      </w:tr>
      <w:tr>
        <w:trPr>
          <w:trHeight w:val="457"/>
        </w:trPr>
        <w:tc>
          <w:tcPr>
            <w:tcW w:w="7880" w:type="dxa"/>
            <w:vAlign w:val="bottom"/>
          </w:tcPr>
          <w:p>
            <w:pPr>
              <w:spacing w:after="0"/>
              <w:rPr>
                <w:sz w:val="20"/>
                <w:szCs w:val="20"/>
                <w:color w:val="auto"/>
              </w:rPr>
            </w:pPr>
            <w:r>
              <w:rPr>
                <w:rFonts w:ascii="Arial" w:cs="Arial" w:eastAsia="Arial" w:hAnsi="Arial"/>
                <w:sz w:val="20"/>
                <w:szCs w:val="20"/>
                <w:color w:val="auto"/>
              </w:rPr>
              <w:t>Illustrative Standalone Price (Mid Cap Peers)</w:t>
            </w:r>
          </w:p>
        </w:tc>
        <w:tc>
          <w:tcPr>
            <w:tcW w:w="5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$5.39</w:t>
            </w:r>
          </w:p>
        </w:tc>
        <w:tc>
          <w:tcPr>
            <w:tcW w:w="1100" w:type="dxa"/>
            <w:vAlign w:val="bottom"/>
          </w:tcPr>
          <w:p>
            <w:pPr>
              <w:spacing w:after="0"/>
              <w:rPr>
                <w:sz w:val="24"/>
                <w:szCs w:val="2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$5.76</w:t>
            </w:r>
          </w:p>
        </w:tc>
      </w:tr>
      <w:tr>
        <w:trPr>
          <w:trHeight w:val="432"/>
        </w:trPr>
        <w:tc>
          <w:tcPr>
            <w:tcW w:w="7880" w:type="dxa"/>
            <w:vAlign w:val="bottom"/>
          </w:tcPr>
          <w:p>
            <w:pPr>
              <w:spacing w:after="0"/>
              <w:rPr>
                <w:sz w:val="20"/>
                <w:szCs w:val="20"/>
                <w:color w:val="auto"/>
              </w:rPr>
            </w:pPr>
            <w:r>
              <w:rPr>
                <w:rFonts w:ascii="Arial" w:cs="Arial" w:eastAsia="Arial" w:hAnsi="Arial"/>
                <w:sz w:val="20"/>
                <w:szCs w:val="20"/>
                <w:color w:val="auto"/>
              </w:rPr>
              <w:t>Illustrative Standalone Price (Small Cap Peers)</w:t>
            </w:r>
          </w:p>
        </w:tc>
        <w:tc>
          <w:tcPr>
            <w:tcW w:w="580" w:type="dxa"/>
            <w:vAlign w:val="bottom"/>
          </w:tcPr>
          <w:p>
            <w:pPr>
              <w:spacing w:after="0"/>
              <w:rPr>
                <w:sz w:val="20"/>
                <w:szCs w:val="20"/>
                <w:color w:val="auto"/>
              </w:rPr>
            </w:pPr>
            <w:r>
              <w:rPr>
                <w:rFonts w:ascii="Arial" w:cs="Arial" w:eastAsia="Arial" w:hAnsi="Arial"/>
                <w:sz w:val="20"/>
                <w:szCs w:val="20"/>
                <w:color w:val="auto"/>
              </w:rPr>
              <w:t>$6.44</w:t>
            </w:r>
          </w:p>
        </w:tc>
        <w:tc>
          <w:tcPr>
            <w:tcW w:w="1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20"/>
                <w:szCs w:val="20"/>
                <w:color w:val="auto"/>
              </w:rPr>
              <w:t>$5.80</w:t>
            </w:r>
          </w:p>
        </w:tc>
      </w:tr>
      <w:tr>
        <w:trPr>
          <w:trHeight w:val="843"/>
        </w:trPr>
        <w:tc>
          <w:tcPr>
            <w:tcW w:w="7880" w:type="dxa"/>
            <w:vAlign w:val="bottom"/>
          </w:tcPr>
          <w:p>
            <w:pPr>
              <w:spacing w:after="0"/>
              <w:rPr>
                <w:sz w:val="20"/>
                <w:szCs w:val="20"/>
                <w:color w:val="auto"/>
              </w:rPr>
            </w:pPr>
            <w:r>
              <w:rPr>
                <w:rFonts w:ascii="Arial" w:cs="Arial" w:eastAsia="Arial" w:hAnsi="Arial"/>
                <w:sz w:val="20"/>
                <w:szCs w:val="20"/>
                <w:color w:val="auto"/>
              </w:rPr>
              <w:t>Forfeited Value Per QEP Share (Mid Cap Peers)</w:t>
            </w:r>
          </w:p>
        </w:tc>
        <w:tc>
          <w:tcPr>
            <w:tcW w:w="580" w:type="dxa"/>
            <w:vAlign w:val="bottom"/>
          </w:tcPr>
          <w:p>
            <w:pPr>
              <w:spacing w:after="0"/>
              <w:rPr>
                <w:sz w:val="20"/>
                <w:szCs w:val="20"/>
                <w:color w:val="auto"/>
              </w:rPr>
            </w:pPr>
            <w:r>
              <w:rPr>
                <w:rFonts w:ascii="Arial" w:cs="Arial" w:eastAsia="Arial" w:hAnsi="Arial"/>
                <w:sz w:val="20"/>
                <w:szCs w:val="20"/>
                <w:color w:val="auto"/>
              </w:rPr>
              <w:t>$1.21</w:t>
            </w:r>
          </w:p>
        </w:tc>
        <w:tc>
          <w:tcPr>
            <w:tcW w:w="1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20"/>
                <w:szCs w:val="20"/>
                <w:color w:val="auto"/>
              </w:rPr>
              <w:t>$1.58</w:t>
            </w:r>
          </w:p>
        </w:tc>
      </w:tr>
      <w:tr>
        <w:trPr>
          <w:trHeight w:val="237"/>
        </w:trPr>
        <w:tc>
          <w:tcPr>
            <w:tcW w:w="7880" w:type="dxa"/>
            <w:vAlign w:val="bottom"/>
          </w:tcPr>
          <w:p>
            <w:pPr>
              <w:spacing w:after="0"/>
              <w:rPr>
                <w:sz w:val="20"/>
                <w:szCs w:val="20"/>
                <w:color w:val="auto"/>
              </w:rPr>
            </w:pPr>
            <w:r>
              <w:rPr>
                <w:rFonts w:ascii="Arial" w:cs="Arial" w:eastAsia="Arial" w:hAnsi="Arial"/>
                <w:sz w:val="20"/>
                <w:szCs w:val="20"/>
                <w:color w:val="auto"/>
              </w:rPr>
              <w:t>Upside from Current QEP Price</w:t>
            </w:r>
          </w:p>
        </w:tc>
        <w:tc>
          <w:tcPr>
            <w:tcW w:w="580" w:type="dxa"/>
            <w:vAlign w:val="bottom"/>
          </w:tcPr>
          <w:p>
            <w:pPr>
              <w:spacing w:after="0"/>
              <w:rPr>
                <w:sz w:val="20"/>
                <w:szCs w:val="20"/>
                <w:color w:val="auto"/>
              </w:rPr>
            </w:pPr>
            <w:r>
              <w:rPr>
                <w:rFonts w:ascii="Arial" w:cs="Arial" w:eastAsia="Arial" w:hAnsi="Arial"/>
                <w:sz w:val="20"/>
                <w:szCs w:val="20"/>
                <w:color w:val="auto"/>
              </w:rPr>
              <w:t>29%</w:t>
            </w: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20"/>
                <w:szCs w:val="20"/>
                <w:color w:val="auto"/>
              </w:rPr>
              <w:t>38%</w:t>
            </w:r>
          </w:p>
        </w:tc>
      </w:tr>
      <w:tr>
        <w:trPr>
          <w:trHeight w:val="411"/>
        </w:trPr>
        <w:tc>
          <w:tcPr>
            <w:tcW w:w="7880" w:type="dxa"/>
            <w:vAlign w:val="bottom"/>
          </w:tcPr>
          <w:p>
            <w:pPr>
              <w:spacing w:after="0"/>
              <w:rPr>
                <w:sz w:val="20"/>
                <w:szCs w:val="20"/>
                <w:color w:val="auto"/>
              </w:rPr>
            </w:pPr>
            <w:r>
              <w:rPr>
                <w:rFonts w:ascii="Arial" w:cs="Arial" w:eastAsia="Arial" w:hAnsi="Arial"/>
                <w:sz w:val="20"/>
                <w:szCs w:val="20"/>
                <w:color w:val="auto"/>
              </w:rPr>
              <w:t>Forfeited Value Per QEP Share (Small Cap Peers)</w:t>
            </w:r>
          </w:p>
        </w:tc>
        <w:tc>
          <w:tcPr>
            <w:tcW w:w="580" w:type="dxa"/>
            <w:vAlign w:val="bottom"/>
          </w:tcPr>
          <w:p>
            <w:pPr>
              <w:spacing w:after="0"/>
              <w:rPr>
                <w:sz w:val="20"/>
                <w:szCs w:val="20"/>
                <w:color w:val="auto"/>
              </w:rPr>
            </w:pPr>
            <w:r>
              <w:rPr>
                <w:rFonts w:ascii="Arial" w:cs="Arial" w:eastAsia="Arial" w:hAnsi="Arial"/>
                <w:sz w:val="20"/>
                <w:szCs w:val="20"/>
                <w:color w:val="auto"/>
              </w:rPr>
              <w:t>$2.26</w:t>
            </w:r>
          </w:p>
        </w:tc>
        <w:tc>
          <w:tcPr>
            <w:tcW w:w="11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20"/>
                <w:szCs w:val="20"/>
                <w:color w:val="auto"/>
              </w:rPr>
              <w:t>$1.62</w:t>
            </w:r>
          </w:p>
        </w:tc>
      </w:tr>
      <w:tr>
        <w:trPr>
          <w:trHeight w:val="237"/>
        </w:trPr>
        <w:tc>
          <w:tcPr>
            <w:tcW w:w="7880" w:type="dxa"/>
            <w:vAlign w:val="bottom"/>
          </w:tcPr>
          <w:p>
            <w:pPr>
              <w:spacing w:after="0"/>
              <w:rPr>
                <w:sz w:val="20"/>
                <w:szCs w:val="20"/>
                <w:color w:val="auto"/>
              </w:rPr>
            </w:pPr>
            <w:r>
              <w:rPr>
                <w:rFonts w:ascii="Arial" w:cs="Arial" w:eastAsia="Arial" w:hAnsi="Arial"/>
                <w:sz w:val="20"/>
                <w:szCs w:val="20"/>
                <w:color w:val="auto"/>
              </w:rPr>
              <w:t>Upside from Current QEP Price</w:t>
            </w:r>
          </w:p>
        </w:tc>
        <w:tc>
          <w:tcPr>
            <w:tcW w:w="580" w:type="dxa"/>
            <w:vAlign w:val="bottom"/>
          </w:tcPr>
          <w:p>
            <w:pPr>
              <w:spacing w:after="0"/>
              <w:rPr>
                <w:sz w:val="20"/>
                <w:szCs w:val="20"/>
                <w:color w:val="auto"/>
              </w:rPr>
            </w:pPr>
            <w:r>
              <w:rPr>
                <w:rFonts w:ascii="Arial" w:cs="Arial" w:eastAsia="Arial" w:hAnsi="Arial"/>
                <w:sz w:val="20"/>
                <w:szCs w:val="20"/>
                <w:color w:val="auto"/>
              </w:rPr>
              <w:t>54%</w:t>
            </w: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20"/>
                <w:szCs w:val="20"/>
                <w:color w:val="auto"/>
              </w:rPr>
              <w:t>39%</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Source: Bloomberg</w:t>
      </w:r>
    </w:p>
    <w:p>
      <w:pPr>
        <w:spacing w:after="0" w:line="6" w:lineRule="exact"/>
        <w:rPr>
          <w:sz w:val="20"/>
          <w:szCs w:val="20"/>
          <w:color w:val="auto"/>
        </w:rPr>
      </w:pPr>
    </w:p>
    <w:p>
      <w:pPr>
        <w:ind w:right="260"/>
        <w:spacing w:after="0" w:line="236" w:lineRule="auto"/>
        <w:rPr>
          <w:sz w:val="20"/>
          <w:szCs w:val="20"/>
          <w:color w:val="auto"/>
        </w:rPr>
      </w:pPr>
      <w:r>
        <w:rPr>
          <w:rFonts w:ascii="Arial" w:cs="Arial" w:eastAsia="Arial" w:hAnsi="Arial"/>
          <w:sz w:val="20"/>
          <w:szCs w:val="20"/>
          <w:i w:val="1"/>
          <w:iCs w:val="1"/>
          <w:color w:val="auto"/>
        </w:rPr>
        <w:t>Methodology: Reflects a similar relationship between QEP and Evercore's selected comparables as presented on page 87 of QEP's proxy statement.</w:t>
      </w:r>
    </w:p>
    <w:p>
      <w:pPr>
        <w:spacing w:after="0" w:line="196" w:lineRule="exact"/>
        <w:rPr>
          <w:sz w:val="20"/>
          <w:szCs w:val="20"/>
          <w:color w:val="auto"/>
        </w:rPr>
      </w:pPr>
    </w:p>
    <w:p>
      <w:pPr>
        <w:ind w:right="80"/>
        <w:spacing w:after="0" w:line="230" w:lineRule="auto"/>
        <w:rPr>
          <w:sz w:val="20"/>
          <w:szCs w:val="20"/>
          <w:color w:val="auto"/>
        </w:rPr>
      </w:pPr>
      <w:r>
        <w:rPr>
          <w:rFonts w:ascii="Arial" w:cs="Arial" w:eastAsia="Arial" w:hAnsi="Arial"/>
          <w:sz w:val="20"/>
          <w:szCs w:val="20"/>
          <w:color w:val="auto"/>
        </w:rPr>
        <w:t>"Voting AGAINST the current offer will send a message to Diamondback that it must pay fair value for QEP," said Mark Ort, Portfolio Manager at Glazer Capital. "Importantly, if QEP fails to receive support from stockholders representing a majority of QEP shares, it may, with Diamondback's consent, postpone the meeting to a later date, affording Diamondback the opportunity to improve its offer."</w:t>
      </w:r>
    </w:p>
    <w:p>
      <w:pPr>
        <w:spacing w:after="0" w:line="198"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Glazer Capital believes in the strategic merits of combining QEP and Diamondback, two premier Permian Basin players, but believes that QEP shares are worth far more today than 0.05 shares of Diamondback. Glazer Capital has voted AGAINST the proposed acquisition of QEP by Diamondback and strongly urges QEP shareholders to vote AGAINST the proposed acquisition at the Special Meeting of QEP stockholders scheduled to be held on March 16, 2021.</w:t>
      </w:r>
    </w:p>
    <w:p>
      <w:pPr>
        <w:sectPr>
          <w:pgSz w:w="11900" w:h="16838" w:orient="portrait"/>
          <w:cols w:equalWidth="0" w:num="1">
            <w:col w:w="11180"/>
          </w:cols>
          <w:pgMar w:left="320" w:top="487" w:right="39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u w:val="single" w:color="auto"/>
          <w:color w:val="auto"/>
        </w:rPr>
        <w:t>About Glazer Capital, LLC</w:t>
      </w:r>
    </w:p>
    <w:p>
      <w:pPr>
        <w:spacing w:after="0" w:line="10" w:lineRule="exact"/>
        <w:rPr>
          <w:sz w:val="20"/>
          <w:szCs w:val="20"/>
          <w:color w:val="auto"/>
        </w:rPr>
      </w:pPr>
    </w:p>
    <w:p>
      <w:pPr>
        <w:ind w:right="220"/>
        <w:spacing w:after="0" w:line="230" w:lineRule="auto"/>
        <w:rPr>
          <w:sz w:val="20"/>
          <w:szCs w:val="20"/>
          <w:color w:val="auto"/>
        </w:rPr>
      </w:pPr>
      <w:r>
        <w:rPr>
          <w:rFonts w:ascii="Arial" w:cs="Arial" w:eastAsia="Arial" w:hAnsi="Arial"/>
          <w:sz w:val="20"/>
          <w:szCs w:val="20"/>
          <w:color w:val="auto"/>
        </w:rPr>
        <w:t>Founded by Paul J. Glazer in 1998, Glazer Capital LLC is a New York City based investment management firm specializing in investment strategies that are intended to be non-directional, market neutral, and liquid. Glazer Capital aims to achieve uncorrelated absolute returns in all market environments through its disciplined investment approach and research-driven methodology. The firm had assets under management of $2.4 billion as of March 1, 2021.</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Investor Contacts</w:t>
      </w:r>
    </w:p>
    <w:p>
      <w:pPr>
        <w:spacing w:after="0" w:line="235" w:lineRule="auto"/>
        <w:rPr>
          <w:sz w:val="20"/>
          <w:szCs w:val="20"/>
          <w:color w:val="auto"/>
        </w:rPr>
      </w:pPr>
      <w:r>
        <w:rPr>
          <w:rFonts w:ascii="Arial" w:cs="Arial" w:eastAsia="Arial" w:hAnsi="Arial"/>
          <w:sz w:val="20"/>
          <w:szCs w:val="20"/>
          <w:color w:val="auto"/>
        </w:rPr>
        <w:t>Pat McHugh / Jon Einsidler / Theresa Huang</w:t>
      </w:r>
    </w:p>
    <w:p>
      <w:pPr>
        <w:spacing w:after="0" w:line="226" w:lineRule="auto"/>
        <w:rPr>
          <w:sz w:val="20"/>
          <w:szCs w:val="20"/>
          <w:color w:val="auto"/>
        </w:rPr>
      </w:pPr>
      <w:r>
        <w:rPr>
          <w:rFonts w:ascii="Arial" w:cs="Arial" w:eastAsia="Arial" w:hAnsi="Arial"/>
          <w:sz w:val="20"/>
          <w:szCs w:val="20"/>
          <w:color w:val="auto"/>
        </w:rPr>
        <w:t>Okapi Partners LLC</w:t>
      </w:r>
    </w:p>
    <w:p>
      <w:pPr>
        <w:spacing w:after="0" w:line="225" w:lineRule="auto"/>
        <w:rPr>
          <w:sz w:val="20"/>
          <w:szCs w:val="20"/>
          <w:color w:val="auto"/>
        </w:rPr>
      </w:pPr>
      <w:r>
        <w:rPr>
          <w:rFonts w:ascii="Arial" w:cs="Arial" w:eastAsia="Arial" w:hAnsi="Arial"/>
          <w:sz w:val="20"/>
          <w:szCs w:val="20"/>
          <w:color w:val="auto"/>
        </w:rPr>
        <w:t>212-297-0720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info@okapipartners.com</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Media Contacts</w:t>
      </w:r>
    </w:p>
    <w:p>
      <w:pPr>
        <w:spacing w:after="0" w:line="235" w:lineRule="auto"/>
        <w:rPr>
          <w:sz w:val="20"/>
          <w:szCs w:val="20"/>
          <w:color w:val="auto"/>
        </w:rPr>
      </w:pPr>
      <w:r>
        <w:rPr>
          <w:rFonts w:ascii="Arial" w:cs="Arial" w:eastAsia="Arial" w:hAnsi="Arial"/>
          <w:sz w:val="20"/>
          <w:szCs w:val="20"/>
          <w:color w:val="auto"/>
        </w:rPr>
        <w:t>Zach Kouwe / Kendal Till</w:t>
      </w:r>
    </w:p>
    <w:p>
      <w:pPr>
        <w:spacing w:after="0" w:line="226" w:lineRule="auto"/>
        <w:rPr>
          <w:sz w:val="20"/>
          <w:szCs w:val="20"/>
          <w:color w:val="auto"/>
        </w:rPr>
      </w:pPr>
      <w:r>
        <w:rPr>
          <w:rFonts w:ascii="Arial" w:cs="Arial" w:eastAsia="Arial" w:hAnsi="Arial"/>
          <w:sz w:val="20"/>
          <w:szCs w:val="20"/>
          <w:color w:val="auto"/>
        </w:rPr>
        <w:t>Dukas Linden Public Relations</w:t>
      </w:r>
    </w:p>
    <w:p>
      <w:pPr>
        <w:spacing w:after="0" w:line="225" w:lineRule="auto"/>
        <w:rPr>
          <w:sz w:val="20"/>
          <w:szCs w:val="20"/>
          <w:color w:val="auto"/>
        </w:rPr>
      </w:pPr>
      <w:r>
        <w:rPr>
          <w:rFonts w:ascii="Arial" w:cs="Arial" w:eastAsia="Arial" w:hAnsi="Arial"/>
          <w:sz w:val="20"/>
          <w:szCs w:val="20"/>
          <w:color w:val="auto"/>
        </w:rPr>
        <w:t>646-808-3665</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glazercapital@dlpr.com</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10"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Certain statements contained in this letter, and the documents referred to in this letter, are "forward-looking statements" and are prospective. These statements may be identified by their use of forward-looking terminology such as the words "expects", "projects", "believes", "anticipates", "intends" or other similar words.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are subject to inherent risks and uncertainties surrounding future expectations. Important factors that could cause actual results to differ materially from the expectations set forth in this letter include, among other things, the factors identified under the section entitled "Risk Factors" of QEP's proxy statement/prospectus for the special meeting and other risk factors contained in QEP's filings with the Securities and Exchange Commission. Such forward-looking statements should therefore be construed in light of such factors, and Glazer Capital is under no obligation and expressly disclaims any intention or obligation to update or revise any forward-looking statements, whether as a result of new information, future events or otherwise, except as required by law.</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SOURCE Glazer Capital, LLC</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Related Links</w:t>
      </w:r>
    </w:p>
    <w:p>
      <w:pPr>
        <w:spacing w:after="0"/>
        <w:rPr>
          <w:sz w:val="20"/>
          <w:szCs w:val="20"/>
          <w:color w:val="auto"/>
        </w:rPr>
      </w:pPr>
      <w:r>
        <w:rPr>
          <w:rFonts w:ascii="Arial" w:cs="Arial" w:eastAsia="Arial" w:hAnsi="Arial"/>
          <w:sz w:val="20"/>
          <w:szCs w:val="20"/>
          <w:color w:val="1155CC"/>
        </w:rPr>
        <w:t>http://www.glazercapital.com/</w:t>
      </w:r>
    </w:p>
    <w:p>
      <w:pPr>
        <w:sectPr>
          <w:pgSz w:w="11900" w:h="16838" w:orient="portrait"/>
          <w:cols w:equalWidth="0" w:num="1">
            <w:col w:w="11200"/>
          </w:cols>
          <w:pgMar w:left="320" w:top="328" w:right="37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u w:val="single" w:color="auto"/>
          <w:color w:val="auto"/>
        </w:rPr>
        <w:t>EXHIBIT 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RULE 13d-1(k)</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undersigned acknowledge and agree that the foregoing statement on Schedule 13D is filed on behalf of each of the undersigned and that all subsequent amendments to this statement on Schedule 13D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her or it contained herein and therein, but shall not be responsible for the completeness and accuracy of the information concerning the others, except to the extent that he, she or it knows that such information is inaccurate.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Dated: March 18, 2021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960"/>
        <w:spacing w:after="0"/>
        <w:rPr>
          <w:sz w:val="20"/>
          <w:szCs w:val="20"/>
          <w:color w:val="auto"/>
        </w:rPr>
      </w:pPr>
      <w:r>
        <w:rPr>
          <w:rFonts w:ascii="Arial" w:cs="Arial" w:eastAsia="Arial" w:hAnsi="Arial"/>
          <w:sz w:val="22"/>
          <w:szCs w:val="22"/>
          <w:b w:val="1"/>
          <w:bCs w:val="1"/>
          <w:color w:val="auto"/>
        </w:rPr>
        <w:t>GLAZER CAPITAL, LLC</w:t>
      </w:r>
    </w:p>
    <w:p>
      <w:pPr>
        <w:spacing w:after="0" w:line="200" w:lineRule="exact"/>
        <w:rPr>
          <w:sz w:val="20"/>
          <w:szCs w:val="20"/>
          <w:color w:val="auto"/>
        </w:rPr>
      </w:pPr>
    </w:p>
    <w:p>
      <w:pPr>
        <w:spacing w:after="0" w:line="272" w:lineRule="exact"/>
        <w:rPr>
          <w:sz w:val="20"/>
          <w:szCs w:val="20"/>
          <w:color w:val="auto"/>
        </w:rPr>
      </w:pPr>
    </w:p>
    <w:tbl>
      <w:tblPr>
        <w:tblLayout w:type="fixed"/>
        <w:tblInd w:w="696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3460" w:type="dxa"/>
            <w:vAlign w:val="bottom"/>
          </w:tcPr>
          <w:p>
            <w:pPr>
              <w:spacing w:after="0"/>
              <w:rPr>
                <w:sz w:val="20"/>
                <w:szCs w:val="20"/>
                <w:color w:val="auto"/>
              </w:rPr>
            </w:pPr>
            <w:r>
              <w:rPr>
                <w:rFonts w:ascii="Arial" w:cs="Arial" w:eastAsia="Arial" w:hAnsi="Arial"/>
                <w:sz w:val="22"/>
                <w:szCs w:val="22"/>
                <w:color w:val="auto"/>
              </w:rPr>
              <w:t>/s/ Paul J. Glazer</w:t>
            </w:r>
          </w:p>
        </w:tc>
        <w:tc>
          <w:tcPr>
            <w:tcW w:w="0" w:type="dxa"/>
            <w:vAlign w:val="bottom"/>
          </w:tcPr>
          <w:p>
            <w:pPr>
              <w:spacing w:after="0"/>
              <w:rPr>
                <w:sz w:val="1"/>
                <w:szCs w:val="1"/>
                <w:color w:val="auto"/>
              </w:rPr>
            </w:pPr>
          </w:p>
        </w:tc>
      </w:tr>
      <w:tr>
        <w:trPr>
          <w:trHeight w:val="21"/>
        </w:trPr>
        <w:tc>
          <w:tcPr>
            <w:tcW w:w="8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20" w:type="dxa"/>
            <w:vAlign w:val="bottom"/>
            <w:vMerge w:val="continue"/>
          </w:tcPr>
          <w:p>
            <w:pPr>
              <w:spacing w:after="0"/>
              <w:rPr>
                <w:sz w:val="18"/>
                <w:szCs w:val="18"/>
                <w:color w:val="auto"/>
              </w:rPr>
            </w:pPr>
          </w:p>
        </w:tc>
        <w:tc>
          <w:tcPr>
            <w:tcW w:w="3460" w:type="dxa"/>
            <w:vAlign w:val="bottom"/>
          </w:tcPr>
          <w:p>
            <w:pPr>
              <w:spacing w:after="0" w:line="216" w:lineRule="exact"/>
              <w:rPr>
                <w:sz w:val="20"/>
                <w:szCs w:val="20"/>
                <w:color w:val="auto"/>
              </w:rPr>
            </w:pPr>
            <w:r>
              <w:rPr>
                <w:rFonts w:ascii="Arial" w:cs="Arial" w:eastAsia="Arial" w:hAnsi="Arial"/>
                <w:sz w:val="22"/>
                <w:szCs w:val="22"/>
                <w:color w:val="auto"/>
              </w:rPr>
              <w:t>Paul J. Glazer</w:t>
            </w:r>
          </w:p>
        </w:tc>
        <w:tc>
          <w:tcPr>
            <w:tcW w:w="0" w:type="dxa"/>
            <w:vAlign w:val="bottom"/>
          </w:tcPr>
          <w:p>
            <w:pPr>
              <w:spacing w:after="0"/>
              <w:rPr>
                <w:sz w:val="1"/>
                <w:szCs w:val="1"/>
                <w:color w:val="auto"/>
              </w:rPr>
            </w:pPr>
          </w:p>
        </w:tc>
      </w:tr>
      <w:tr>
        <w:trPr>
          <w:trHeight w:val="274"/>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460" w:type="dxa"/>
            <w:vAlign w:val="bottom"/>
          </w:tcPr>
          <w:p>
            <w:pPr>
              <w:spacing w:after="0"/>
              <w:rPr>
                <w:sz w:val="20"/>
                <w:szCs w:val="20"/>
                <w:color w:val="auto"/>
              </w:rPr>
            </w:pPr>
            <w:r>
              <w:rPr>
                <w:rFonts w:ascii="Arial" w:cs="Arial" w:eastAsia="Arial" w:hAnsi="Arial"/>
                <w:sz w:val="22"/>
                <w:szCs w:val="22"/>
                <w:color w:val="auto"/>
              </w:rPr>
              <w:t>Managing Member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6985</wp:posOffset>
            </wp:positionV>
            <wp:extent cx="27774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Arial" w:cs="Arial" w:eastAsia="Arial" w:hAnsi="Arial"/>
          <w:sz w:val="22"/>
          <w:szCs w:val="22"/>
          <w:b w:val="1"/>
          <w:bCs w:val="1"/>
          <w:color w:val="auto"/>
        </w:rPr>
        <w:t>Paul J. Glazer</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3"/>
      <w:numFmt w:val="bullet"/>
      <w:start w:val="1"/>
    </w:lvl>
  </w:abstractNum>
  <w:abstractNum w:abstractNumId="2">
    <w:nsid w:val="1F16E9E8"/>
    <w:multiLevelType w:val="hybridMultilevel"/>
    <w:lvl w:ilvl="0">
      <w:lvlJc w:val="left"/>
      <w:lvlText w:val="3"/>
      <w:numFmt w:val="bullet"/>
      <w:start w:val="1"/>
    </w:lvl>
  </w:abstractNum>
  <w:abstractNum w:abstractNumId="3">
    <w:nsid w:val="1190CDE7"/>
    <w:multiLevelType w:val="hybridMultilevel"/>
    <w:lvl w:ilvl="0">
      <w:lvlJc w:val="left"/>
      <w:lvlText w:val="(%1)"/>
      <w:numFmt w:val="lowerLetter"/>
      <w:start w:val="1"/>
    </w:lvl>
    <w:lvl w:ilvl="1">
      <w:lvlJc w:val="left"/>
      <w:lvlText w:val="(%2)"/>
      <w:numFmt w:val="lowerRoman"/>
      <w:start w:val="1"/>
    </w:lvl>
  </w:abstractNum>
  <w:abstractNum w:abstractNumId="4">
    <w:nsid w:val="66EF438D"/>
    <w:multiLevelType w:val="hybridMultilevel"/>
    <w:lvl w:ilvl="0">
      <w:lvlJc w:val="left"/>
      <w:lvlText w:val="(%1)"/>
      <w:numFmt w:val="lowerLetter"/>
      <w:start w:val="2"/>
    </w:lvl>
  </w:abstractNum>
  <w:abstractNum w:abstractNumId="5">
    <w:nsid w:val="140E0F76"/>
    <w:multiLevelType w:val="hybridMultilevel"/>
    <w:lvl w:ilvl="0">
      <w:lvlJc w:val="left"/>
      <w:lvlText w:val="(%1)"/>
      <w:numFmt w:val="lowerLetter"/>
      <w:start w:val="6"/>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decimal"/>
      <w:start w:val="60"/>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lowerRoman"/>
      <w:start w:val="1"/>
    </w:lvl>
  </w:abstractNum>
  <w:abstractNum w:abstractNumId="10">
    <w:nsid w:val="1BEFD79F"/>
    <w:multiLevelType w:val="hybridMultilevel"/>
    <w:lvl w:ilvl="0">
      <w:lvlJc w:val="left"/>
      <w:lvlText w:val="1"/>
      <w:numFmt w:val="bullet"/>
      <w:start w:val="1"/>
    </w:lvl>
  </w:abstractNum>
  <w:abstractNum w:abstractNumId="11">
    <w:nsid w:val="41A7C4C9"/>
    <w:multiLevelType w:val="hybridMultilevel"/>
    <w:lvl w:ilvl="0">
      <w:lvlJc w:val="left"/>
      <w:lvlText w:val="2"/>
      <w:numFmt w:val="bullet"/>
      <w:start w:val="1"/>
    </w:lvl>
  </w:abstractNum>
  <w:abstractNum w:abstractNumId="12">
    <w:nsid w:val="6B68079A"/>
    <w:multiLevelType w:val="hybridMultilevel"/>
    <w:lvl w:ilvl="0">
      <w:lvlJc w:val="left"/>
      <w:lvlText w:val="4"/>
      <w:numFmt w:val="bullet"/>
      <w:start w:val="1"/>
    </w:lvl>
  </w:abstractNum>
  <w:abstractNum w:abstractNumId="13">
    <w:nsid w:val="4E6AFB66"/>
    <w:multiLevelType w:val="hybridMultilevel"/>
    <w:lvl w:ilvl="0">
      <w:lvlJc w:val="left"/>
      <w:lvlText w:val="6"/>
      <w:numFmt w:val="bullet"/>
      <w:start w:val="1"/>
    </w:lvl>
  </w:abstractNum>
  <w:abstractNum w:abstractNumId="14">
    <w:nsid w:val="25E45D32"/>
    <w:multiLevelType w:val="hybridMultilevel"/>
    <w:lvl w:ilvl="0">
      <w:lvlJc w:val="left"/>
      <w:lvlText w:val="7"/>
      <w:numFmt w:val="bullet"/>
      <w:start w:val="1"/>
    </w:lvl>
  </w:abstractNum>
  <w:abstractNum w:abstractNumId="15">
    <w:nsid w:val="519B500D"/>
    <w:multiLevelType w:val="hybridMultilevel"/>
    <w:lvl w:ilvl="0">
      <w:lvlJc w:val="left"/>
      <w:lvlText w:val="8"/>
      <w:numFmt w:val="bullet"/>
      <w:start w:val="1"/>
    </w:lvl>
  </w:abstractNum>
  <w:abstractNum w:abstractNumId="16">
    <w:nsid w:val="431BD7B7"/>
    <w:multiLevelType w:val="hybridMultilevel"/>
    <w:lvl w:ilvl="0">
      <w:lvlJc w:val="left"/>
      <w:lvlText w:val="9"/>
      <w:numFmt w:val="bullet"/>
      <w:start w:val="1"/>
    </w:lvl>
  </w:abstractNum>
  <w:abstractNum w:abstractNumId="17">
    <w:nsid w:val="3F2DBA31"/>
    <w:multiLevelType w:val="hybridMultilevel"/>
    <w:lvl w:ilvl="0">
      <w:lvlJc w:val="left"/>
      <w:lvlText w:val="%1"/>
      <w:numFmt w:val="decimal"/>
      <w:start w:val="10"/>
    </w:lvl>
  </w:abstractNum>
  <w:abstractNum w:abstractNumId="18">
    <w:nsid w:val="7C83E45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2021-03-18T09:16:36Z</dcterms:created>
  <dcterms:modified xsi:type="dcterms:W3CDTF">2021-03-18T09:16:36Z</dcterms:modified>
</cp:coreProperties>
</file>