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7"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92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7"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At September 30, 2015, there were 176,736,956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CONDENSED CONSOLIDATED STATEMENTS OF OPERATIONS FOR THE THREE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NINE MONTHS ENDED SEPTEMBER 30, 2015 AND 2014</w:t>
              </w:r>
            </w:hyperlink>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COMPREHENSIVE INCOME FOR</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THE THREE AND NINE MONTHS ENDED SEPTEMBER 30, 2015 AND 2014</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2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CONDENSED CONSOLIDATED BALANCE SHEETS AT SEPTEMBER 30, 2015, AND</w:t>
              </w:r>
            </w:hyperlink>
          </w:p>
        </w:tc>
        <w:tc>
          <w:tcPr>
            <w:tcW w:w="60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2014</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 OF CASH FLOWS FOR THE NINE</w:t>
              </w:r>
            </w:hyperlink>
          </w:p>
        </w:tc>
        <w:tc>
          <w:tcPr>
            <w:tcW w:w="90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SEPTEMBER 30, 2015 AND 2014</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UNAUDITED NOTES ACCOMPANYING THE CONDENSED CONSOLIDATED FINANCIAL</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STATEMENTS</w:t>
              </w:r>
            </w:hyperlink>
          </w:p>
        </w:tc>
        <w:tc>
          <w:tcPr>
            <w:tcW w:w="1180" w:type="dxa"/>
            <w:vAlign w:val="bottom"/>
            <w:tcBorders>
              <w:top w:val="single" w:sz="8" w:color="CCEEFF"/>
            </w:tcBorders>
            <w:gridSpan w:val="5"/>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7"/>
              </w:rPr>
            </w:pPr>
            <w:hyperlink w:anchor="page28">
              <w:r>
                <w:rPr>
                  <w:rFonts w:ascii="Arial" w:cs="Arial" w:eastAsia="Arial" w:hAnsi="Arial"/>
                  <w:sz w:val="18"/>
                  <w:szCs w:val="18"/>
                  <w:color w:val="0000FF"/>
                  <w:w w:val="97"/>
                </w:rPr>
                <w:t>MANAGEMENT’S DISCUSSION AND ANALYSIS OF FINANCIAL CONDITION AND RESULTS OF</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OPERATIONS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5"/>
          </w:tcPr>
          <w:p>
            <w:pPr>
              <w:ind w:left="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gridSpan w:val="5"/>
          </w:tcPr>
          <w:p>
            <w:pPr>
              <w:ind w:left="28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3"/>
                <w:szCs w:val="23"/>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9"/>
          </w:tcPr>
          <w:p>
            <w:pPr>
              <w:jc w:val="right"/>
              <w:spacing w:after="0"/>
              <w:rPr>
                <w:sz w:val="20"/>
                <w:szCs w:val="20"/>
                <w:color w:val="auto"/>
              </w:rPr>
            </w:pPr>
            <w:r>
              <w:rPr>
                <w:rFonts w:ascii="Arial" w:cs="Arial" w:eastAsia="Arial" w:hAnsi="Arial"/>
                <w:sz w:val="18"/>
                <w:szCs w:val="18"/>
                <w:color w:val="auto"/>
              </w:rPr>
              <w:t>(in millions, except per share amounts)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640.9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561.7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216.2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140.7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8)</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168.5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1"/>
        </w:trPr>
        <w:tc>
          <w:tcPr>
            <w:tcW w:w="6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Basic from discontinued operations</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Diluted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Used in basic calculation</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diluted calculation</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4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4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$0.2 million during the nine months ended September 30, 2015, and $0.2 million during the nine months ended September 30, 2014.</w:t>
      </w:r>
    </w:p>
    <w:p>
      <w:pPr>
        <w:spacing w:after="0" w:line="1" w:lineRule="exact"/>
        <w:rPr>
          <w:rFonts w:ascii="Arial" w:cs="Arial" w:eastAsia="Arial" w:hAnsi="Arial"/>
          <w:sz w:val="25"/>
          <w:szCs w:val="25"/>
          <w:color w:val="auto"/>
          <w:vertAlign w:val="superscript"/>
        </w:rPr>
      </w:pPr>
    </w:p>
    <w:p>
      <w:pPr>
        <w:ind w:left="660" w:right="10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and $0.5 million during the three and nine months ended September 30, 2015, respectively, and $0.5 million and $1.5 million during the three and nine months ended September 30, 2014,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495.8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12,278.7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839.5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Material and supplies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13,452.0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6,736.4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7,348.5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9,286.8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14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177.1 million and 176.2 million shares issued, respectively</w:t>
            </w:r>
          </w:p>
        </w:tc>
        <w:tc>
          <w:tcPr>
            <w:tcW w:w="1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- 0.4 million and 0.8 million shares,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4,075.3</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8,456.1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70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705"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2014</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755.8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curtailment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210.3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(1,270.4)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1,160.1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8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107.4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8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98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989"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a gas gathering system and an underground gas storage facility and corporate activities (QEP Marketing and Other).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(NYSE)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10-K/A for the year ended December 31, 2014.</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2015, are not necessarily indicative of the results that may be expected for the year ending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September 30, 2015, QEP Energy recorded impairment charges of $15.0 million, of which $14.4 million was related to proved properties due to lower future oil and gas prices and $0.6 million was related to expiring leaseholds on unproved properties. Of the $14.4 million impairment on proved properties, $13.1 million related to impairments on Other Northern properties, $1.0 million related to impairments on QEP's remaining Midcontinent properties and $0.3 million related to impairments on Permian Basin properties.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September 30, 2015, QEP Energy recorded impairment charges of $35.5 million, of which $33.8 million was related to proved properties due to lower future oil and gas prices and $1.7 million was related to expiring leaseholds on unproved properties. Of the $33.8 million impairment on proved properties, $18.0 million related to impairments on Other Northern properties, $15.5 million related to impairments on QEP's remaining Midcontinent properties and $0.3 million related to impairments on Permian Basin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of September 30, 2015, QEP had $15.6 million of unrecognized tax benefits related to uncertain tax positions for asset sales that occurred in 2014, which were recorded within "Deferred income taxes" on the Condensed Consolidated Balance Sheet. At December 31, 2014, no uncertain tax positions had been recorded. The uncertain tax positions the Company reported during the third quarter 2015 were expensed during the year ended December 31, 2014. The benefits of uncertain tax positions taken or expected to be taken on income tax returns is recognized in the consolidated financial statements at the largest amount that is more likely than not to be sustained upon examination by the relevant taxing authorities. During the nine months ended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7" w:name="page8"/>
    <w:bookmarkEnd w:id="7"/>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September 30, 2015, the Company incurred $0.3 million of interest expense related to uncertain tax positions, which was recorded within "Interest expense" on the Condensed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September 2015, the Financial Accounting Standards Board (FASB) issued Accounting Standard Update (ASU) No. 2015-16,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805), </w:t>
      </w:r>
      <w:r>
        <w:rPr>
          <w:rFonts w:ascii="Arial" w:cs="Arial" w:eastAsia="Arial" w:hAnsi="Arial"/>
          <w:sz w:val="18"/>
          <w:szCs w:val="18"/>
          <w:color w:val="auto"/>
        </w:rPr>
        <w:t>which requires that an acquirer recognize adjustments to provisional amounts that are identified during the measurement period in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which the adjustment amounts are determined. The amendment will be effective prospectively for reporting periods beginning on or after December 15, 2015, and early adoption is permitted. The Company is currently assessing the ASU and does not expect that there will be a significant impact on the Company's Consolidated Financial Statements.</w:t>
      </w:r>
    </w:p>
    <w:p>
      <w:pPr>
        <w:spacing w:after="0" w:line="1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seeks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In July 2015, the FASB issued ASU 2015-14,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in which the FASB delayed the effective date of the new revenue standard by one year and the amendments are now effective prospectively for reporting periods beginning after December 15, 2017, and early adoption is not permitted. The Company is currently assessing the impact on the Company's Consolidated Financial Statements.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May 2015, the FASB issued ASU No. 2015-07,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allows reporting entities to exclude investments measured at net asset value per share under the existing practical expedient in ASC 820 from the fair value hierarchy. It also limits disclosures to investments for which the entity has elected to measure the fair value using the practical expedient. The amendment will be effective retrospectively for reporting periods beginning on or after December 15, 2015, and early adoption is permitted. The Company is currently assessing the ASU and does not expect that there will be a significant impact on the Company's Consolidated Financial Statements.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which assists entities in evaluating the accounting for fees paid by a customer in a "cloud computing arrangement" by providing guidance as to whether an arrangement includes the sale or license of software. The amendment will be effective prospectively for reporting periods beginning on or after December 15, 2015, and early adoption is permitted. The Company is currently assessing the ASU and does not expect that there will be a significant impact on the Company's Consolidated Financial Statements.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which simplifies the presentation of debt issuance costs by requiring that debt issuance costs be presented in the balance sheet as a direct deduction from the carrying amount of debt liability, consistent with debt discounts or premiums. The amendments will be effective retrospectively for reporting periods beginning on or after December 15, 2015, and early adoption is permitted. The Company plans to implement the ASU effective January 1, 2016, and does not expect that there will be a significant impact on the Company's Consolidated Financial Statements.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Consolidation (Topic 810)</w:t>
      </w:r>
      <w:r>
        <w:rPr>
          <w:rFonts w:ascii="Arial" w:cs="Arial" w:eastAsia="Arial" w:hAnsi="Arial"/>
          <w:sz w:val="18"/>
          <w:szCs w:val="18"/>
          <w:color w:val="auto"/>
        </w:rPr>
        <w:t>, which amends the current consolidation guidance. The amendment affects both the variable interest entity and voting interest entity consolidation models. The amendment will be effective prospectively for reporting periods beginning on or after December 15, 2015, and early adoption is permitted. The Company is currently assessing the ASU and does not expect that there will be a significant impact on the Company's Consolidated Financial Statements.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January 2015, the FASB issued ASU No.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which eliminates the concept of extraordinary items from GAAP. The amendment will be effective for reporting periods beginning on or after December 15, 2015, and early adoption is permitted. Additionally, a reporting entity also may apply the amendment retrospectively for all periods presented in the financial statements. The Company is currently assessing the ASU and does not expect that there will be a significant impact on the Company's Consolidated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February 25, 2014, QEP Energy acquired oil and gas properties in the Permian Basin of Texas for an aggregate purchase price of $941.8 million (the Permian Basin Acquisition). The acquired properties consisted of approximately 26,500 net acres of producing and undeveloped oil and gas properties and approximately 270 vertical producing wells in the Permian Basin, which created a new core area of operation for QEP Energy.</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Permian Basin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included significant proved properties. QEP allocated the cost of the Permian Basin Acquisition to assets acquired and liabilities assumed based on fair values as of the acquisition date. Revenues of $41.0 million and $110.6 million and a net loss of $1.9 million and $1.0 million were generated from the acquired properties during the three and nine months ended September 30, 2015, respectively. Revenues of $114.2 million and net income of $23.1 million were generated from the acquired properties from February 25, 2014, to September 30, 2014, and are included in QEP's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The following table presents a summary of the Company's purchase accounting entries (in millions):</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11"/>
        </w:trPr>
        <w:tc>
          <w:tcPr>
            <w:tcW w:w="8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472.1</w:t>
            </w:r>
          </w:p>
        </w:tc>
      </w:tr>
      <w:tr>
        <w:trPr>
          <w:trHeight w:val="27"/>
        </w:trPr>
        <w:tc>
          <w:tcPr>
            <w:tcW w:w="8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38"/>
        </w:trPr>
        <w:tc>
          <w:tcPr>
            <w:tcW w:w="89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584"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10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890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941.8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following unaudited, pro forma results of operations are provided for the nine months ended September 30, 2014. Pro forma results are not provided for the three months ended September 30, 2014, or the three and nine months ended September 30, 2015, because the Permian Basin Acquisition occurred during the first quarter of 2014, and therefore the Permian Basin results are included in QEP's results for these periods.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nine months ended September 30, 2014,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0"/>
        </w:trPr>
        <w:tc>
          <w:tcPr>
            <w:tcW w:w="386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40" w:type="dxa"/>
            <w:vAlign w:val="bottom"/>
            <w:gridSpan w:val="4"/>
          </w:tcPr>
          <w:p>
            <w:pPr>
              <w:jc w:val="right"/>
              <w:ind w:right="930"/>
              <w:spacing w:after="0"/>
              <w:rPr>
                <w:sz w:val="20"/>
                <w:szCs w:val="20"/>
                <w:color w:val="auto"/>
              </w:rPr>
            </w:pPr>
            <w:r>
              <w:rPr>
                <w:rFonts w:ascii="Arial" w:cs="Arial" w:eastAsia="Arial" w:hAnsi="Arial"/>
                <w:sz w:val="18"/>
                <w:szCs w:val="18"/>
                <w:color w:val="auto"/>
              </w:rPr>
              <w:t>September 30, 2014</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Arial" w:cs="Arial" w:eastAsia="Arial" w:hAnsi="Arial"/>
                <w:sz w:val="18"/>
                <w:szCs w:val="18"/>
                <w:color w:val="auto"/>
              </w:rPr>
              <w:t>Actual</w:t>
            </w:r>
          </w:p>
        </w:tc>
        <w:tc>
          <w:tcPr>
            <w:tcW w:w="3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Pro forma</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24"/>
        </w:trPr>
        <w:tc>
          <w:tcPr>
            <w:tcW w:w="38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w w:val="91"/>
              </w:rPr>
              <w:t>(in millions, except</w:t>
            </w:r>
          </w:p>
        </w:tc>
        <w:tc>
          <w:tcPr>
            <w:tcW w:w="1700" w:type="dxa"/>
            <w:vAlign w:val="bottom"/>
            <w:gridSpan w:val="2"/>
          </w:tcPr>
          <w:p>
            <w:pPr>
              <w:jc w:val="right"/>
              <w:ind w:right="490"/>
              <w:spacing w:after="0"/>
              <w:rPr>
                <w:sz w:val="20"/>
                <w:szCs w:val="20"/>
                <w:color w:val="auto"/>
              </w:rPr>
            </w:pPr>
            <w:r>
              <w:rPr>
                <w:rFonts w:ascii="Arial" w:cs="Arial" w:eastAsia="Arial" w:hAnsi="Arial"/>
                <w:sz w:val="18"/>
                <w:szCs w:val="18"/>
                <w:color w:val="auto"/>
                <w:w w:val="90"/>
              </w:rPr>
              <w:t>per share data)</w:t>
            </w:r>
          </w:p>
        </w:tc>
      </w:tr>
      <w:tr>
        <w:trPr>
          <w:trHeight w:val="26"/>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Basic</w:t>
            </w:r>
          </w:p>
        </w:tc>
        <w:tc>
          <w:tcPr>
            <w:tcW w:w="4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38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675"/>
        </w:trPr>
        <w:tc>
          <w:tcPr>
            <w:tcW w:w="3860" w:type="dxa"/>
            <w:vAlign w:val="bottom"/>
          </w:tcPr>
          <w:p>
            <w:pPr>
              <w:spacing w:after="0"/>
              <w:rPr>
                <w:sz w:val="24"/>
                <w:szCs w:val="24"/>
                <w:color w:val="auto"/>
              </w:rPr>
            </w:pPr>
          </w:p>
        </w:tc>
        <w:tc>
          <w:tcPr>
            <w:tcW w:w="4040" w:type="dxa"/>
            <w:vAlign w:val="bottom"/>
          </w:tcPr>
          <w:p>
            <w:pPr>
              <w:jc w:val="right"/>
              <w:ind w:right="205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December 2014, QEP Energy sold its interest in certain non-core properties in southern Oklahoma for aggregate proceeds of $101.3 million. For the year ended December 31, 2014, QEP Energy recorded a pre-tax gain on sale of $53.3 million. QEP recorded a pre-tax gain on sale of $8.8 million and $5.9 million for the three and nine months ended September 30, 2015, respectively, due to post-closing purchase price adjustments.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2014, QEP Energy sold its interest in certain non-core properties in the Midcontinent area and other non-core assets in the Williston Basin for aggregate proceeds of $675.6 million. QEP recorded a pre-tax loss of $199.4 million for the year ended December 31, 2014. QEP recorded a pre-tax gain on sale of $4.6 million and a pre-tax loss on sale of $21.8 million for the three and nine months ended September 30, 2015, respectively, due to post-closing purchase price adjustments. These gains and losses are reported on the Condensed Consolidated Statements of Operations within "Net gain (loss) from asset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 2014, the Company closed on the sale of substantially all of its midstream business, including its ownership interest in QEP Midstream Partners, LP (QEP Midstream) to Tesoro Logistics LP (Tesoro) for total cash proceeds of approximately $2.5 billion, including $230.0 million to refinance debt at QEP Midstream, subject to post-closing adjustments, and QEP recorded a pre-tax gain of approximately $1.8 billion for the year ended December 31, 2014 (Midstream Sale).</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operating results of QEP Field Services Company (QEP Field Services), excluding the Haynesville gathering system (the Discontinued Operations of QEP Field Services), have been classified as discontinued operations on the Condensed Consolidated Statements of Operations and Notes accompanying the Condensed Consolidated Financial Statements for the three and nine months ended September 30, 2014. QEP will have continuing cash outflows to the entities sold as a part of the Midstream Sale for gathering, processing and water handling costs in Pinedale, the Uinta Basin and a portion of its Williston Basin operations. The contracts related to these cash flows vary in length from month-to-month to over a year and will be reviewed periodically in the normal course of business. Historically, these transactions were eliminated in consolidation, as they represented transactions between two related entities but are now reflected as part of the continuing operations for QEP. For the three months ended September 30, 2015 and 2014, cash outflows for these transactions included in continuing operations were $24.9 million and $31.4 million, respectively. For the nine months ended September 30, 2015 and 2014, cash outflows for these transactions included in continuing operations were $94.2 million and $105.4 million, respectively.</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2013, in connection with QEP's plan to separate its midstream business, the Board of Directors approved an employee retention plan to provide substantially all QEP Field Services' employees as of December 1, 2013, with a one-time lump-sum cash payment on the earlier of December 31, 2014, or whenever the separation of QEP Field Services occurred, conditioned on continued employment with QEP Field Services or a successor through the payment date unless the employee is terminated prior to such date. QEP recognized $10.4 million of costs under this retention plan in 2014, of which $2.3 million and $7.1 million was included within "Discontinued operations, net of income tax" on the Condensed Consolidated Statements of Operations for the three and nine months ended September 30, 2014, respectively.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The Discontinued Operations of QEP Field Services are summarized below:</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8"/>
              </w:rPr>
              <w:t>Nine Months</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color w:val="auto"/>
              </w:rPr>
              <w:t>September 30, 2014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Purchased gas and oil sales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Purchased gas and oil expense</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Lease operating expense</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Natural gas, oil and NGL transport and other handling costs</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line="264" w:lineRule="exact"/>
              <w:rPr>
                <w:sz w:val="20"/>
                <w:szCs w:val="20"/>
                <w:color w:val="auto"/>
              </w:rPr>
            </w:pPr>
            <w:r>
              <w:rPr>
                <w:rFonts w:ascii="Arial" w:cs="Arial" w:eastAsia="Arial" w:hAnsi="Arial"/>
                <w:sz w:val="18"/>
                <w:szCs w:val="18"/>
                <w:color w:val="auto"/>
              </w:rPr>
              <w:t xml:space="preserve">INCOME FROM DISCONTINUED OPERATIONS BEFORE INCOME TAXES </w:t>
            </w:r>
            <w:r>
              <w:rPr>
                <w:rFonts w:ascii="Arial" w:cs="Arial" w:eastAsia="Arial" w:hAnsi="Arial"/>
                <w:sz w:val="25"/>
                <w:szCs w:val="25"/>
                <w:color w:val="auto"/>
                <w:vertAlign w:val="superscript"/>
              </w:rPr>
              <w:t>(2)</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1"/>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NET INCOME FROM </w:t>
            </w:r>
            <w:r>
              <w:rPr>
                <w:rFonts w:ascii="Arial" w:cs="Arial" w:eastAsia="Arial" w:hAnsi="Arial"/>
                <w:sz w:val="19"/>
                <w:szCs w:val="19"/>
                <w:color w:val="auto"/>
              </w:rPr>
              <w:t>DISCONTINUED</w:t>
            </w:r>
            <w:r>
              <w:rPr>
                <w:rFonts w:ascii="Arial" w:cs="Arial" w:eastAsia="Arial" w:hAnsi="Arial"/>
                <w:sz w:val="18"/>
                <w:szCs w:val="18"/>
                <w:color w:val="auto"/>
              </w:rPr>
              <w:t xml:space="preserve"> OPERATIONS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FROM DISCONTINUED OPERATIONS, NET OF INCOME TAX</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60" w:hanging="328"/>
        <w:spacing w:after="0" w:line="23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discontinued intercompany eliminations.</w:t>
      </w:r>
    </w:p>
    <w:p>
      <w:pPr>
        <w:spacing w:after="0" w:line="2" w:lineRule="exact"/>
        <w:rPr>
          <w:rFonts w:ascii="Arial" w:cs="Arial" w:eastAsia="Arial" w:hAnsi="Arial"/>
          <w:sz w:val="25"/>
          <w:szCs w:val="25"/>
          <w:color w:val="auto"/>
          <w:vertAlign w:val="superscript"/>
        </w:rPr>
      </w:pPr>
    </w:p>
    <w:p>
      <w:pPr>
        <w:ind w:left="660" w:right="120" w:hanging="328"/>
        <w:spacing w:after="0" w:line="208"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income from discontinued operations before income taxes attributable to QEP from QEP Midstream (of which QEP owned 57.8%) of $7.9 million and $20.4 million for the three and nine months ended September 30,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-418465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Cash Flows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impact of the Discontinued Operations of QEP Field Services on the Condensed Consolidated Statement of Cash Flows for "Depreciation, depletion and amortization" contained in "Cash flows from operating activities" was $43.1 million for the nine months ended September 30, 2014. The impact on cash used for "Property, plant and equipment, including dry exploratory well expense" contained in "Cash flows from investing activities" was $45.6 million for the nine months ended September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are considered participating securities and are included in the computation of earnings per share pursuant to the two-class method. The</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4" w:right="239" w:bottom="1440" w:gutter="0" w:footer="0" w:header="0"/>
          <w:type w:val="continuous"/>
        </w:sectPr>
      </w:pPr>
    </w:p>
    <w:bookmarkStart w:id="11" w:name="page12"/>
    <w:bookmarkEnd w:id="11"/>
    <w:p>
      <w:pPr>
        <w:ind w:right="380"/>
        <w:spacing w:after="0" w:line="255" w:lineRule="auto"/>
        <w:rPr>
          <w:sz w:val="20"/>
          <w:szCs w:val="20"/>
          <w:color w:val="auto"/>
        </w:rPr>
      </w:pPr>
      <w:r>
        <w:rPr>
          <w:rFonts w:ascii="Arial" w:cs="Arial" w:eastAsia="Arial" w:hAnsi="Arial"/>
          <w:sz w:val="18"/>
          <w:szCs w:val="18"/>
          <w:color w:val="auto"/>
        </w:rPr>
        <w:t>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nine months ended September 30, 2015 and 2014, there were no anti-dilutive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color w:val="auto"/>
                <w:w w:val="88"/>
              </w:rPr>
              <w:t>September 30,</w:t>
            </w:r>
          </w:p>
        </w:tc>
        <w:tc>
          <w:tcPr>
            <w:tcW w:w="218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380" w:type="dxa"/>
            <w:vAlign w:val="bottom"/>
            <w:gridSpan w:val="2"/>
            <w:vMerge w:val="continue"/>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$188.5 million and $195.1 million ARO liability for the periods ended September 30, 2015 and December 31, 2014, $0.8 million and $1.3 million were included, respectively, as a current liability within "Accounts payable and accrued expenses" on the Condensed 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related to divestitures</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September 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QEP has determined that its commodity derivative instruments are Level 2. The Level 2 fair value of commodity derivative contracts (see Note 8 </w:t>
      </w:r>
      <w:r>
        <w:rPr>
          <w:rFonts w:ascii="Arial" w:cs="Arial" w:eastAsia="Arial" w:hAnsi="Arial"/>
          <w:sz w:val="16"/>
          <w:szCs w:val="16"/>
          <w:b w:val="1"/>
          <w:bCs w:val="1"/>
          <w:color w:val="auto"/>
        </w:rPr>
        <w:t>–</w:t>
      </w:r>
      <w:r>
        <w:rPr>
          <w:rFonts w:ascii="Arial" w:cs="Arial" w:eastAsia="Arial" w:hAnsi="Arial"/>
          <w:sz w:val="16"/>
          <w:szCs w:val="16"/>
          <w:color w:val="auto"/>
        </w:rPr>
        <w:t xml:space="preserve">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ectPr>
          <w:pgSz w:w="11900" w:h="16838" w:orient="portrait"/>
          <w:cols w:equalWidth="0" w:num="1">
            <w:col w:w="11420"/>
          </w:cols>
          <w:pgMar w:left="240" w:top="584" w:right="239" w:bottom="514"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514"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fair value of financial assets and liabilities at September 30, 2015 and December 31, 2014,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September 30, 2015</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88"/>
              </w:rPr>
              <w:t>December 31, 2014</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The Company nets its derivative contract assets and liabilities outstanding with the same counterparty on the Condensed Consolidated Balance Sheets, as the contracts contain netting provisions. Refer to Note 8 </w:t>
      </w:r>
      <w:r>
        <w:rPr>
          <w:rFonts w:ascii="Arial" w:cs="Arial" w:eastAsia="Arial" w:hAnsi="Arial"/>
          <w:sz w:val="18"/>
          <w:szCs w:val="18"/>
          <w:b w:val="1"/>
          <w:bCs w:val="1"/>
          <w:color w:val="auto"/>
        </w:rPr>
        <w:t>–</w:t>
      </w:r>
      <w:r>
        <w:rPr>
          <w:rFonts w:ascii="Arial" w:cs="Arial" w:eastAsia="Arial" w:hAnsi="Arial"/>
          <w:sz w:val="18"/>
          <w:szCs w:val="18"/>
          <w:color w:val="auto"/>
        </w:rPr>
        <w:t xml:space="preserve"> Derivative Contracts, for additional information regarding the Company's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accompanying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2014</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2,218.5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1,965.5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2,171.6</w:t>
            </w:r>
          </w:p>
        </w:tc>
      </w:tr>
    </w:tbl>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0" w:right="239" w:bottom="1440" w:gutter="0" w:footer="0" w:header="0"/>
          <w:type w:val="continuous"/>
        </w:sectPr>
      </w:pPr>
    </w:p>
    <w:bookmarkStart w:id="13" w:name="page14"/>
    <w:bookmarkEnd w:id="13"/>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6 – Asset Retirement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but generally, QEP intends to enter into commodity derivative contracts for approximately 50% to 75% of its forecasted annual production by the end of the first quarter of each fiscal year. In addition, QEP may enter into commodity derivative contracts on a portion of its storage and marketing transactions. QEP does not enter into commodity derivative instruments for speculative purposes.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or oil between the parties at settlement. All transactions are settled in cash with one party paying the other for the net difference in prices, multiplied by the contract volume, for the settlement period. Gas price derivative instruments are typically structured as fixed-price swaps or collars at regional price indices. Oil price derivative instruments are typically structured as NYMEX fixed-price swaps based at Cushing, Oklahoma or oil price swaps that use Intercontinental Exchange, Inc. (ICE) Brent oil prices as the reference price. QEP also enters into crude oil and natural gas basis swaps to achieve a fixed-price swap for a portion of its oil and gas that it sells at prices that reference specific index prices.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During 2014, QEP also used interest rate swaps to mitigate a portion of its exposure to interest rate volatility associated with its $600.0 million term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interest rate swaps were terminated and settled in December 2014 in conjunction with the extinguishment of QEP's term loan.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QEP Energy’s quantities and average prices for its commodity derivative swap contracts as of September 30,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3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($/MMBtu)</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jc w:val="center"/>
              <w:ind w:right="568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7"/>
              </w:rPr>
              <w:t>($/bbl)</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82.09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ICE Brent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 Energy's gas collars as of September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0"/>
              </w:rPr>
              <w:t>Average Price</w:t>
            </w:r>
          </w:p>
        </w:tc>
      </w:tr>
      <w:tr>
        <w:trPr>
          <w:trHeight w:val="27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Index</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8"/>
              </w:rPr>
              <w:t>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($/MMBtu)</w:t>
            </w:r>
          </w:p>
        </w:tc>
        <w:tc>
          <w:tcPr>
            <w:tcW w:w="320" w:type="dxa"/>
            <w:vAlign w:val="bottom"/>
          </w:tcPr>
          <w:p>
            <w:pPr>
              <w:spacing w:after="0"/>
              <w:rPr>
                <w:sz w:val="23"/>
                <w:szCs w:val="23"/>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color w:val="auto"/>
                <w:w w:val="99"/>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6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 HH</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QEP uses gas basis swaps, combined with NYMEX HH fixed price swaps, to achieve fixed price swaps at the location at which it sells its physical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 Energy's gas basis swaps as of September 30,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3"/>
                <w:szCs w:val="23"/>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9"/>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56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September 30,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instruments fair value</w:t>
            </w: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line item</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2014</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2014</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203.4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3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(in millions)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Energy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500"/>
              <w:spacing w:after="0"/>
              <w:rPr>
                <w:sz w:val="20"/>
                <w:szCs w:val="20"/>
                <w:color w:val="auto"/>
              </w:rPr>
            </w:pPr>
            <w:r>
              <w:rPr>
                <w:rFonts w:ascii="Arial" w:cs="Arial" w:eastAsia="Arial" w:hAnsi="Arial"/>
                <w:sz w:val="18"/>
                <w:szCs w:val="18"/>
                <w:color w:val="auto"/>
                <w:w w:val="97"/>
              </w:rPr>
              <w:t>Total unrealized gains (losses) on commodity derivative contracts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realized and unrealized gains (losses) on commodity</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153.6</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Realized gains (losses) on interest rate swaps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gains (losses) on interest rate swaps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(losses) on derivative contracts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119.8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316.5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gains (losses) on derivative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Costs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third quarter of 2015, QEP announced the closure of its regional office in Tulsa, Oklahoma. As a part of this reorganization, QEP will incur costs associated with termination benefits, relocation of certain employees, exit costs associated with the possible termination of the operating lease for the Tulsa office space and other expenses. QEP also incurred restructuring costs in the first quarter of 2015 as a result of work force reductions unrelated to the closure of its Tulsa office.</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QEP anticipates total restructuring costs to be approximately $8.0 million to $12.0 million, of which approximately $5.3 million to $9.3 million is related to the closure of the Tulsa office and $2.7 million for work force reductions unrelated to the closure of the Tulsa office. Approximately $5.5 million is related to termination benefits, approximately $2.8 million is related to relocation of certain employees, and the remaining $3.9 million is related to the possible termination of the operating lease for the Tulsa office space. During the three months ended September 30, 2015, restructuring costs of $3.5 million were incurred related to the Tulsa office closure, of which $2.8 million were termination costs and $0.7 million were relocation costs. During the nine months ended September 30, 2015, restructuring costs of $6.2 million were incurred, of which $2.7 million were termination costs in the first quarter unrelated to the Tulsa office closure, and $2.8 million and $0.7 million of termination and relocation costs, respectively, were incurred in the third quarter related to the Tulsa office closure. All of the costs will be incurred by QEP Energy and are reported within QEP Energy's financial statements. These restructuring costs were recorded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right="900"/>
        <w:spacing w:after="0" w:line="277" w:lineRule="auto"/>
        <w:rPr>
          <w:sz w:val="20"/>
          <w:szCs w:val="20"/>
          <w:color w:val="auto"/>
        </w:rPr>
      </w:pPr>
      <w:r>
        <w:rPr>
          <w:rFonts w:ascii="Arial" w:cs="Arial" w:eastAsia="Arial" w:hAnsi="Arial"/>
          <w:sz w:val="18"/>
          <w:szCs w:val="18"/>
          <w:color w:val="auto"/>
        </w:rPr>
        <w:t>within "General and administrative" expense of the Condensed Consolidated Statement of Operations. The Company estimates that the remaining restructuring costs will be incurred during the remainder of 2015 and in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is a reconciliation of QEP's restructuring liability, which is included within "Accounts payable and accrued expenses" on the Condensed Consolidated Balance Sheets.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Restructuring liability</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September 30, 2015</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Note 10 – Debt</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160" w:type="dxa"/>
            <w:vAlign w:val="bottom"/>
          </w:tcPr>
          <w:p>
            <w:pPr>
              <w:spacing w:after="0"/>
              <w:rPr>
                <w:sz w:val="21"/>
                <w:szCs w:val="21"/>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160" w:type="dxa"/>
            <w:vAlign w:val="bottom"/>
          </w:tcPr>
          <w:p>
            <w:pPr>
              <w:spacing w:after="0"/>
              <w:rPr>
                <w:sz w:val="21"/>
                <w:szCs w:val="21"/>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160" w:type="dxa"/>
            <w:vAlign w:val="bottom"/>
          </w:tcPr>
          <w:p>
            <w:pPr>
              <w:spacing w:after="0"/>
              <w:rPr>
                <w:sz w:val="21"/>
                <w:szCs w:val="21"/>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unamortized discount</w:t>
            </w: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Of the total debt outstanding on September 30, 2015, the 6.05% Senior Notes due September 1, 2016, the 6.80% Senior Notes due April 1, 2018 and the 6.80% Senior Notes due March 1, 2020, will mature within the next five years. In addition, the revolving credit facility matures on December 2,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nine months ended September 30, 2014, QEP’s weighted-average interest rate on borrowings from its credit facility was 2.22%. At September 30, 2015 and December 31, 2014, QEP had no borrowings outstanding under the credit facility, had $3.7 million in letters of credit outstanding under the credit facility and was in compliance with the covenants under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At September 30, 2015,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ind w:right="180"/>
        <w:spacing w:after="0" w:line="264" w:lineRule="auto"/>
        <w:rPr>
          <w:sz w:val="20"/>
          <w:szCs w:val="20"/>
          <w:color w:val="auto"/>
        </w:rPr>
      </w:pPr>
      <w:r>
        <w:rPr>
          <w:rFonts w:ascii="Arial" w:cs="Arial" w:eastAsia="Arial" w:hAnsi="Arial"/>
          <w:sz w:val="18"/>
          <w:szCs w:val="18"/>
          <w:color w:val="auto"/>
        </w:rPr>
        <w:t>obligations. QEP may redeem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material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the ongoing discovery and/or development of information important to the matter. Except for the Rocky Mountain Resources Lawsuit (discussed below), QEP is unable to estimate reasonably possible losses (in excess of recorded accruals, if any) for its material loss contingencies for the reasons set forth above. QEP believes, however, that the resolution of pending proceedings (after accruals, insurance coverage, and indemnification arrangements) will not be material to QEP's financial position but could be material to results of operations in a particular quarter 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Rocky Mountain Resources Lawsuit - </w:t>
      </w:r>
      <w:r>
        <w:rPr>
          <w:rFonts w:ascii="Arial" w:cs="Arial" w:eastAsia="Arial" w:hAnsi="Arial"/>
          <w:sz w:val="18"/>
          <w:szCs w:val="18"/>
          <w:color w:val="auto"/>
        </w:rPr>
        <w:t>Rocky Mountain Resources, LLC (Rocky Mountain) filed its complaint in March 2011, seeking determination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a 4% overriding royalty interest in an oil and gas lease. Rocky Mountain alleges that the defendants have failed to pay Rocky Mountain monies associated with the claimed 4% overriding royalty interest since the issuance of the lease by the State of Wyoming in 1980. In February 2015, a jury rendered a verdict against QEP and awarded Rocky Mountain damages in the amount of $16.7 million, including interest. QEP is appealing the verdict to the Wyoming Supreme Court, and, in connection with such appeal, has posted a bond for approximately $20.0 million (representing the amount of the verdict and two years of accrued interest at the statutory rate of 10%). QEP estimates that, notwithstanding the verdict, the range of reasonably possible losses is still zero to approximately $20.0 million.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Yannick Gagné Lawsuit and Related Suits - </w:t>
      </w:r>
      <w:r>
        <w:rPr>
          <w:rFonts w:ascii="Arial" w:cs="Arial" w:eastAsia="Arial" w:hAnsi="Arial"/>
          <w:sz w:val="18"/>
          <w:szCs w:val="18"/>
          <w:color w:val="auto"/>
        </w:rPr>
        <w:t>Plaintiffs seek to represent a class of all persons who sustained damages as a result of the July 6, 2013 train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derailment in Lac-Mégantic, Quebec, which resulted in substantial loss of life and property. The rail company that transported the crude oil filed for bankruptcy protection following the accident. The plaintiffs contend that QEP, and other producer defendants, sold Bakken crude oil to third-party purchasers in North Dakota, who resold the oil and transported it on the derailed train. Plaintiffs allege that QEP and the producer defendants, among other things, failed to ensure that the oil was adequately processed to remove volatile gases and vapors, failed to take reasonable care to ensure that the oil was properly labeled and shipped and failed to identify the risk of the train derailment and take action to prevent it. The plaintiffs seek unspecified damages. A court order regarding class certification is pending. Many of the defendants, including QEP, have reached a confidential settlement agreement with trustees in both Canadian and U.S. bankruptcy courts to resolve all of these claims, which is subject to the approval of such courts. During the third quarter of 2015, QEP was served with additional complaints in state and federal courts in Maine, Texas and Illinois, each of which makes similar claims to those in the </w:t>
      </w:r>
      <w:r>
        <w:rPr>
          <w:rFonts w:ascii="Arial" w:cs="Arial" w:eastAsia="Arial" w:hAnsi="Arial"/>
          <w:sz w:val="18"/>
          <w:szCs w:val="18"/>
          <w:i w:val="1"/>
          <w:iCs w:val="1"/>
          <w:color w:val="auto"/>
        </w:rPr>
        <w:t>Yannick Gagné</w:t>
      </w:r>
      <w:r>
        <w:rPr>
          <w:rFonts w:ascii="Arial" w:cs="Arial" w:eastAsia="Arial" w:hAnsi="Arial"/>
          <w:sz w:val="18"/>
          <w:szCs w:val="18"/>
          <w:color w:val="auto"/>
        </w:rPr>
        <w:t xml:space="preserve"> case, and plaintiff's in each matter support the current settlement plans. If the courts approve the current settlement plan, the plan will settle these additional cases.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 share units under its Cash Incentive Plan (CIP) to certain officers, employees, and non-employee directors. QEP recognizes expense over the vesting periods for the stock options, restricted shares, and performance share units. There were 9.1 million shares available for future grants under the LTSIP at September 30, 2015. Share-based compensation expense related to continuing operations is recognized within “General and administrative” expense on the Condensed Consolidated Statements of Operations, and expenses related to discontinued operations (including compensation expense related to the QEP Midstream Long Term Incentive Plan) are reflected within "Net income from discontinued operations, net of income tax" on the Condensed Consolidated Statement of Operations. During the three and nine months ended September 30, 2015, QEP recognized $7.7 million and $23.3 million, respectively, in total compensation expense related to share-based compensation for continuing operations, compared to $8.1 million and $20.4 million, respectively, during the three and nine months ended September 30, 2014. In addition, during the three and nine months ended September 30, 2014, QEP recognized $1.0 million and $3.3 million, respectively, in total compensation expense related to share-based compensation for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 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calculated fair value of options granted and major assumptions used in the model at the date of grant are listed below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awards granted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6.82</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0.37%</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CCEEFF"/>
          </w:tcPr>
          <w:p>
            <w:pPr>
              <w:spacing w:after="0"/>
              <w:rPr>
                <w:sz w:val="21"/>
                <w:szCs w:val="21"/>
                <w:color w:val="auto"/>
              </w:rPr>
            </w:pP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1,996,215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425,877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31.31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September 30,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2,344,275</w:t>
            </w:r>
          </w:p>
        </w:tc>
        <w:tc>
          <w:tcPr>
            <w:tcW w:w="3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27.42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tcPr>
          <w:p>
            <w:pPr>
              <w:ind w:left="1020"/>
              <w:spacing w:after="0"/>
              <w:rPr>
                <w:sz w:val="20"/>
                <w:szCs w:val="20"/>
                <w:color w:val="auto"/>
              </w:rPr>
            </w:pPr>
            <w:r>
              <w:rPr>
                <w:rFonts w:ascii="Arial" w:cs="Arial" w:eastAsia="Arial" w:hAnsi="Arial"/>
                <w:sz w:val="18"/>
                <w:szCs w:val="18"/>
                <w:b w:val="1"/>
                <w:bCs w:val="1"/>
                <w:color w:val="auto"/>
              </w:rPr>
              <w:t>—</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1,665,825</w:t>
            </w:r>
          </w:p>
        </w:tc>
        <w:tc>
          <w:tcPr>
            <w:tcW w:w="360" w:type="dxa"/>
            <w:vAlign w:val="bottom"/>
            <w:tcBorders>
              <w:bottom w:val="single" w:sz="8" w:color="CCEEFF"/>
            </w:tcBorders>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28.32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September 30, 2015</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678,450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25.20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total intrinsic value (the difference between the market price at the exercise date and the exercise price) of options exercised was $0.1 million and $0.6 million during the nine months ended September 30, 2015 and 2014, respectively. As of September 30, 2015, $2.6 million of unrecognized compensation cost related to stock options granted under the LTSIP, which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included within "Additional paid-in capital" on the Condensed Consolidated Balance Sheet, is expected to be recognized over a weighted-average period of 2.14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nine months ended September 30, 2015 and 2014, was $21.0 million and $20.2 million, respectively. The weighted-average grant date fair value of restricted stock was $21.02 per share and $31.82 per share for the nine months ended September 30, 2015 and 2014, respectively. As of September 30, 2015, $27.5 million of unrecognized compensation cost related to restricted shares granted under the LTSIP, which is included within "Additional paid-in capital" on the Condensed Consolidated Balance Sheet, is expected to be recognized over a weighted-average vesting period of 2.24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Average Grant</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1,426,453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1,484,567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21.02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(93,425)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27.20</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2,134,033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have historically been delivered in cash. Beginning with awards granted in 2015, the Company has the option to settle earned awards in cash or shares of common stock under the Company's LTSIP; however, as of September 30, 2015, the Company expects to settle all awards in cash. The weighted-average grant date fair value of the performance share units was $21.69 per share and $31.71 per share for the nine months ended September 30, 2015 and 2014, respectively. As of September 30, 2015, $2.7 million of unrecognized compensation cost, which is included within "Other long-term liabilities" on the Condensed Consolidated Balance Sheet and represents the fair market value of performance shares granted, is expected to be recognized over a weighted-average vesting period of 1.90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552,209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234,085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(14,612)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September 30,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633,225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27.52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340" w:type="dxa"/>
            <w:vAlign w:val="bottom"/>
          </w:tcPr>
          <w:p>
            <w:pPr>
              <w:ind w:left="3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Represents units that were not paid out due to performance under the plan.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(SERP), and a postretirement medical plan (the Medical Plan).</w:t>
      </w:r>
    </w:p>
    <w:p>
      <w:pPr>
        <w:spacing w:after="0" w:line="2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Pension Plan is a closed, qualified defined-benefit pension plan that is funded and provides pension benefits to certain QEP employees. During the nine months ended September 30, 2015, the Company made contributions of $2.0 million to the Pension Plan and expects to contribute $2.0 million to the Pension Plan during the remainder of 2015. Contributions to the Pension Plan increase plan assets.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Company's 2014 divestitures and expected retirements in 2015, the number of active participants in the Pension Plan is expected to fall below 50 employees by December 31, 2015, which is below the minimum number of active participants for a plan to be qualified under the Internal Revenue Services' participation rules. In order to prevent disqualification, the Pension Plan was amended in June 2015 and will be frozen effective January 1, 2016, such that employees do not earn additional defined benefits for future services. This change resulted in a non-cash curtailment loss of $11.2 million recognized on the Condensed Consolidated Statements of Operations within "General and administrative" expense during the nine months ended September 30, 2015.</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nine months ended September 30, 2015, the Company made contributions of $2.9 million to its SERP and expects to contribute an additional $1.5 million to its SERP during the remainder of 2015. Contributions to the SERP are used to fund current benefit payments. The SERP was amended and restated in June 2015 and will be closed to new participants effective January 1, 2016.</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employees. During the nine months ended September 30, 2015, the Company made contributions of $0.4 million to its Medical Plan and expects to contribute an additional $0.1 million to its Medical Plan during the remainder of 2015. Contributions to the Medical Plan are used to fund current benefit payments.</w:t>
      </w:r>
    </w:p>
    <w:p>
      <w:pPr>
        <w:sectPr>
          <w:pgSz w:w="11900" w:h="16925" w:orient="portrait"/>
          <w:cols w:equalWidth="0" w:num="1">
            <w:col w:w="11420"/>
          </w:cols>
          <w:pgMar w:left="240" w:top="584"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584"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9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84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Special termination benefits </w:t>
            </w:r>
            <w:r>
              <w:rPr>
                <w:rFonts w:ascii="Arial" w:cs="Arial" w:eastAsia="Arial" w:hAnsi="Arial"/>
                <w:sz w:val="25"/>
                <w:szCs w:val="25"/>
                <w:color w:val="auto"/>
                <w:vertAlign w:val="superscript"/>
              </w:rPr>
              <w:t>(3)</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in the Condensed Consolidated Statements of Operations in "General and administrative."</w:t>
      </w:r>
    </w:p>
    <w:p>
      <w:pPr>
        <w:spacing w:after="0" w:line="1" w:lineRule="exact"/>
        <w:rPr>
          <w:rFonts w:ascii="Arial" w:cs="Arial" w:eastAsia="Arial" w:hAnsi="Arial"/>
          <w:sz w:val="25"/>
          <w:szCs w:val="25"/>
          <w:color w:val="auto"/>
          <w:vertAlign w:val="superscript"/>
        </w:rPr>
      </w:pPr>
    </w:p>
    <w:p>
      <w:pPr>
        <w:ind w:left="660" w:right="100" w:hanging="314"/>
        <w:spacing w:after="0" w:line="245"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 xml:space="preserve">A curtailment is recognized immediately when there is a significant reduction in, or an elimination of, defined benefit accruals for current employees' future services. For the nine months ended September 30, 2015, these expenses are included on the Condensed Consolidated Statements of Operations within "General and administrative" expense as the expenses incurred in that period related to the Pension Plan amendment (see above). For the nine months ended September 30, 2014, these expenses are included within "Net gain (loss) from asset sales" as the expenses incurred in that period related to the Midcontinent property sales (see Note 3 </w:t>
      </w:r>
      <w:r>
        <w:rPr>
          <w:rFonts w:ascii="Arial" w:cs="Arial" w:eastAsia="Arial" w:hAnsi="Arial"/>
          <w:sz w:val="17"/>
          <w:szCs w:val="17"/>
          <w:b w:val="1"/>
          <w:bCs w:val="1"/>
          <w:color w:val="auto"/>
        </w:rPr>
        <w:t>–</w:t>
      </w:r>
      <w:r>
        <w:rPr>
          <w:rFonts w:ascii="Arial" w:cs="Arial" w:eastAsia="Arial" w:hAnsi="Arial"/>
          <w:sz w:val="17"/>
          <w:szCs w:val="17"/>
          <w:color w:val="auto"/>
        </w:rPr>
        <w:t xml:space="preserve"> Acquisitions and Divestitures).</w:t>
      </w:r>
    </w:p>
    <w:p>
      <w:pPr>
        <w:jc w:val="both"/>
        <w:ind w:left="660" w:right="820" w:hanging="314"/>
        <w:spacing w:after="0" w:line="22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 xml:space="preserve">During the nine months ended September 30, 2014, the Company recognized special termination benefits on the Condensed Consolidated Statements of Operations within "Net gain (loss) from asset sales" as the expense related to the Midcontinent property sales (see Note 3 </w:t>
      </w:r>
      <w:r>
        <w:rPr>
          <w:rFonts w:ascii="Arial" w:cs="Arial" w:eastAsia="Arial" w:hAnsi="Arial"/>
          <w:sz w:val="18"/>
          <w:szCs w:val="18"/>
          <w:b w:val="1"/>
          <w:bCs w:val="1"/>
          <w:color w:val="auto"/>
        </w:rPr>
        <w:t>–</w:t>
      </w:r>
      <w:r>
        <w:rPr>
          <w:rFonts w:ascii="Arial" w:cs="Arial" w:eastAsia="Arial" w:hAnsi="Arial"/>
          <w:sz w:val="18"/>
          <w:szCs w:val="18"/>
          <w:color w:val="auto"/>
        </w:rPr>
        <w:t xml:space="preserve"> Acquisitions and Divestitures).</w:t>
      </w:r>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three and nine months ended September 30, 2015, for continuing operations, QEP recognized $0.9 million and $14.1 million, respectively, in employee benefit expense, compared to $1.4 million and $8.2 million, respectively, during the three and nine months ended September 30, 2014. During the three and nine months ended September 30, 2014, for discontinued operations, QEP recognized $0.4 million and $1.4 million, respectively, in employee benefit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QEP’s lines of business include oil and gas exploration and production (QEP Energy); and oil and gas marketing, operation of a gas gathering system and an underground gas storage facility and corporate activities (QEP Marketing and Other). The lines of business are managed separately and therefore the financial information is presented separately due to the distinct differences in the nature of operations of each line of business, among other factors.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Our financial results for the three and nine months ended September 30, 2014, have been revised, in accordance with GAAP, to reflect the impact of the Midstream Sale. See Note 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detailed information on the Midstream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2015,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QEP Energy</w:t>
            </w:r>
          </w:p>
        </w:tc>
        <w:tc>
          <w:tcPr>
            <w:tcW w:w="2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and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7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152.3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652.9</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assets sales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2015, by line of business: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QEP Energy</w:t>
            </w:r>
          </w:p>
        </w:tc>
        <w:tc>
          <w:tcPr>
            <w:tcW w:w="2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and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7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1,636.9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561.7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2014, by line of business: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1,953.3</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assets sales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2014 Annual Report on Form 10-K/A and analyzes the changes in the results of operations between the three and nine months ended September 30, 2015 and 2014. For definitions of commonly used oil and gas terms found in this Quarterly Report on Form 10-Q, please refer to the “Glossary of Commonly Used Terms” provided in QEP’s 2014 Annual Report on Form 10-K/A.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MD&amp;A focuses on our continuing operations. Discontinued operations are excluded from our MD&amp;A except as indicated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a gas gathering system and an underground gas storage facility and corporate activities (QEP Marketing and Other).</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seek to create value for our shareholders through returns-focused growth, superior execution and a low-cost structure. To achieve these objectives we strive to:</w:t>
      </w:r>
    </w:p>
    <w:p>
      <w:pPr>
        <w:spacing w:after="0" w:line="17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actively market our production to maximize value;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to lock in acceptable cash flows required to support future capital expenditures;</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2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8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response to the current commodity price environment, we have reduced drilling and completion activities, slowed production growth, and continue to preserve liquidity and expect to continue these strategies in 2016. We have reduced the number of QEP operated drilling rigs to eight at the end of the third quarter of 2015 compared to a high of 21 during 2014. We have reduced our annual capital expenditure budget for 2015 to approximately $1.0 billion from $2.7 billion in 2014, which included $941.8 million for the Permian Basin Acquisition (defined below). We are focused on driving improved operating performance by optimizing reservoir development, enhancing well completion designs and aggressively pursuing cost reductions.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three and nine months ended September 30, 2015, no shares were repurchased under this plan.</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2, 2014, QEP completed the sale of its midstream business; see "Discontinued Operations" below. QEP believes this transaction represents a significant milestone in the strategic repositioning of the Company, as QEP is now better positioned to deliver continued growth by focusing on its exploration and production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 2014, the Company closed on the sale of substantially all of its midstream business, including the Company's ownership interest in QEP Midstream Partners, LP (QEP Midstream), to Tesoro Logistics LP (Tesoro) for total cash proceeds of approximately $2.5 billion, including $230.0 million to refinance debt at QEP Midstream, subject to post-closing adjustments, and QEP recorded a pre-tax gain of approximately $1.8 billion for the year ended December 31, 2014 (Midstream Sale). As a result of the Midstream Sale, the QEP Field Services Company (QEP Field Services) reporting segment, excluding the retained ownership of Haynesville gathering system (Haynesville Gathering), has been classified as a discontinued operation on the Condensed Consolidated Statement of Operations and the Notes accompanying the Condensed Consolidated Financial Statements. For reporting purposes, Haynesville Gathering has been combined with QEP Marketing and Other.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February 25, 2014, QEP Energy acquired oil and gas properties in the Permian Basin of Texas for an aggregate purchase price of $941.8 million (the Permian Basin Acquisition). The acquired properties consisted of approximately 26,500 net acres of producing and undeveloped oil and gas properties and approximately 270 vertical producing wells in the Permian Basin, which created a new core area of operation for QEP Energy.</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periodically divests select non-core assets. In December 2014, QEP sold its interest in certain non-core properties in southern Oklahoma for aggregate proceeds of approximately $101.3 million. In June 2014, QEP sold its interests in certain non-core properties in the Midcontinent area and other non-core assets in the Williston Basin for aggregate proceeds of approximately $675.6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carbonate or shale layers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growth in organic production and reserves.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80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During the three months ended September 30, 2015, QEP:</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Achieved record equivalent production of 86.7 Bcfe, a 9% increase over the same period in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$495.8 million in cash and cash equivalents and have nothing drawn under our $1.8 billion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net income of $21.1 million, or $0.12 per diluted share;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Achieved Adjusted EBITDA (a non-GAAP financial measure defined and reconciled below) of $273.1 million, which exceeded third quarter capital expenditures;</w:t>
      </w:r>
    </w:p>
    <w:p>
      <w:pPr>
        <w:ind w:left="660" w:right="1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oil production to 5,162.1 Mbbls, a 10% increase over 2014, including record production in the Permian Basin and near-record production in the Williston Basin;</w:t>
      </w:r>
    </w:p>
    <w:p>
      <w:pPr>
        <w:ind w:left="660" w:right="1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natural gas production to 48.0 Bcf, a 15% increase over 2014, including record natural gas production in Pinedale and in the Uinta Basin;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lease operating and transportation expense by $0.15/Mcfe to $1.57/Mcfe.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During the nine months ended September 30, 2015, QEP:</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Achieved record equivalent production of 242.8 Bcfe, a 3% increase over the same period in 2014;</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oil production to 14,519.4 Mbbls, a 21% increase over 2014, including 88% growth in the Permian Basin and 23% growth in the Williston Basin;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natural gas production to 135.1 Bcf, including record production in Pinedale and in the Uinta Basin.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Changes in the market prices for gas, oil, and NGL directly impact many aspects of QEP's business, including its financial condition, revenues, results of operations, planned drilling activity and related capital expenditures, liquidity, rate of growth, costs of goods and services required to drill and complete wells, and the carrying value of its oil and natural gas properties. Historically, field-level prices received for QEP's gas, oil and NGL production have been volatile and unpredictable, and that volatility is expected to continue.</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recent years, domestic crude oil and natural gas supplies have grown dramatically, driven by advances in drilling and completion technologies, including horizontal drilling and multi-stage hydraulic fracturing. These changes have allowed producers to extract increased quantities of hydrocarbons from shale, tight sand formations, and other unconventional reservoirs. Increased natural gas supplies, particularly in the eastern portion of the country, have resulted in downward pressure on U.S. natural gas prices and a high degree of pricing variability among different regional natural gas pricing hubs. High natural gas demand in 2014, driven primarily by unusually cold winter weather, resulted in improved natural gas prices in the first half of 2014, but continued growth in production, a more normal winter during the 2014-2015 heating season, and adequate storage levels led to natural gas price declines later in the year and in 2015. Similarly, growth in U.S. oil production combined with global crude oil supplies that exceed global demand and other factors, such as a strong U.S. dollar, led to a dramatic weakening of global oil prices starting in late 2014, which has continued into 2015.</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NGL prices have also been affected by increased U.S. hydrocarbon production and insufficient domestic demand and export capacity. Prices of heavier NGL components, typically correlated to crude oil prices, have declined consistently with weakening oil prices, while ethane and propane prices have decreased as a result of growing North American oversupply. In addition, QEP's NGL prices are affected by ethane recovery or rejection. When ethane is recovered as a discrete NGL component instead of being sold as part of the natural gas stream, the average sales price of an NGL barrel decreases as the ethane price is generally lower than the prices of the remaining NGL components. As permitted in our processing agreements, QEP recovers ethane when gas processing economics support the recovery of ethane from the natural gas stream. When gas processing economics do not support ethane recovery, the Company rejects ethane when possible.</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2014, the NYMEX-WTI oil monthly average spot price ranged from a high of $105.79 per barrel in June 2014 to a low of $59.29 per barrel in December 2014, while the NYMEX-HH natural gas one-month future price ranged from a high of $5.15 per MMBtu in February 2014 to a low of $3.65 per MMBtu in November 2014. Prices continue to be volatile in 2015 as the NYMEX-WTI oil monthly average spot price fell to a low of $38.22 per barrel in August 2015 and the NYMEX-HH natural gas one-month future price fell to a low of $2.49 per MMBtu in April 2015.</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Due to increased global economic uncertainty and the corresponding volatility of commodity prices, QEP has built a strong liquidity position to ensure financial flexibility and has reduced drilling and completion activity and decreased planned capital expenditures. QEP uses commodity derivatives to reduce the volatility of the prices QEP receives for a portion of its production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6" w:right="259" w:bottom="1440" w:gutter="0" w:footer="0" w:header="0"/>
        </w:sectPr>
      </w:pPr>
    </w:p>
    <w:bookmarkStart w:id="30" w:name="page31"/>
    <w:bookmarkEnd w:id="30"/>
    <w:p>
      <w:pPr>
        <w:spacing w:after="0" w:line="290" w:lineRule="auto"/>
        <w:rPr>
          <w:sz w:val="20"/>
          <w:szCs w:val="20"/>
          <w:color w:val="auto"/>
        </w:rPr>
      </w:pPr>
      <w:r>
        <w:rPr>
          <w:rFonts w:ascii="Arial" w:cs="Arial" w:eastAsia="Arial" w:hAnsi="Arial"/>
          <w:sz w:val="16"/>
          <w:szCs w:val="16"/>
          <w:color w:val="auto"/>
        </w:rPr>
        <w:t>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September 30, 2015, assuming forecasted 2015 annual production of 323 Bcfe, QEP Energy had approximately 53% of its forecasted gas equivalent production for the remainder of 2015 covered with fixed-price swaps, including 61% of its forecasted gas production and 54% of its forecasted oil production. As QEP has entered into additional derivative contracts in 2015, the average swap price of the contract is significantly lower than the contracts entered into prior to 2015 and therefore, may not contribute as much to QEP's net realized prices for future production. See Part 1, Item 3 “Quantitative and Qualitative Disclosures about Market Risk —Commodity Price Risk Management” for further details concerning QEP’s commodity derivatives transactions. QEP Energy has allocated approximately 96% of its forecasted 2015 drilling and completion capital expenditure budget to oil and liquids-rich gas projects in its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 continues to monitor the global economy, including Europe's economic outlook; political unrest in Eastern Europe, the Middle East, and Africa; slowing growth in Asia, particularly in China; the United States' federal budget deficit; changes in regulatory oversight policy; commodity price volatility; the potential impact of rising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last five years, the U.S. natural gas directed drilling rig count has decreased as producers reduced drilling activity for dry natural gas in response to lower natural gas prices and directed investment toward oil and liquid-rich projects. Over the same period of time, U.S. natural gas production has continued to grow, particularly in the Marcellus Shale region, as efficiency gains have allowed more wells to be drilled and completed per operating rig, higher per-well natural gas production from horizontal wells as a result of investment focused on more prolific resources, and increased amounts of natural gas produced in association with crude oil. As a result, U.S. natural gas production continued to increase into 2015, despite the gradually decreasing rig-count. Strong natural gas demand from electric power generation, cold winter weather during the 2013-2014 heating season, and other demand sources caused a general firming of natural gas prices during the second half of 2013 and into the first half of 2014. Natural gas prices weakened in the second half of 2014 and into 2015 due to more typical winter season demand levels and continued increases in supply. QEP expects U.S. natural gas prices to remain range-bound over the near term. Relatively low natural gas prices in recent years have caused U.S. E&amp;P companies, including QEP, to shift capital investments away from predominantly dry gas areas toward plays that produce crude oil, condensate and liquids-rich gas.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reallocation of drilling capital has caused domestic NGL production to increase dramatically. Increased NGL production and price dislocations from infrastructure bottlenecks in certain regions have all contributed to a weakening of domestic NGL prices, particularly ethane and, more recently, propane. QEP expects that ethane prices will continue to be range-bound and ethane processing economics challenged until new ethylene crackers and export facilities are built. Propane prices have declined as a result of abnormally high inventory levels, limited domestic demand and insufficient export capacity. An increase in exports and typical seasonal demand is expected to draw down propane inventories to more normal levels over the coming year. The prices of heavier components of the NGL barrel have weakened as a result of the decline in crude oil prices.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Increased oil production in the U.S. combined with various other factors has led to weaker oil prices. According to data from the Energy Information Administration (EIA), U.S. oil production has increased by approximately four million barrels per day, or more than 70%, since 2011. International oil supply disruptions in recent years have prevented oversupply and a corresponding negative price impact, but reduced supply disruptions over the last year combined with softening global demand, a stronger U.S. dollar, and other factors have led to substantially lower oil prices starting in late 2014 that have continued in 2015. As a result, many oil producers around the world are dramatically reducing activity. In recent months, according to data from the EIA, U.S. oil production has declined slightly from recent highs as a result of reduced drilling activity. QEP anticipates global oil prices will improve in the coming years as supply growth moderates due to lower level of investment and modest demand increases. Disruption to the global oil supply system, political and/or economic instability, fluctuations in currency values, and/or other factors could trigger additional volatility in oil prices. In addition, transportation, refining, or other infrastructure constraints could introduce significant price differentials between regional markets where QEP sells its production and national (NYMEX HH at Henry Hub or NYMEX WTI at Cushing) and global (ICE Brent) markets. Because of the global and regional price volatility and the uncertainty around the natural gas, oil and NGL price environments, QEP continues to manage its capital spending program and liquidity accordingly and has scaled back its capital expenditure budget and drilling and completion activities for 2015.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carrying value of the Company's properties is sensitive to declines in gas, oil and NGL prices. These assets are at risk of impairment if future prices for gas, oil or NGL decline and/or drilling and completion costs increase. The cash flow model that the Company uses to assess proved properties for impairment includes numerous assumptions, such as management's estimates of future gas, oil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During the year ended December 31, 2014, the Company recorded impairments of $1.1 billion primarily due to impairments of proved property in the Southern Region associated with lower future prices as of December 31, 2014. Additionally, the Company recorded $35.5 million of impairment expense during the first three quarters of 2015, of which $33.8 million was related to proved properties due to lower future oil and gas prices and $1.7 million was related to expiring leaseholds on unproved properties. If future commodity prices decline further, there could be additional impairment charges to our oil and gas assets or other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completed and the drilling rig is moved from the location. As a result, multi-well pad drilling delays the commencement of production, which may cause volatility in QEP’s quarterly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QEP’s significant accounting policies are described in Item 8 of Part II of its 2014 Annual Report on Form 10-K/A.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color w:val="auto"/>
        </w:rPr>
        <w:t xml:space="preserve">Our financial results for 2014 have been revised, in accordance with GAAP, to reflect the impact of the Midstream Sale. See Note 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in Item I of Part I of this Quarterly Report on Form 10-Q for detailed information on the Midstream Sale.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net income (loss)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8"/>
          </w:tcPr>
          <w:p>
            <w:pPr>
              <w:jc w:val="right"/>
              <w:ind w:right="280"/>
              <w:spacing w:after="0"/>
              <w:rPr>
                <w:sz w:val="20"/>
                <w:szCs w:val="20"/>
                <w:color w:val="auto"/>
              </w:rPr>
            </w:pPr>
            <w:r>
              <w:rPr>
                <w:rFonts w:ascii="Arial" w:cs="Arial" w:eastAsia="Arial" w:hAnsi="Arial"/>
                <w:sz w:val="18"/>
                <w:szCs w:val="18"/>
                <w:color w:val="auto"/>
                <w:w w:val="90"/>
              </w:rPr>
              <w:t>Three Months Ended September 30,</w:t>
            </w:r>
          </w:p>
        </w:tc>
        <w:tc>
          <w:tcPr>
            <w:tcW w:w="180" w:type="dxa"/>
            <w:vAlign w:val="bottom"/>
          </w:tcPr>
          <w:p>
            <w:pPr>
              <w:spacing w:after="0"/>
              <w:rPr>
                <w:sz w:val="20"/>
                <w:szCs w:val="20"/>
                <w:color w:val="auto"/>
              </w:rPr>
            </w:pPr>
          </w:p>
        </w:tc>
        <w:tc>
          <w:tcPr>
            <w:tcW w:w="2760" w:type="dxa"/>
            <w:vAlign w:val="bottom"/>
            <w:gridSpan w:val="7"/>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Change</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11"/>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11"/>
          </w:tcPr>
          <w:p>
            <w:pPr>
              <w:ind w:left="380"/>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Average diluted shares</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176.5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702"/>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2" w:name="page33"/>
    <w:bookmarkEnd w:id="32"/>
    <w:p>
      <w:pPr>
        <w:ind w:right="20"/>
        <w:spacing w:after="0" w:line="289" w:lineRule="auto"/>
        <w:rPr>
          <w:sz w:val="20"/>
          <w:szCs w:val="20"/>
          <w:color w:val="auto"/>
        </w:rPr>
      </w:pPr>
      <w:r>
        <w:rPr>
          <w:rFonts w:ascii="Arial" w:cs="Arial" w:eastAsia="Arial" w:hAnsi="Arial"/>
          <w:sz w:val="16"/>
          <w:szCs w:val="16"/>
          <w:color w:val="auto"/>
        </w:rPr>
        <w:t>QEP generated net income from continuing operations during the third quarter of 2015 of $21.1 million, or $0.12 per diluted share, compared to net income from continuing operations of $153.7 million, or $0.84 per diluted share, in the third quarter of 2014. The change in the third quarter of 2015 compared to the third quarter of 2014 was due to a $134.9 million decrease in QEP Energy’s net income, partially offset by a $2.3 million increase in QEP Marketing and Other's net income. QEP Energy's net income decrease was primarily due to decreases in average field-level prices for gas, oil and NGL, decreased NGL production and lower unrealized derivative gains. These decreases were partially offset by increased realized derivative gains, increased oil and gas production and lower operating expenses in the third quarter of 2015 compared to the third quarter of 2014. QEP Marketing and Other's net income increased in the third quarter of 2015 primarily due to a lower interest expense in the third quarter of 2015 compared to the third quarter of 2014 due to lower average debt levels, lower realized derivative losses and a higher resale margin in the third quarter of 2015 compared to the third quarter of 2014. These increases were partially offset by decreased interest and other income in the third quarter of 2015 compared to the third quarter of 2014.</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 generated a net loss from continuing operations during the first three quarters of 2015 of $110.8 million, or $0.63 per diluted share, compared to net income from continuing operations of $60.3 million, or $0.34 per diluted share, in the first three quarters of 2014. The change in the first three quarters of 2015 compared to the first three quarters of 2014 was due to a $172.3 million decrease in QEP Energy’s net income, partially offset by a $1.2 million increase in QEP Marketing and Other's net income. QEP Energy's decrease was primarily due to decreases in average field-level prices for gas, oil and NGL and decreased NGL production. These decreases were partially offset by realized derivative instrument gains in the first three quarters of 2015 compared to realized derivative instrument losses in the first three quarters of 2014, a net gain from asset sales of $11.9 million in the first three quarters of 2015, compared to a $210.3 million net loss from asset sales in the first three quarters of 2014, as well as increased oil and gas production and lower operating expenses in the first three quarters of 2015 compared to the first three quarters of 2014. QEP Marketing and Other's net income increased in the first three quarters of 2015 primarily due to lower interest expense due to lower average debt levels during the first three quarters of 2015, partially offset by a net loss from asset sales of $5.0 million during first three quarters of 2015 related to post-closing adjustments for the Midstream Sale and a lower resale margin in the first three quarters of 2015 compared to the first three quarters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Management believes Adjusted EBITDA (a non-GAAP measure) is an important measure of the Company's financial and operating performance that allows investors to understand how management evaluates financial performance to make operating decisions and allocate resources.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ind w:left="40"/>
              <w:spacing w:after="0"/>
              <w:rPr>
                <w:sz w:val="20"/>
                <w:szCs w:val="20"/>
                <w:color w:val="auto"/>
              </w:rPr>
            </w:pPr>
            <w:r>
              <w:rPr>
                <w:rFonts w:ascii="Arial" w:cs="Arial" w:eastAsia="Arial" w:hAnsi="Arial"/>
                <w:sz w:val="18"/>
                <w:szCs w:val="18"/>
                <w:color w:val="auto"/>
                <w:w w:val="96"/>
              </w:rPr>
              <w:t>Three Months Ended September 30,</w:t>
            </w:r>
          </w:p>
        </w:tc>
        <w:tc>
          <w:tcPr>
            <w:tcW w:w="160" w:type="dxa"/>
            <w:vAlign w:val="bottom"/>
          </w:tcPr>
          <w:p>
            <w:pPr>
              <w:spacing w:after="0"/>
              <w:rPr>
                <w:sz w:val="20"/>
                <w:szCs w:val="20"/>
                <w:color w:val="auto"/>
              </w:rPr>
            </w:pPr>
          </w:p>
        </w:tc>
        <w:tc>
          <w:tcPr>
            <w:tcW w:w="2720" w:type="dxa"/>
            <w:vAlign w:val="bottom"/>
            <w:gridSpan w:val="7"/>
          </w:tcPr>
          <w:p>
            <w:pPr>
              <w:jc w:val="right"/>
              <w:ind w:right="70"/>
              <w:spacing w:after="0"/>
              <w:rPr>
                <w:sz w:val="20"/>
                <w:szCs w:val="20"/>
                <w:color w:val="auto"/>
              </w:rPr>
            </w:pPr>
            <w:r>
              <w:rPr>
                <w:rFonts w:ascii="Arial" w:cs="Arial" w:eastAsia="Arial" w:hAnsi="Arial"/>
                <w:sz w:val="18"/>
                <w:szCs w:val="18"/>
                <w:color w:val="auto"/>
                <w:w w:val="90"/>
              </w:rPr>
              <w:t>Nine Months Ended September 30,</w:t>
            </w:r>
          </w:p>
        </w:tc>
      </w:tr>
      <w:tr>
        <w:trPr>
          <w:trHeight w:val="27"/>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88"/>
              </w:rPr>
              <w:t>Change</w:t>
            </w:r>
          </w:p>
        </w:tc>
      </w:tr>
      <w:tr>
        <w:trPr>
          <w:trHeight w:val="27"/>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Adjusted EBITDA from discontinued operations</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1,196.4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Adjusted EBITDA from continuing operations decreased to $273.1 million in the third quarter of 2015 from $370.9 million in the third quarter of 2014, due to a 47% decrease in the average equivalent field-level price as well as an 18% decrease in NGL production, partially offset by a 10% increase in oil production, a 15% increase in gas production and higher realized gains on derivative contracts.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Adjusted EBITDA from continuing operations decreased to $775.3 million in the first three quarters of 2015 from $1,072.2 million in the first three quarters of 2014, due to a 43% decrease in the average equivalent field-level price as well as a 32% decrease in NGL production, partially offset by a 21% increase in oil production and higher realized gains on derivative contracts.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tables are reconciliations of Adjusted EBITDA to net income, the most comparable GAAP financial measure: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Discontinued</w:t>
            </w: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r>
      <w:tr>
        <w:trPr>
          <w:trHeight w:val="261"/>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9"/>
              </w:rPr>
              <w:t>and Other</w:t>
            </w:r>
            <w:r>
              <w:rPr>
                <w:rFonts w:ascii="Arial" w:cs="Arial" w:eastAsia="Arial" w:hAnsi="Arial"/>
                <w:sz w:val="25"/>
                <w:szCs w:val="25"/>
                <w:b w:val="1"/>
                <w:bCs w:val="1"/>
                <w:color w:val="auto"/>
                <w:w w:val="89"/>
                <w:vertAlign w:val="superscript"/>
              </w:rPr>
              <w:t>(1)</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September 30, 2015</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(33.8)</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36.4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15.0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r>
      <w:tr>
        <w:trPr>
          <w:trHeight w:val="297"/>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273.1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273.1</w:t>
            </w: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September 30, 2014</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97"/>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409.3</w:t>
            </w: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Nine Months Ended September 30, 2015</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148.0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109.4</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Pension curtailment loss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641.6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649.3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775.3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Nine Months Ended September 30, 2014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459"/>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0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Discontinued</w:t>
            </w: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QEP Energy</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91"/>
              </w:rPr>
              <w:t>and Other</w:t>
            </w:r>
            <w:r>
              <w:rPr>
                <w:rFonts w:ascii="Arial" w:cs="Arial" w:eastAsia="Arial" w:hAnsi="Arial"/>
                <w:sz w:val="25"/>
                <w:szCs w:val="25"/>
                <w:b w:val="1"/>
                <w:bCs w:val="1"/>
                <w:color w:val="auto"/>
                <w:w w:val="91"/>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Operations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Operations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704.7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Includes intercompany eliminations.</w:t>
      </w:r>
    </w:p>
    <w:p>
      <w:pPr>
        <w:spacing w:after="0" w:line="2" w:lineRule="exact"/>
        <w:rPr>
          <w:rFonts w:ascii="Arial" w:cs="Arial" w:eastAsia="Arial" w:hAnsi="Arial"/>
          <w:sz w:val="25"/>
          <w:szCs w:val="25"/>
          <w:color w:val="auto"/>
          <w:vertAlign w:val="superscript"/>
        </w:rPr>
      </w:pPr>
    </w:p>
    <w:p>
      <w:pPr>
        <w:ind w:left="660" w:right="80" w:hanging="314"/>
        <w:spacing w:after="0"/>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 xml:space="preserve">The pension curtailment loss is a non-cash loss that was incurred during the nine months ended September 30, 2015, due to changes in the Company's pension plan (see Note 13 </w:t>
      </w:r>
      <w:r>
        <w:rPr>
          <w:rFonts w:ascii="Arial" w:cs="Arial" w:eastAsia="Arial" w:hAnsi="Arial"/>
          <w:sz w:val="17"/>
          <w:szCs w:val="17"/>
          <w:b w:val="1"/>
          <w:bCs w:val="1"/>
          <w:color w:val="auto"/>
        </w:rPr>
        <w:t>–</w:t>
      </w:r>
      <w:r>
        <w:rPr>
          <w:rFonts w:ascii="Arial" w:cs="Arial" w:eastAsia="Arial" w:hAnsi="Arial"/>
          <w:sz w:val="17"/>
          <w:szCs w:val="17"/>
          <w:color w:val="auto"/>
        </w:rPr>
        <w:t xml:space="preserve"> Employee Benefits in Part 1, Item 1 of this Quarterly Report on Form 10-Q for additional information). The Company believes that the pension curtailment loss does not reflect expected future operating performance or provide meaningful comparisons to past operating performance and therefore has excluded the loss from the calculation of Adjusted EBITDA.</w:t>
      </w:r>
    </w:p>
    <w:p>
      <w:pPr>
        <w:ind w:left="660" w:right="160" w:hanging="314"/>
        <w:spacing w:after="0" w:line="209"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Excludes noncontrolling interest's share of $0.7 million and $1.1 million during the three and nine months ended September 30, 2014, respectively, of interest expense attributable to QEP Midstream.</w:t>
      </w:r>
    </w:p>
    <w:p>
      <w:pPr>
        <w:spacing w:after="0" w:line="1" w:lineRule="exact"/>
        <w:rPr>
          <w:rFonts w:ascii="Arial" w:cs="Arial" w:eastAsia="Arial" w:hAnsi="Arial"/>
          <w:sz w:val="25"/>
          <w:szCs w:val="25"/>
          <w:color w:val="auto"/>
          <w:vertAlign w:val="superscript"/>
        </w:rPr>
      </w:pPr>
    </w:p>
    <w:p>
      <w:pPr>
        <w:ind w:left="660" w:right="80" w:hanging="314"/>
        <w:spacing w:after="0" w:line="209"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Excludes noncontrolling interest's share of $4.0 million and $11.7 million during the three and nine months ended September 30, 2014, respectively, of depreciation, depletion and amortization attributable to Rendezvous Gas Services, L.L.C and QEP Midstream.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QEP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r>
        <w:rPr>
          <w:rFonts w:ascii="Arial" w:cs="Arial" w:eastAsia="Arial" w:hAnsi="Arial"/>
          <w:sz w:val="16"/>
          <w:szCs w:val="16"/>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8"/>
          </w:tcPr>
          <w:p>
            <w:pPr>
              <w:jc w:val="right"/>
              <w:ind w:right="280"/>
              <w:spacing w:after="0"/>
              <w:rPr>
                <w:sz w:val="20"/>
                <w:szCs w:val="20"/>
                <w:color w:val="auto"/>
              </w:rPr>
            </w:pPr>
            <w:r>
              <w:rPr>
                <w:rFonts w:ascii="Arial" w:cs="Arial" w:eastAsia="Arial" w:hAnsi="Arial"/>
                <w:sz w:val="18"/>
                <w:szCs w:val="18"/>
                <w:color w:val="auto"/>
                <w:w w:val="90"/>
              </w:rPr>
              <w:t>Three Months Ended September 30,</w:t>
            </w:r>
          </w:p>
        </w:tc>
        <w:tc>
          <w:tcPr>
            <w:tcW w:w="180" w:type="dxa"/>
            <w:vAlign w:val="bottom"/>
          </w:tcPr>
          <w:p>
            <w:pPr>
              <w:spacing w:after="0"/>
              <w:rPr>
                <w:sz w:val="20"/>
                <w:szCs w:val="20"/>
                <w:color w:val="auto"/>
              </w:rPr>
            </w:pPr>
          </w:p>
        </w:tc>
        <w:tc>
          <w:tcPr>
            <w:tcW w:w="2760" w:type="dxa"/>
            <w:vAlign w:val="bottom"/>
            <w:gridSpan w:val="7"/>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Change</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5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Gas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211.7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1,040.7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Purchased gas sales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382.6</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1,143.8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1,953.3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Purchased gas expense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Gas, oil and NGL transportation and other handling costs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80.1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29.9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483.0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1,376.0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1,529.0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13.6</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40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73.0</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53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4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1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86.7</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Average equivalent field-level price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4.12</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4.39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Net realized equivalent price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0"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volume and price related changes for each of QEP Energy’s major revenue categories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compared to the three and nine months ended September 30,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September 30, 2014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2015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Nine months ended September 30, 2014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1,040.7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166.5</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(929.7)</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2015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1,065.7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0" w:hanging="314"/>
        <w:spacing w:after="0" w:line="223"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nine months ended September 30, 2015, as compared to the three and nine months ended September 30, 2014, by the average field-level price for the three and nine months ended September 30, 2014.</w:t>
      </w:r>
    </w:p>
    <w:p>
      <w:pPr>
        <w:ind w:left="660" w:right="120" w:hanging="314"/>
        <w:spacing w:after="0" w:line="228"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prices from the three and nine months ended September 30, 2015, as compared to the three and nine months ended September 30, 2014, by volumes for the three and nine months ended September 30, 2015. Pricing changes are driven by changes in commodity field-level prices, excluding the impact from commodity derivatives.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4"/>
                <w:szCs w:val="24"/>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23.0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63.5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Gas revenues decreased $42.3 million, or 25%, in the third quarter of 2015 when compared to the third quarter of 2014, due to lower field-level prices, partially offset by higher gas production. Average field-level gas prices decreased 34% in the third quarter of 2015 compared to the third quarter of 2014 driven by a decrease in average NYMEX-HH natural gas prices for the</w:t>
      </w:r>
    </w:p>
    <w:p>
      <w:pPr>
        <w:sectPr>
          <w:pgSz w:w="11900" w:h="16838" w:orient="portrait"/>
          <w:cols w:equalWidth="0" w:num="1">
            <w:col w:w="11420"/>
          </w:cols>
          <w:pgMar w:left="240" w:top="79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96" w:right="239" w:bottom="1440" w:gutter="0" w:footer="0" w:header="0"/>
          <w:type w:val="continuous"/>
        </w:sectPr>
      </w:pPr>
    </w:p>
    <w:bookmarkStart w:id="37" w:name="page38"/>
    <w:bookmarkEnd w:id="37"/>
    <w:p>
      <w:pPr>
        <w:ind w:right="80"/>
        <w:spacing w:after="0" w:line="259" w:lineRule="auto"/>
        <w:rPr>
          <w:sz w:val="20"/>
          <w:szCs w:val="20"/>
          <w:color w:val="auto"/>
        </w:rPr>
      </w:pPr>
      <w:r>
        <w:rPr>
          <w:rFonts w:ascii="Arial" w:cs="Arial" w:eastAsia="Arial" w:hAnsi="Arial"/>
          <w:sz w:val="18"/>
          <w:szCs w:val="18"/>
          <w:color w:val="auto"/>
        </w:rPr>
        <w:t>comparable period. The 15% increase in production volumes was primarily driven by production increases in Pinedale due to continued net well completions in 2014 and 2015, in the Uinta Basin due to higher performing well completions and in the Williston Basin due to continued development. These production increases were partially offset by the divestitures of non-core Midcontinent properties in the fourth quarter of 2014 and a production decrease in Haynesville/Cotton Valley due to the continued suspension of QEP's operated drilling program.</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Gas revenues decreased $245.9 million, or 40%, in the first three quarters of 2015 when compared to the first three quarters of 2014, due to lower field-level prices, partially offset by higher gas production. Average field-level gas prices decreased 40% in the first three quarters of 2015 compared to the first three quarters of 2014 driven by a decrease in average NYMEX-HH natural gas prices for the comparable period. The increase in production volumes was primarily driven by production increases in Pinedale due to continued net well completions in 2014 and 2015, in the Williston Basin due to continued development and in the Uinta Basin due to higher performing well completions. These production increases were mostly offset by the divestitures of non-core Midcontinent properties in the second and fourth quarters of 2014 and a production decrease in Haynesville/Cotton Valley due to the continued suspension of QEP's operated drilling program.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4"/>
                <w:szCs w:val="24"/>
                <w:color w:val="auto"/>
              </w:rPr>
            </w:pPr>
          </w:p>
        </w:tc>
        <w:tc>
          <w:tcPr>
            <w:tcW w:w="310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190.4</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511.9</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464.9</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11,116.5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666.0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1,942.6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5,162.1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4,672.4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14,519.4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11,965.0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40.05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43.21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41.01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44.13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59.76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Oil revenues decreased $181.8 million, or 46%, in the third quarter of 2015 when compared to the third quarter of 2014, due to lower average field-level prices, partially offset by higher volumes. Average field-level oil prices decreased 51% in the third quarter of 2015 compared to the third quarter of 2014 driven by a substantial decrease in average NYMEX-WTI and ICE Brent oil prices between the comparable periods. The 10% increase in production volumes was primarily driven by increases in the Permian and Williston basins due to continued development drilling and well completions. These production increases were partially offset by a production decrease in the Midcontinent due to the divestitures of non-core properties in the fourth quarter of 2014.</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Oil revenues decreased $399.9 million, or 38%, in the first three quarters of 2015 when compared to the first three quarters of 2014, due to lower average field-level prices, partially offset by higher volumes. Average field-level oil prices decreased 49% in the first three quarters of 2015 compared to the first three quarters of 2014, driven by a substantial decrease in average NYMEX-WTI and ICE Brent oil prices between the comparable periods. The 21% increase in production volumes was primarily driven by an increase in the Williston Basin due to continued development drilling and well completions. The Company also had an increase in production of 910.3 Mbbls from the Permian Basin due to continued development of the area combined with nine months of production in 2015 compared to seven months of production in 2014. These production increases were partially offset by a production decrease in the Midcontinent due to the divestitures of non-core properties in the second and fourth quarters of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4"/>
                <w:szCs w:val="24"/>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350.7</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915.3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1,067.5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2,484.1</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(1,416.6)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3,432.3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19.09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NGL revenues decreased $34.5 million, or 68%, during the third quarter of 2015 when compared to the third quarter of 2014, due to decreased production volumes and a decreased average price per barrel. Pinedale and Uinta Basin NGL volumes decreased primarily due to ethane rejection in the third quarter of 2015 compared to ethane recovery in the third quarter of 2014. Midcontinent NGL volumes decreased due to divestitures of non-core properties in the fourth quarter of 2014. These decreases were partially offset by increases in NGL volumes in the Williston and Permian basins as a result of increased development drilling and well completions. NGL prices decreased 61% during the third quarter of 2015 compared to the third quarter of 2014, which was driven by a significant decrease in the pricing of the NGL components, particularly the heavier components, which have weakened as a result of the decline in crude oil prices.</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NGL revenues decreased $117.4 million, or 66%, during the first three quarters of 2015 when compared to the first three quarters of 2014, due to decreased production volumes and a decreased average price per barrel. Pinedale and Uinta Basin NGL volumes decreased primarily due to ethane rejection in the first three quarters of 2015 compared to ethane recovery in the first three quarters of 2014. Additionally, Midcontinent NGL volumes decreased due to divestitures of non-core properties in the second and fourth quarters of 2014. These decreases were partially offset by increases in NGL volumes in the Williston and Permian basins as a result of increased development drilling and well completions combined with nine months of production from the Permian Basin in 2015 compared to seven months of production in 2014. NGL prices decreased 50% during the first three quarters of 2015 compared to the first three quarters of 2014, which was driven by a significant in the pricing of the NGL components, particularly the heavier components, which have weakened as a result of the decline in crude oil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QEP Energy purchases and resells gas in order to fulfill firm transportation contract commitments to partially mitigate losses on unutilized capacity. The difference between the price of the products purchased and sold, net of transportation costs, creates a resale margin that represents a gain or loss for the Company. The following table is a summary of QEP Energy's financial results from its gas resale activities: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0"/>
                <w:szCs w:val="20"/>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gas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Resale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ind w:right="40"/>
        <w:spacing w:after="0" w:line="312" w:lineRule="auto"/>
        <w:rPr>
          <w:sz w:val="20"/>
          <w:szCs w:val="20"/>
          <w:color w:val="auto"/>
        </w:rPr>
      </w:pPr>
      <w:r>
        <w:rPr>
          <w:rFonts w:ascii="Arial" w:cs="Arial" w:eastAsia="Arial" w:hAnsi="Arial"/>
          <w:sz w:val="16"/>
          <w:szCs w:val="16"/>
          <w:color w:val="auto"/>
        </w:rPr>
        <w:t>During the third quarter of 2015, QEP Energy recorded income on resale margin of $0.1 million compared to income of $0.5 million in the third quarter of 2014. During the first three quarters of 2015, QEP Energy recorded a loss on resale margin of $0.1 million compared to a loss of $0.7 million in the first three quarters of 2014. These margins were the result of QEP Energy's purchase and sale transactions to utilize pipeline transportation commitments in Louisiana.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nine months ended September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Nine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September 30, 2015</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September 30, 2015</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September 30, 2015</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30, 2015</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300" w:type="dxa"/>
            <w:vAlign w:val="bottom"/>
            <w:tcBorders>
              <w:top w:val="single" w:sz="8" w:color="auto"/>
            </w:tcBorders>
          </w:tcPr>
          <w:p>
            <w:pPr>
              <w:ind w:left="140"/>
              <w:spacing w:after="0" w:line="270" w:lineRule="exact"/>
              <w:rPr>
                <w:sz w:val="20"/>
                <w:szCs w:val="20"/>
                <w:color w:val="auto"/>
              </w:rPr>
            </w:pPr>
            <w:r>
              <w:rPr>
                <w:rFonts w:ascii="Arial" w:cs="Arial" w:eastAsia="Arial" w:hAnsi="Arial"/>
                <w:sz w:val="18"/>
                <w:szCs w:val="18"/>
                <w:color w:val="auto"/>
              </w:rPr>
              <w:t xml:space="preserve">Pinedale </w:t>
            </w:r>
            <w:r>
              <w:rPr>
                <w:rFonts w:ascii="Arial" w:cs="Arial" w:eastAsia="Arial" w:hAnsi="Arial"/>
                <w:sz w:val="25"/>
                <w:szCs w:val="25"/>
                <w:color w:val="auto"/>
                <w:vertAlign w:val="superscript"/>
              </w:rPr>
              <w:t>(1)</w:t>
            </w:r>
          </w:p>
        </w:tc>
        <w:tc>
          <w:tcPr>
            <w:tcW w:w="1800" w:type="dxa"/>
            <w:vAlign w:val="bottom"/>
            <w:tcBorders>
              <w:top w:val="single" w:sz="8" w:color="CCEEFF"/>
            </w:tcBorders>
            <w:gridSpan w:val="2"/>
          </w:tcPr>
          <w:p>
            <w:pPr>
              <w:spacing w:after="0"/>
              <w:rPr>
                <w:sz w:val="23"/>
                <w:szCs w:val="23"/>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28</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40" w:type="dxa"/>
            <w:vAlign w:val="bottom"/>
          </w:tcPr>
          <w:p>
            <w:pPr>
              <w:spacing w:after="0"/>
              <w:rPr>
                <w:sz w:val="23"/>
                <w:szCs w:val="23"/>
                <w:color w:val="auto"/>
              </w:rPr>
            </w:pPr>
          </w:p>
        </w:tc>
        <w:tc>
          <w:tcPr>
            <w:tcW w:w="310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12"/>
        </w:trPr>
        <w:tc>
          <w:tcPr>
            <w:tcW w:w="3140" w:type="dxa"/>
            <w:vAlign w:val="bottom"/>
            <w:gridSpan w:val="4"/>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660" w:hanging="328"/>
        <w:spacing w:after="0" w:line="208"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Gross completions includes eight wells for the nine months ended September 30, 2015, in which QEP only owns a small overriding royalty interest.</w:t>
      </w:r>
    </w:p>
    <w:p>
      <w:pPr>
        <w:spacing w:after="0" w:line="2" w:lineRule="exact"/>
        <w:rPr>
          <w:rFonts w:ascii="Arial" w:cs="Arial" w:eastAsia="Arial" w:hAnsi="Arial"/>
          <w:sz w:val="22"/>
          <w:szCs w:val="22"/>
          <w:color w:val="auto"/>
          <w:vertAlign w:val="superscript"/>
        </w:rPr>
      </w:pPr>
    </w:p>
    <w:p>
      <w:pPr>
        <w:ind w:left="660" w:hanging="328"/>
        <w:spacing w:after="0" w:line="186"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Operated completions includes eight gross, 7.4 net, vertical wells for the nine months ended September 30,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drilling or waiting on completion at September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6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Pinedale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Uinta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4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Permian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In certain of our producing areas, wells drilled are not brought into production until all wells on the pad are drilled and completed and the drilling rig is moved from the location. As a result, QEP had 48 gross operated wells waiting on completion as of September 30, 2015, of which 27 wells were in Pinedale, 19 wells were in the Williston Basin and two wells were in the Permian Basin.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120" w:type="dxa"/>
            <w:vAlign w:val="bottom"/>
            <w:gridSpan w:val="10"/>
          </w:tcPr>
          <w:p>
            <w:pPr>
              <w:spacing w:after="0"/>
              <w:rPr>
                <w:sz w:val="20"/>
                <w:szCs w:val="20"/>
                <w:color w:val="auto"/>
              </w:rPr>
            </w:pPr>
            <w:r>
              <w:rPr>
                <w:rFonts w:ascii="Arial" w:cs="Arial" w:eastAsia="Arial" w:hAnsi="Arial"/>
                <w:sz w:val="18"/>
                <w:szCs w:val="18"/>
                <w:color w:val="auto"/>
                <w:w w:val="99"/>
              </w:rPr>
              <w:t>The following table presents certain QEP Energy operating expenses on a per unit of production basis: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340" w:type="dxa"/>
            <w:vAlign w:val="bottom"/>
          </w:tcPr>
          <w:p>
            <w:pPr>
              <w:spacing w:after="0"/>
              <w:rPr>
                <w:sz w:val="24"/>
                <w:szCs w:val="24"/>
                <w:color w:val="auto"/>
              </w:rPr>
            </w:pPr>
          </w:p>
        </w:tc>
        <w:tc>
          <w:tcPr>
            <w:tcW w:w="2960" w:type="dxa"/>
            <w:vAlign w:val="bottom"/>
            <w:gridSpan w:val="7"/>
          </w:tcPr>
          <w:p>
            <w:pPr>
              <w:jc w:val="right"/>
              <w:ind w:right="27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oil and NGL transportation and other handling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decreased $13.3 million, or $0.42 per Mcfe, in the third quarter of 2015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2014, due to decreases in Haynesville/Cotton Valley and the Midcontinent, partially offset by an increase in the Williston Basin. The decrease in Haynesville/Cotton Valley was a result of declining production and a rate decrease due to an impairment at year-end 2014, while the decrease in the Midcontinent was a result of the fourth quarter 2014 property sales. The increase in the Williston Basin DD&amp;A expense primarily relates to increased production.</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DD&amp;A expense decreased $63.1 million, or $0.34 per Mcfe, in the first three quarters of 2015 compared to the first three quarters of 2014, due to decreases in Haynesville/Cotton Valley and the Midcontinent, partially offset by an increase in the Williston Basin. The decrease in Haynesville/Cotton Valley was a result of declining production and a rate decrease due to an impairment at year-end 2014, while the decrease in the Midcontinent was a result of the second and fourth quarter 2014 property sales. The increase in the Williston Basin DD&amp;A expense primarily relates to increased production.</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QEP Energy’s LOE decreased $4.4 million, or $0.12 per Mcfe, during the third quarter of 2015 compared to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The decrease was driven by a decrease in the Permian Basin as a result of lower maintenance and repairs expenses and a decrease in the Midcontinent as a result of divestitures of non-core properties in the fourth quarter of 2014. Partially offsetting the decrease was an increase in the Williston Basin due to increased production.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QEP Energy’s LOE decreased $1.4 million, or $0.03 per Mcfe, during the first three quarters of 2015 compared to the first three quarters of 2014. The decrease was primarily driven by a decrease in the Midcontinent as a result of divestitures of non-core properties in the second and fourth quarters of 2014. This decrease was partially offset by increases due to the Permian Basin Acquisition late in the first quarter of 2014, which are oil properties that have higher operating costs and higher well count, and by increased production in the Williston Basin.</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Gas, oil and NGL transportation and other handling costs. </w:t>
      </w:r>
      <w:r>
        <w:rPr>
          <w:rFonts w:ascii="Arial" w:cs="Arial" w:eastAsia="Arial" w:hAnsi="Arial"/>
          <w:sz w:val="16"/>
          <w:szCs w:val="16"/>
          <w:color w:val="auto"/>
        </w:rPr>
        <w:t>Gas, oil and NGL transportation and other handling costs increased $4.9 million in the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2015 when compared to the third quarter of 2014. The increase in expense was primarily attributable to an increase in Haynesville/Cotton Valley, partially offset by decreases in the Midcontinent and the Uinta Basin. The increase in Haynesville was primarily the result of recognizing approximately $8.4 million of fees for historical unutilized gathering and transportation capacity that was charged to QEP by the operator of wells in which QEP has a working interest. QEP is disputing these charges and has filed a legal claim against the operator. The decrease in the Midcontinent is due to divestitures of non-core properties in the fourth quarter of 2014 and the decrease in the Uinta Basin is primarily a result of decreased NGL volumes due to ethane rejection third quarter of 2015 compared to ethane recovery in the third quarter of 2014 and processing in refrigeration in the third quarter of 2015.</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Gas, oil and NGL transportation and other handling costs increased $11.2 million, or $0.03 per Mcfe, in the first three quarters of 2015 when compared to the first three quarters of 2014. The increase in expense was primarily attributable to additional expenses incurred in Haynesville as a result of recognizing approximately $8.4 million of fees for historical unutilized gathering and transportation capacity that was charged to QEP by the operator of wells in which QEP has a working interest. QEP is disputing these charges and has filed a legal claim against the operator. Additionally, there was an increase in expenses in Pinedale due to deficiency payments on NGL volume commitments as a result of lower ethane volumes in 2015 and in the Permian Basin due to higher contractual rates. These increases were partially offset by a decrease in the Midcontinent due to divestitures of non-core properties in the second and fourth quarters of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1" w:name="page42"/>
    <w:bookmarkEnd w:id="41"/>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volume-based. Production taxes decreased $29.4 million, or $0.41 per Mcfe, during the third quarter of 2015 primarily as a result of decreased gas, oil and NGL revenues due to decreased prices.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Production taxes decreased $71.2 million, or $0.31 per Mcfe, during the first three quarters of 2015 primarily as a result of decreased gas, oil and NGL revenues due to decreased prices.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 xml:space="preserve">Exploration expense. </w:t>
      </w:r>
      <w:r>
        <w:rPr>
          <w:rFonts w:ascii="Arial" w:cs="Arial" w:eastAsia="Arial" w:hAnsi="Arial"/>
          <w:sz w:val="16"/>
          <w:szCs w:val="16"/>
          <w:color w:val="auto"/>
        </w:rPr>
        <w:t>Exploration expenses remained flat during the third quarter of 2015 and decreased $2.0 million during the first three quarters of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2014 equivalent periods. The decrease in the first three quarters of 2015 is primarily related to lower exploration-related labor expenses.</w:t>
      </w:r>
    </w:p>
    <w:p>
      <w:pPr>
        <w:spacing w:after="0" w:line="12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Impairment expense was $15.0 million for the third quarter of 2015, of which $14.4 million was related to proved properties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future oil and gas prices and $0.6 million was related to expiring leaseholds on unproved properties. Of the $14.4 million impairment on proved properties, $13.1 million related to impairments in the Other Northern properties, $1.0 million related to impairments on QEP's remaining Midcontinent properties and $0.3 million related to impairments on Permian Basin properties. Impairment expense was $0.1 million for the third quarter of 2014 due to unproved property impairments resulting from changes in drilling plans.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Impairment expense was $35.5 million during the first three quarters of 2015, of which $33.8 million was related to proved properties due to lower future oil and gas prices and $1.7 million was related to expiring leaseholds on unproved properties. Of the $33.8 million impairment on proved properties, $18.0 million related to impairments on Other Northern properties, $15.5 million related to impairments on QEP's remaining Midcontinent properties and $0.3 million related to impairments on Permian Basin properties. Impairment expense was $3.6 million in the first three quarters of 2014 due to unproved property impairments resulting from changes in drilling plans.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584"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QEP MARKETING AND OTHER</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QEP Marketing and Other includes the results of operations from QEP Marketing Company, including the operation of a gas gathering system and an underground gas storage facility and corporate activities. The following table provides a summary of QEP Marketing and Other's financial and operating results: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0"/>
                <w:szCs w:val="20"/>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 Marketing’s financial results from resale activities: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140"/>
              <w:spacing w:after="0"/>
              <w:rPr>
                <w:sz w:val="20"/>
                <w:szCs w:val="20"/>
                <w:color w:val="auto"/>
              </w:rPr>
            </w:pPr>
            <w:r>
              <w:rPr>
                <w:rFonts w:ascii="Arial" w:cs="Arial" w:eastAsia="Arial" w:hAnsi="Arial"/>
                <w:sz w:val="18"/>
                <w:szCs w:val="18"/>
                <w:color w:val="auto"/>
              </w:rPr>
              <w:t>Three Months Ended September 30,</w:t>
            </w:r>
          </w:p>
        </w:tc>
        <w:tc>
          <w:tcPr>
            <w:tcW w:w="220" w:type="dxa"/>
            <w:vAlign w:val="bottom"/>
          </w:tcPr>
          <w:p>
            <w:pPr>
              <w:spacing w:after="0"/>
              <w:rPr>
                <w:sz w:val="20"/>
                <w:szCs w:val="20"/>
                <w:color w:val="auto"/>
              </w:rPr>
            </w:pPr>
          </w:p>
        </w:tc>
        <w:tc>
          <w:tcPr>
            <w:tcW w:w="3080" w:type="dxa"/>
            <w:vAlign w:val="bottom"/>
            <w:gridSpan w:val="7"/>
          </w:tcPr>
          <w:p>
            <w:pPr>
              <w:jc w:val="right"/>
              <w:ind w:right="27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and oil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gas and oil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Purchased gas and oil sales decreased by $256.7 million, or 38%, during the third quarter of 2015 compared to the third quarter of 2014, due to a $229.2 million decrease in resale oil sales and a $27.5 million decrease in resale gas sales. Resale oil sales decreased due to a 108% decrease in resale price, partially offset by a 15% increase in resale volumes. Resale gas sales decreased due to a 53% decrease in resale price, partially offset by a 19% increase in resale volumes.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Purchased gas and oil sales decreased by $579.7 million, or 33%, during the first three quarters of 2015 compared to the first three quarters of 2014, due to a $410.3 million decrease in resale oil sales and a $169.4 million decrease in resale gas sales.</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1440" w:gutter="0" w:footer="0" w:header="0"/>
          <w:type w:val="continuous"/>
        </w:sectPr>
      </w:pPr>
    </w:p>
    <w:bookmarkStart w:id="43" w:name="page44"/>
    <w:bookmarkEnd w:id="43"/>
    <w:p>
      <w:pPr>
        <w:ind w:right="320"/>
        <w:spacing w:after="0" w:line="277" w:lineRule="auto"/>
        <w:rPr>
          <w:sz w:val="20"/>
          <w:szCs w:val="20"/>
          <w:color w:val="auto"/>
        </w:rPr>
      </w:pPr>
      <w:r>
        <w:rPr>
          <w:rFonts w:ascii="Arial" w:cs="Arial" w:eastAsia="Arial" w:hAnsi="Arial"/>
          <w:sz w:val="18"/>
          <w:szCs w:val="18"/>
          <w:color w:val="auto"/>
        </w:rPr>
        <w:t>Resale oil sales decreased due to a 101% decrease in resale price, partially offset by a 27% increase in resale volumes. Resale gas sales decreased due to a 41% decrease in resale price and a 10% decrease in resale volumes.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Purchased gas and oil expense, which includes transportation expense, decreased by $256.2 million, or 38%, in the third quarter of 2015 compared to the third quarter of 2014, due to a $229.5 million decrease in resale oil purchases and a $26.7 million decrease in resale gas purchases. Resale oil purchases expense decreased due to a 47% decrease in resale purchase price, partially offset by a 14% increase in resale purchase volumes. Resale gas purchases expense decreased due to a 37% decrease in the resale purchase price, partially offset by a 16% increase in resale purchase volumes.</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Purchased gas and oil expense, which includes transportation expense, decreased by $571.3 million, or 32%, in the first three quarters of 2015 compared to the first three quarters of 2014, due to a $410.8 million decrease in resale oil purchases and a $160.5 million decrease in resale gas purchases. Resale oil purchases expense decreased due to a 48% decrease in resale purchase price offset by a 34% increase in resale purchase volumes. Resale gas purchases expense decreased due to a 38% decrease in the resale purchase price, partially offset by a 5% increase in resale purchase volumes.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 from Continuing and Discontinued Operations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During the third quarter of 2015, general and administrative (G&amp;A) expense decreased $7.4 million, or 15%,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the third quarter of 2014, primarily due to a $5.1 million decrease in labor, benefits and other employee expenses, a $3.5 million decrease in professional and outside services and compensation expense mainly related to the 2014 Enterprise Resource Planning (ERP) system implementation and a $2.6 million decrease in the mark-to-market value of the Deferred Compensation Wrap Plan and Cash Incentive Plan (CIP) due to a decrease in QEP's stock price. These decreases were partially offset by a $3.2 million increase for severance payments and restructuring costs related to the Tulsa office closure (see Note 9 </w:t>
      </w:r>
      <w:r>
        <w:rPr>
          <w:rFonts w:ascii="Arial" w:cs="Arial" w:eastAsia="Arial" w:hAnsi="Arial"/>
          <w:sz w:val="17"/>
          <w:szCs w:val="17"/>
          <w:b w:val="1"/>
          <w:bCs w:val="1"/>
          <w:color w:val="auto"/>
        </w:rPr>
        <w:t>–</w:t>
      </w:r>
      <w:r>
        <w:rPr>
          <w:rFonts w:ascii="Arial" w:cs="Arial" w:eastAsia="Arial" w:hAnsi="Arial"/>
          <w:sz w:val="17"/>
          <w:szCs w:val="17"/>
          <w:color w:val="auto"/>
        </w:rPr>
        <w:t xml:space="preserve"> Restructuring Costs in Part 1, Item 1 of this Quarterly Report on Form 10-Q for additional information).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the first three quarters of 2015, G&amp;A expense decreased $6.3 million, or 4%, compared to the first three quarters of 2014, primarily due to a $16.2 million decrease in professional and outside services and compensation expense mainly related to the 2014 ERP system implementation and a $6.5 million decrease in labor, benefits and employee expenses. These decreases were partially offset by an $11.2 million pension curtailment loss recognized in the second quarter of 2015 related to changes in the Company's pension plan (see Note 13 </w:t>
      </w:r>
      <w:r>
        <w:rPr>
          <w:rFonts w:ascii="Arial" w:cs="Arial" w:eastAsia="Arial" w:hAnsi="Arial"/>
          <w:sz w:val="18"/>
          <w:szCs w:val="18"/>
          <w:b w:val="1"/>
          <w:bCs w:val="1"/>
          <w:color w:val="auto"/>
        </w:rPr>
        <w:t>–</w:t>
      </w:r>
      <w:r>
        <w:rPr>
          <w:rFonts w:ascii="Arial" w:cs="Arial" w:eastAsia="Arial" w:hAnsi="Arial"/>
          <w:sz w:val="18"/>
          <w:szCs w:val="18"/>
          <w:color w:val="auto"/>
        </w:rPr>
        <w:t xml:space="preserve"> Employee Benefits in Part 1, Item 1 of this Quarterly Report on Form 10-Q for additional information) and a $5.3 million increase in restructuring costs and severance payments related to workforce reduction efforts in the first quarter of 2015 and the Tulsa office closure in the third quarter of 2015 (see Note 9 </w:t>
      </w:r>
      <w:r>
        <w:rPr>
          <w:rFonts w:ascii="Arial" w:cs="Arial" w:eastAsia="Arial" w:hAnsi="Arial"/>
          <w:sz w:val="18"/>
          <w:szCs w:val="18"/>
          <w:b w:val="1"/>
          <w:bCs w:val="1"/>
          <w:color w:val="auto"/>
        </w:rPr>
        <w:t>–</w:t>
      </w:r>
      <w:r>
        <w:rPr>
          <w:rFonts w:ascii="Arial" w:cs="Arial" w:eastAsia="Arial" w:hAnsi="Arial"/>
          <w:sz w:val="18"/>
          <w:szCs w:val="18"/>
          <w:color w:val="auto"/>
        </w:rPr>
        <w:t xml:space="preserve"> Restructuring Costs in Part 1, Item 1 of this Quarterly Report on Form 10-Q for additional information).</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QEP recognized a gain on sale of assets of $12.9 million during the third quarter of 2015 compared to a loss on sale of $11.8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third quarter of 2014. The gain on sale of assets recognized during the third quarter of 2015 was primarily due to a $13.1 million gain in post-closing adjustments related to QEP Energy's 2014 Midcontinent property sales, partially offset by a loss in post-closing adjustments related to the Midstream Sale in 2014. The loss on sale recognized during the third quarter of 2014 primarily related to post-closing adjustments on QEP Energy's 2014 Midcontinent property sales.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QEP recognized a gain on sale of assets of $6.9 million during the first three quarters of 2015 compared to a loss on sale of assets of $210.3 million in the first three quarters of 2014. The gain on sale of assets recognized during the first three quarters of 2015 was primarily due to an $11.2 million gain in post-closing adjustments related to QEP Energy's 2014 Midcontinent property sales, partially offset by a $5.0 million loss in post-closing adjustments related to the Midstream Sale in 2014. The loss on sale recognized during the first three quarters of 2014 primarily related to QEP Energy's sale of its interest in non-core oil and gas properties in the Midcontinent area for a pre-tax loss on sale of $210.4 million.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4" w:name="page45"/>
    <w:bookmarkEnd w:id="44"/>
    <w:p>
      <w:pPr>
        <w:spacing w:after="0" w:line="293" w:lineRule="auto"/>
        <w:rPr>
          <w:sz w:val="20"/>
          <w:szCs w:val="20"/>
          <w:color w:val="auto"/>
        </w:rPr>
      </w:pPr>
      <w:r>
        <w:rPr>
          <w:rFonts w:ascii="Arial" w:cs="Arial" w:eastAsia="Arial" w:hAnsi="Arial"/>
          <w:sz w:val="16"/>
          <w:szCs w:val="16"/>
          <w:b w:val="1"/>
          <w:bCs w:val="1"/>
          <w:i w:val="1"/>
          <w:iCs w:val="1"/>
          <w:color w:val="auto"/>
        </w:rPr>
        <w:t xml:space="preserve">Realized and unrealized gains (losses) on derivative contracts. </w:t>
      </w:r>
      <w:r>
        <w:rPr>
          <w:rFonts w:ascii="Arial" w:cs="Arial" w:eastAsia="Arial" w:hAnsi="Arial"/>
          <w:sz w:val="16"/>
          <w:szCs w:val="16"/>
          <w:color w:val="auto"/>
        </w:rPr>
        <w:t>Gains and losses on derivative instruments are comprised of both realized and unrealized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gains and losses on QEP’s commodity derivative contracts and interest rate swaps, which are marked-to-market each quarter. During the third quarter of 2015, gains on commodity derivative instruments were $153.6 million, of which $119.8 million were realized gains and $33.8 million were unrealized gains. During the third quarter of 2014, gains on commodity derivative instruments were $154.4 million, of which $161.5 million were unrealized gains, partially offset by $7.1 million of realized losses. Additionally, during the third quarter of 2014, gains from interest rate swaps were $1.3 million, of which $2.6 million were unrealized gains, partially offset by $1.3 million of realized losses. All of QEP's interest rate swaps were terminated and settled in the fourth quarter of 2014.</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first three quarters of 2015, gains on commodity derivative instruments were $168.5 million, of which $316.5 million were realized gains, partially offset by $148.0 million of unrealized losses. During the first three quarters of 2014, losses on commodity derivative instruments were $11.1 million, of which $75.9 million were realized losses, partially offset by $64.8 million of unrealized gains. Additionally, during the first three quarters of 2014, losses from interest rate swaps were $2.1 million, of which $3.2 million were realized losses, partially offset by $1.1 million of unrealized gains.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$5.1 million, or 12%, during the three months ended September 30, 2015, compared to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2014. The decrease was attributable to average debt levels in the third quarter of 2015 that were $1,294.9 million, or 37%, lower than average debt levels in the third quarter of 2014. The decrease in average debt levels is primarily related to repaying all outstanding borrowings under the revolving credit facility and repaying the $600.0 million term loan from the proceeds of the Midstream Sale in December 2014.</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expense decreased $19.0 million, or 15%, during the nine months ended September 30, 2015, compared to the nine months ended September 30, 2014. The decrease was attributable to average debt levels in the first three quarters of 2015 that were $838.2 million, or 27%, lower than average debt levels in the first three quarters of 2014. The decrease in average debt levels is primarily related to repaying all outstanding borrowings under the revolving credit facility and repaying the $600.0 million term loan from the proceeds of the Midstream Sale in December 2014.</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expense was $8.7 million during the third quarter of 2015 compared to $79.9 million during the third quarter of 2014. The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rate was 29.2% during the third quarter of 2015 compared to a rate of 34.2% during the third quarter of 2014. The decrease in income tax rate was primarily the result of a change in the composition of income between subsidiaries and the states in which the subsidiaries are taxed.</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 was $61.6 million during the first three quarters of 2015 compared to income tax expense of $26.1 million during the first three quarters of 2014. The income tax rate was 35.7% during the first three quarters of 2015 compared to a rate of 30.2% during the first three quarters of 2014. The income tax benefit recognized in 2015 was primarily the result of a loss before income taxes for the first three quarters of 2015. The increase in income tax rate was primarily the result of a 2014 reduction in the state income tax blended rate and a valuation allowance recorded during the first three quarters of 2014 related to Oklahoma net operating loss carryforwards.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Discontinued operations represent results of operations from QEP Field Services, excluding Haynesville Gathering.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2014, net income from discontinued operations was $17.4 million, primarily attributable to other revenue of $43.1 million, which primarily consists of gathering and processing revenue, and NGL sales revenue of $28.8 million, partially offset by gathering, processing and other expense of $22.7 million, DD&amp;A of $14.3 million and G&amp;A of $11.1 million.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three quarters of 2014, net income from discontinued operations was $58.2 million, primarily attributable to other revenue of $119.9 million, which primarily consists of gathering and processing revenue, and NGL sales revenue of $94.6 million, partially offset by gathering, processing and other expense of $69.8 million, DD&amp;A of $43.1 million and G&amp;A of $34.3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QEP seeks to fund its development projects by employing a capital structure and financing strategy to provide sufficient liquidity to withstand commodity price volatility. QEP maintains a commodity price derivative strategy to reduce commodity price volatility and to provide some certainty to cash flows. QEP funds its operations, capital expenditures and working capital requirements with cash flow from its operating activities and borrowings under its credit facilities. Periodically, QEP accesses debt capital markets and sells assets to provide additional liquidity. The Company believes cash flow from operations, cash-on-hand and availability under its credit facility will be sufficient to fund the Company’s planned capital expenditures, operating expenses and maturity of debt during the next 12 months and the foreseeable future. To the extent actual operating results or actual commodity prices differ from the Company’s assumptions, QEP's liquidity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2015</w:t>
            </w:r>
          </w:p>
        </w:tc>
        <w:tc>
          <w:tcPr>
            <w:tcW w:w="26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7"/>
              </w:rPr>
              <w:t>December 31, 2014</w:t>
            </w:r>
          </w:p>
        </w:tc>
      </w:tr>
      <w:tr>
        <w:trPr>
          <w:trHeight w:val="27"/>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1,160.1</w:t>
            </w:r>
          </w:p>
        </w:tc>
      </w:tr>
      <w:tr>
        <w:trPr>
          <w:trHeight w:val="270"/>
        </w:trPr>
        <w:tc>
          <w:tcPr>
            <w:tcW w:w="6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1,796.3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1,796.3</w:t>
            </w:r>
          </w:p>
        </w:tc>
      </w:tr>
      <w:tr>
        <w:trPr>
          <w:trHeight w:val="257"/>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2,292.1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2,956.4</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0"/>
        </w:trPr>
        <w:tc>
          <w:tcPr>
            <w:tcW w:w="68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0"/>
                <w:szCs w:val="20"/>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2,218.5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2,218.1</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4,075.3</w:t>
            </w:r>
          </w:p>
        </w:tc>
      </w:tr>
      <w:tr>
        <w:trPr>
          <w:trHeight w:val="252"/>
        </w:trPr>
        <w:tc>
          <w:tcPr>
            <w:tcW w:w="68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82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ind w:left="660" w:right="60" w:hanging="314"/>
        <w:spacing w:after="0" w:line="21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QEP's credit facility is reduced by $3.7 million of outstanding letters of credit as of September 30, 2015 and December 31, 2014, respectively.</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nine months ended September 30, 2014, QEP’s weighted-average interest rate on borrowings from its credit facility was 2.22%. At September 30, 2015 and December 31, 2014, QEP had no borrowings outstanding under the credit facility, had $3.7 million in letters of credit outstanding under the credit facility and was in compliance with the covenants under the credit agreement. At October 23, 2015, QEP had no borrowings outstanding under the credit facility and had $4.4 million of letters of credit outstanding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2015, totaled $2,221.8 million principal amount and are comprised of six issuances as follows:</w:t>
      </w:r>
    </w:p>
    <w:p>
      <w:pPr>
        <w:spacing w:after="0" w:line="2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from operating activities decreased $945.8 million during the first three quarters of 2015 compared to the first three quarters of 2014, due to a decrease in changes in operating assets and liabilities, lower non-cash adjustments to net income and a net loss incurred during the first three quarters of 2015 compared to net income in the first three quarters of 2014. Changes in operating assets and liabilities decreased $562.1 million, mainly due to a decrease in income taxes payable of $574.0 million, primarily from taxes on the gain on the Midstream Sale, which was paid in 2015. Net cash from operating activities is presented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Nine Months Ended September 30,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In the first three quarters of 2015, net cash used in investing activities was $880.9 million, compared to $1,460.7 million in the first three quarters of 2014. This decrease in investing activities was due to a 60% decrease in capital expenditures on a cash basis. Capital expenditures decreased primarily because of the Permian Basin Acquisition, which closed in the first quarter of 2014 for a total purchase price of $941.8 million, as well as a reduction in capital activity due to the current price environment. A comparison of capital expenditures for the first three quarters of 2015 and 2014 and a forecast for calendar year 2015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restart"/>
          </w:tcPr>
          <w:p>
            <w:pPr>
              <w:jc w:val="center"/>
              <w:ind w:right="30"/>
              <w:spacing w:after="0"/>
              <w:rPr>
                <w:sz w:val="20"/>
                <w:szCs w:val="20"/>
                <w:color w:val="auto"/>
              </w:rPr>
            </w:pPr>
            <w:r>
              <w:rPr>
                <w:rFonts w:ascii="Arial" w:cs="Arial" w:eastAsia="Arial" w:hAnsi="Arial"/>
                <w:sz w:val="18"/>
                <w:szCs w:val="18"/>
                <w:color w:val="auto"/>
                <w:w w:val="92"/>
              </w:rPr>
              <w:t>Nine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Forecast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Twelve Months</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9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Change in accruals</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1,020.0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first three quarters of 2015, QEP Energy's capital expenditures, on an accrual basis, were $812.3 million, a decrease of $1,413.6 million compared to the first three quarters of 2014, primarily driven by the Permian Basin Acquisition which occurred in 2014 for a total purchase price of $941.8 million. In addition, capital expenditures decreased $280.6 million in the Williston Basin, $96.7 million in Pinedale and $49.8 million in the Permian Basin due to reductions in QEP's operations in response to the current price environment and $42.8 million in the Midcontinent due to 2014 divestitures. During the first three quarters of 2015, QEP Energy had acquisitions of approximately $23.5 million.</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30, 2015, the midpoint of our forecasted capital investment for 2015 is approximately $1.0 billion. QEP intends to fund capital expenditures with cash flow from operating activities, cash on hand and, if needed, borrowings under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7"/>
          <w:szCs w:val="17"/>
          <w:color w:val="auto"/>
        </w:rPr>
        <w:t>revolving credit facility. As a result of the decline in oil and gas prices, forecasted capital investment for drilling and completion activities in 2015 is expected to be significantly lower than in 2014. QEP plans minimal capital expenditures for the Haynesville Shale and other dry-gas development areas in 2015 and plans to focus investment during 2015 on higher return projects, including oil-directed horizontal drilling in the Williston Basin and the Permian Basin. QEP Energy has allocated approximately 96% of its forecasted 2015 drilling and completion capital expenditure budget to oil and liquids-rich gas plays. QEP plans to invest approximately $7.5 million in capital expenditures related to corporate activities. The aggregate levels of capital expenditures for 2015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first three quarters of 2015, net cash used in financing activities was $57.3 million compared to net cash provided by financing activities of $229.1 million in the first three quarters of 2014. During the first three quarters of 2015, QEP had checks outstanding in excess of cash balances of $41.9 million and $10.6 million of regular quarterly dividend payments. During the first three quarters of 2014, QEP had borrowings from the credit facility of $4,509.0 million (offset by repayments on the credit facility of $4,461.5 million) as well as an additional issuance of $300.0 million under its term loan, which were used to fund the Permian Basin Acquisition. These borrowings were offset by checks outstanding in excess of cash balances of $81.1 million, $23.3 million of distributions to noncontrolling interest, and $10.8 million of regular quarterly dividends payment during the first three quarters of 2014.</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September 30, 2015, the Company did not have any borrowings outstanding under the credit facility and had $2,221.8 million in senior notes outstanding (excluding $3.3 million of net original issue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an additional non-cash impairment expense on the Company’s oil and gas properties may be required if future oil and gas commodity prices experience a sustained, significant decline. Furthermore, the Company’s credit facility has a floating interest rate, which exposes QEP to interest rate risk. To manage the Company’s exposure to these risks, QEP enters into commodity derivative contracts in the form of fixed-price swaps and collars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swaps and collars.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September 30, 2015, QEP held commodity price derivative contracts totaling 123.8 million MMBtu of gas and 6.0 million barrels of oil.</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The following table presents QEP's derivative positions as of October 23, 2015. See Note 8 </w:t>
      </w:r>
      <w:r>
        <w:rPr>
          <w:rFonts w:ascii="Arial" w:cs="Arial" w:eastAsia="Arial" w:hAnsi="Arial"/>
          <w:sz w:val="18"/>
          <w:szCs w:val="18"/>
          <w:b w:val="1"/>
          <w:bCs w:val="1"/>
          <w:color w:val="auto"/>
        </w:rPr>
        <w:t>–</w:t>
      </w:r>
      <w:r>
        <w:rPr>
          <w:rFonts w:ascii="Arial" w:cs="Arial" w:eastAsia="Arial" w:hAnsi="Arial"/>
          <w:sz w:val="18"/>
          <w:szCs w:val="18"/>
          <w:color w:val="auto"/>
        </w:rPr>
        <w:t xml:space="preserve"> Derivative Contracts in Part 1, Item 1 of this Quarterly Report on Form 10-Q for open derivative positions as of September 30, 2015.</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580" w:type="dxa"/>
            <w:vAlign w:val="bottom"/>
            <w:gridSpan w:val="4"/>
          </w:tcPr>
          <w:p>
            <w:pPr>
              <w:ind w:left="1480"/>
              <w:spacing w:after="0"/>
              <w:rPr>
                <w:sz w:val="20"/>
                <w:szCs w:val="20"/>
                <w:color w:val="auto"/>
              </w:rPr>
            </w:pPr>
            <w:r>
              <w:rPr>
                <w:rFonts w:ascii="Arial" w:cs="Arial" w:eastAsia="Arial" w:hAnsi="Arial"/>
                <w:sz w:val="18"/>
                <w:szCs w:val="18"/>
                <w:b w:val="1"/>
                <w:bCs w:val="1"/>
                <w:color w:val="auto"/>
              </w:rPr>
              <w:t>QEP Energy Commodity Derivative Swap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2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Year</w:t>
            </w: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2"/>
              </w:rPr>
              <w:t>price per unit</w:t>
            </w:r>
          </w:p>
        </w:tc>
      </w:tr>
      <w:tr>
        <w:trPr>
          <w:trHeight w:val="27"/>
        </w:trPr>
        <w:tc>
          <w:tcPr>
            <w:tcW w:w="22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2017</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390"/>
              <w:spacing w:after="0"/>
              <w:rPr>
                <w:sz w:val="20"/>
                <w:szCs w:val="20"/>
                <w:color w:val="auto"/>
              </w:rPr>
            </w:pPr>
            <w:r>
              <w:rPr>
                <w:rFonts w:ascii="Arial" w:cs="Arial" w:eastAsia="Arial" w:hAnsi="Arial"/>
                <w:sz w:val="18"/>
                <w:szCs w:val="18"/>
                <w:b w:val="1"/>
                <w:bCs w:val="1"/>
                <w:color w:val="auto"/>
                <w:w w:val="89"/>
              </w:rPr>
              <w:t>Oil Sales</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82.09</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ICE Brent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61.40</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240" w:type="dxa"/>
            <w:vAlign w:val="bottom"/>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2017</w:t>
            </w:r>
          </w:p>
        </w:tc>
        <w:tc>
          <w:tcPr>
            <w:tcW w:w="4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54.61</w:t>
            </w:r>
          </w:p>
        </w:tc>
      </w:tr>
      <w:tr>
        <w:trPr>
          <w:trHeight w:val="27"/>
        </w:trPr>
        <w:tc>
          <w:tcPr>
            <w:tcW w:w="224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00" w:type="dxa"/>
            <w:vAlign w:val="bottom"/>
            <w:gridSpan w:val="4"/>
          </w:tcPr>
          <w:p>
            <w:pPr>
              <w:ind w:left="260"/>
              <w:spacing w:after="0"/>
              <w:rPr>
                <w:sz w:val="20"/>
                <w:szCs w:val="20"/>
                <w:color w:val="auto"/>
              </w:rPr>
            </w:pPr>
            <w:r>
              <w:rPr>
                <w:rFonts w:ascii="Arial" w:cs="Arial" w:eastAsia="Arial" w:hAnsi="Arial"/>
                <w:sz w:val="18"/>
                <w:szCs w:val="18"/>
                <w:b w:val="1"/>
                <w:bCs w:val="1"/>
                <w:color w:val="auto"/>
              </w:rPr>
              <w:t>QEP Energy Gas Collars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0"/>
              </w:rPr>
              <w:t>Average Price</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500" w:type="dxa"/>
            <w:vAlign w:val="bottom"/>
          </w:tcPr>
          <w:p>
            <w:pPr>
              <w:ind w:left="820"/>
              <w:spacing w:after="0"/>
              <w:rPr>
                <w:sz w:val="20"/>
                <w:szCs w:val="20"/>
                <w:color w:val="auto"/>
              </w:rPr>
            </w:pPr>
            <w:r>
              <w:rPr>
                <w:rFonts w:ascii="Arial" w:cs="Arial" w:eastAsia="Arial" w:hAnsi="Arial"/>
                <w:sz w:val="18"/>
                <w:szCs w:val="18"/>
                <w:color w:val="auto"/>
              </w:rPr>
              <w:t>Index</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8"/>
              </w:rPr>
              <w:t>Ceiling</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($/MMBtu)</w:t>
            </w:r>
          </w:p>
        </w:tc>
        <w:tc>
          <w:tcPr>
            <w:tcW w:w="320" w:type="dxa"/>
            <w:vAlign w:val="bottom"/>
          </w:tcPr>
          <w:p>
            <w:pPr>
              <w:spacing w:after="0"/>
              <w:rPr>
                <w:sz w:val="23"/>
                <w:szCs w:val="23"/>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color w:val="auto"/>
                <w:w w:val="99"/>
              </w:rPr>
              <w:t>($/MMBtu)</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HH</w:t>
            </w:r>
          </w:p>
        </w:tc>
        <w:tc>
          <w:tcPr>
            <w:tcW w:w="26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ind w:left="540"/>
              <w:spacing w:after="0"/>
              <w:rPr>
                <w:sz w:val="20"/>
                <w:szCs w:val="20"/>
                <w:color w:val="auto"/>
              </w:rPr>
            </w:pPr>
            <w:r>
              <w:rPr>
                <w:rFonts w:ascii="Arial" w:cs="Arial" w:eastAsia="Arial" w:hAnsi="Arial"/>
                <w:sz w:val="18"/>
                <w:szCs w:val="18"/>
                <w:b w:val="1"/>
                <w:bCs w:val="1"/>
                <w:color w:val="auto"/>
                <w:w w:val="96"/>
              </w:rPr>
              <w:t>QEP Energy Gas Basis Swaps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30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Index Less Differential</w:t>
            </w:r>
          </w:p>
        </w:tc>
        <w:tc>
          <w:tcPr>
            <w:tcW w:w="1760" w:type="dxa"/>
            <w:vAlign w:val="bottom"/>
            <w:gridSpan w:val="2"/>
          </w:tcPr>
          <w:p>
            <w:pPr>
              <w:jc w:val="center"/>
              <w:ind w:right="76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3"/>
            <w:shd w:val="clear" w:color="auto" w:fill="CCEEFF"/>
          </w:tcPr>
          <w:p>
            <w:pPr>
              <w:jc w:val="center"/>
              <w:ind w:right="760"/>
              <w:spacing w:after="0"/>
              <w:rPr>
                <w:sz w:val="20"/>
                <w:szCs w:val="20"/>
                <w:color w:val="auto"/>
              </w:rPr>
            </w:pPr>
            <w:r>
              <w:rPr>
                <w:rFonts w:ascii="Arial" w:cs="Arial" w:eastAsia="Arial" w:hAnsi="Arial"/>
                <w:sz w:val="18"/>
                <w:szCs w:val="18"/>
                <w:color w:val="auto"/>
              </w:rPr>
              <w:t>NYMEX HH</w:t>
            </w:r>
          </w:p>
        </w:tc>
        <w:tc>
          <w:tcPr>
            <w:tcW w:w="1760" w:type="dxa"/>
            <w:vAlign w:val="bottom"/>
            <w:tcBorders>
              <w:bottom w:val="single" w:sz="8" w:color="CCEEFF"/>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40" w:type="dxa"/>
            <w:vAlign w:val="bottom"/>
            <w:gridSpan w:val="3"/>
          </w:tcPr>
          <w:p>
            <w:pPr>
              <w:jc w:val="center"/>
              <w:ind w:right="760"/>
              <w:spacing w:after="0"/>
              <w:rPr>
                <w:sz w:val="20"/>
                <w:szCs w:val="20"/>
                <w:color w:val="auto"/>
              </w:rPr>
            </w:pPr>
            <w:r>
              <w:rPr>
                <w:rFonts w:ascii="Arial" w:cs="Arial" w:eastAsia="Arial" w:hAnsi="Arial"/>
                <w:sz w:val="18"/>
                <w:szCs w:val="18"/>
                <w:color w:val="auto"/>
              </w:rPr>
              <w:t>NYMEX HH</w:t>
            </w:r>
          </w:p>
        </w:tc>
        <w:tc>
          <w:tcPr>
            <w:tcW w:w="176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634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2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Year</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2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2015</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Gas purchases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675"/>
        </w:trPr>
        <w:tc>
          <w:tcPr>
            <w:tcW w:w="2480" w:type="dxa"/>
            <w:vAlign w:val="bottom"/>
          </w:tcPr>
          <w:p>
            <w:pPr>
              <w:spacing w:after="0"/>
              <w:rPr>
                <w:sz w:val="24"/>
                <w:szCs w:val="24"/>
                <w:color w:val="auto"/>
              </w:rPr>
            </w:pPr>
          </w:p>
        </w:tc>
        <w:tc>
          <w:tcPr>
            <w:tcW w:w="3840" w:type="dxa"/>
            <w:vAlign w:val="bottom"/>
            <w:gridSpan w:val="3"/>
          </w:tcPr>
          <w:p>
            <w:pPr>
              <w:jc w:val="right"/>
              <w:ind w:right="4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2014 to September 30, 2015,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(316.5)</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oil and gas derivative contracts outstanding at September 30,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shows the sensitivity of the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September 30, 2015</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oil and gas and basis differentials decline by 10%</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220.9</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and gas and basis differentials increase by 10%</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180.8</w:t>
            </w:r>
          </w:p>
        </w:tc>
      </w:tr>
      <w:tr>
        <w:trPr>
          <w:trHeight w:val="27"/>
        </w:trPr>
        <w:tc>
          <w:tcPr>
            <w:tcW w:w="9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Utilizing the actual derivative volumes, a 10% increase in underlying commodity prices would reduce the fair value of these instruments by $20.1 million, while a 10% decrease in underlying commodity prices would increase the fair value of these instruments by $20.0 million as of September 30, 2015. However, a gain or loss eventually would be offset by the actual sales value of the physical production covered by the derivative instruments. For additional information regarding the Company’s commodity derivative transactions, see Note 8 – Derivative Contracts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as described in the risk factors in Item 1A of Part I of the Company’s Annual Report on Form 10-K/A for the year ended December 31, 2014. The Company’s credit facility has a floating interest rate, which exposes QEP to interest rate risk. At September 30, 2015, the Company did not have any borrowings outstanding under its revolving credit facility.</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10 – Debt, in Item I of Part I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73"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w:t>
      </w:r>
    </w:p>
    <w:p>
      <w:pPr>
        <w:spacing w:after="0" w:line="9" w:lineRule="exact"/>
        <w:rPr>
          <w:rFonts w:ascii="Arial" w:cs="Arial" w:eastAsia="Arial" w:hAnsi="Arial"/>
          <w:sz w:val="18"/>
          <w:szCs w:val="18"/>
          <w:color w:val="auto"/>
        </w:rPr>
      </w:pPr>
    </w:p>
    <w:p>
      <w:pPr>
        <w:ind w:left="740" w:right="560" w:hanging="327"/>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liquidity and sufficiency of cash flow from operations, cash-on-hand and availability under our credit facility to fund our planned capital expenditures and operating expenses;</w:t>
      </w: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deliver continued growth by focusing on exploration and production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continued evaluation of,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plans;</w:t>
      </w:r>
    </w:p>
    <w:p>
      <w:pPr>
        <w:spacing w:after="0" w:line="9"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improving operating performance by optimizing reservoir development, enhancing well completion designs and aggressively pursuing cost reductions;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0" w:name="page51"/>
    <w:bookmarkEnd w:id="50"/>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to reduce drilling and completion activities, slow production growth and preserve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anticipated oil, gas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to enter into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divestitures of non-core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gain or loss on sale of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impact of proposed environmental legislation and studies;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governmental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benefit plan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transportation, processing, storage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 tax benefits;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impacting our ability to transport oil and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for future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sale of our midstream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estimated costs of the closing of our Tulsa office;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impacting the timing and amount of share repurchases.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10-K/A for the year ended December 31, 2014 and Part II, Item 1A of this Quarterly Report on Form 10-Q;</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 and water use;</w:t>
      </w: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1" w:name="page52"/>
    <w:bookmarkEnd w:id="51"/>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 levels;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undertake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September 30, 2015. Based on such evaluation, such officers have concluded that, as of September 30, 2015,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September 30, 2015,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Yannick Gagné Lawsuit and Related Suits - </w:t>
      </w:r>
      <w:r>
        <w:rPr>
          <w:rFonts w:ascii="Arial" w:cs="Arial" w:eastAsia="Arial" w:hAnsi="Arial"/>
          <w:sz w:val="18"/>
          <w:szCs w:val="18"/>
          <w:color w:val="auto"/>
        </w:rPr>
        <w:t>Plaintiffs seek to represent a class of all persons who sustained damages as a result of the July 6, 2013 train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derailment in Lac-Mégantic, Quebec, which resulted in substantial loss of life and property. The rail company that transported the crude oil filed for bankruptcy protection following the accident. The plaintiffs contend that QEP, and other producer defendants, sold Bakken crude oil to third-party purchasers in North Dakota, who resold the oil and transported it on the derailed train. Plaintiffs allege that QEP and the producer defendants, among other things, failed to ensure that the oil was adequately processed to remove volatile gases and vapors, failed to take reasonable care to ensure that the oil was properly labeled and shipped and failed to identify the risk of the train derailment and take action to prevent it. The plaintiffs seek unspecified damages. A court order regarding class certification is pending. Many of the defendants, including QEP, have reached a confidential settlement agreement with trustees in both Canadian and U.S. bankruptcy courts to resolve all of these claims, which is subject to the approval of such courts. During the third quarter of 2015, QEP was served with additional complaints in state and federal courts in Maine, Texas and Illinois, each of which makes similar claims to those in the </w:t>
      </w:r>
      <w:r>
        <w:rPr>
          <w:rFonts w:ascii="Arial" w:cs="Arial" w:eastAsia="Arial" w:hAnsi="Arial"/>
          <w:sz w:val="18"/>
          <w:szCs w:val="18"/>
          <w:i w:val="1"/>
          <w:iCs w:val="1"/>
          <w:color w:val="auto"/>
        </w:rPr>
        <w:t>Yannick Gagné</w:t>
      </w:r>
      <w:r>
        <w:rPr>
          <w:rFonts w:ascii="Arial" w:cs="Arial" w:eastAsia="Arial" w:hAnsi="Arial"/>
          <w:sz w:val="18"/>
          <w:szCs w:val="18"/>
          <w:color w:val="auto"/>
        </w:rPr>
        <w:t xml:space="preserve"> case, and plaintiff's in each matter support the current settlement plans. If the courts approve the current settlement plan, the plan will settle these additional cases.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10-K/A for the year ended December 31, 2014. Below are material changes to such risk factors that have occurred during the nine months ended September 30, 2015.</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QEP's ability to produce oil and gas economically and in commercial quantities could be impaired if it is unable to acquire adequate supplies of water for its drilling and completion operations or is unable to dispose of or recycle the water or other waste at a reasonable cost and in accordance with applicable environmental rules. </w:t>
      </w:r>
      <w:r>
        <w:rPr>
          <w:rFonts w:ascii="Arial" w:cs="Arial" w:eastAsia="Arial" w:hAnsi="Arial"/>
          <w:sz w:val="16"/>
          <w:szCs w:val="16"/>
          <w:color w:val="auto"/>
        </w:rPr>
        <w:t>The hydraulic fracture stimulation process on which QEP depends to produce commercial quantities of oil and gas requires the use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 of significant quantities of water. The availability of disposal wells with sufficient capacity to receive all of the water produced from QEP’s wells may affect QEP’s production. In some cases, QEP may need to obtain water from new sources and transport it to drilling sites, resulting in increased costs. QEP's inability to secure sufficient amounts of water, or to dispose of or recycle the water used in its operations, could adversely impact its operations. Moreover,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gas. Compliance with environmental regulations and permit requirements governing the withdrawal, storage and use of surface water or groundwater necessary for hydraulic fracturing of wells may increase QEP's operating costs or may cause QEP to delay, curtail or discontinue its exploration and development plans, which could have a material adverse effect on its business, financial condition, results of operations and cash flows. In addition, concerns have been raised about the potential for induced seismicity to occur from the use of underground injection wells, a predominant method for disposing of waste water (including hydraulic fracturing flowback water) from oil and gas activities. QEP operates injection wells and utilizes injection wells owned by third parties to dispose of waste water associated with its operations. New rules and regulations may be developed to address these concerns, possibly limiting or eliminating the ability to use disposal wells in certain locations and increasing the cost of disposal in others. Further, lawsuits against other companies have been filed by plaintiffs alleging they suffered damages from seismicity caused by injection of waste water into disposal wells, which may make it more expensive or difficult to conduct water disposal activities and to obtain insurance for such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hydraulic fracturing legislation or regulatory initiatives could increase QEP's costs and restrict its access to oil and gas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reserves. </w:t>
      </w:r>
      <w:r>
        <w:rPr>
          <w:rFonts w:ascii="Arial" w:cs="Arial" w:eastAsia="Arial" w:hAnsi="Arial"/>
          <w:sz w:val="16"/>
          <w:szCs w:val="16"/>
          <w:color w:val="auto"/>
        </w:rPr>
        <w:t>Currently, well construction activities, including hydraulic fracture stimulation, are regulated by state agencies that review and approve all aspects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well design and operation. The EPA recently asserted federal regulatory authority over certain hydraulic fracturing activities involving diesel fuel under the federal Safe Drinking Water Act and issued guidance related to this newly asserted regulatory authority. The EPA appears to be considering its existing regulatory authorities for possible avenues to further regulate hydraulic fracturing fluids and/or the components of those fluids. Additionally, in May 2012, the BLM proposed new regulations regarding chemical disclosure requirements and other regulations specific to well stimulation activities, including hydraulic fracturing, on federal and tribal lands and proposed further revision to those regulations in May 2013. The BLM finalized those regulations in March 2015, to become effective in June 2015; however, due to pending litigation (discussed below), the effective date of the rule has been postponed. The new regulations have the potential to increase the cost of drilling and completing any well requiring federal permits, and could result in further delays in getting such permits to authorize drilling and completion activities on federal and tribal lands. Several states, including some in which the Company operates, have filed suit against the Department of Interior over the final BLM hydraulic fracturing regulations, which could contribute to increased uncertainty regarding the Company’s compliance obligations on federal and tribal lands and has caused the effective date of the regulations to be postponed.</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EPA is also considering other potential regulation of hydraulic fracturing activities. For example, in April 2015, the EPA published proposed pretreatment standards for the oil and gas extraction industry. The proposed regulations would address discharges of wastewater pollutants from onshore unconventional oil and gas extraction facilities to publicly owned treatment works. The EPA is also collecting information as part of a nationwide study into the effects of hydraulic fracturing on drinking water. In June 2015, the EPA released a draft assessment of the potential impacts to drinking water resources from hydraulic fracturing for public comment and peer review. The results of this study, which has not been finalized, could result in additional regulations, which could lead to operational burdens similar to those described above. The EPA has also issued an advance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notice of proposed rulemaking and initiated a public participation process under the Toxic Substances Control Act (TSCA) to seek comment on the information that should be reported or disclosed for hydraulic fracturing chemical substances and mixtures and the mechanisms for obtaining this information. Additionally, on January 7, 2015, several national environmental advocacy groups filed a lawsuit requesting that the EPA add the oil and gas extraction industry to the list of industries required to report releases of certain "toxic chemicals" under the Toxics Release Inventory (TRI) program of the Emergency Planning and Community Right-to-Know Act. The EPA has agreed to respond to the groups’ request by October 30, 2015, and the case has been stayed pending the EPA’s response.</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Lack of availability of refining, gas processing, storage or transportation capacity will likely impact results of operations. </w:t>
      </w:r>
      <w:r>
        <w:rPr>
          <w:rFonts w:ascii="Arial" w:cs="Arial" w:eastAsia="Arial" w:hAnsi="Arial"/>
          <w:sz w:val="17"/>
          <w:szCs w:val="17"/>
          <w:color w:val="auto"/>
        </w:rPr>
        <w:t>The lack of availability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satisfactory gas, oil and NGL transportation, including trucks, railways and pipelines, gas processing, storage or refining capacity may hinder QEP's access to gas, oil and NGL markets or delay production from its wells. QEP's ability to market its production depends in substantial part on the availability and capacity of transportation, gas processing facilities, storage or refineries owned and operated by third parties. Although QEP has some contractual control over the transportation of its production through firm transportation arrangements, third-party systems may be temporarily unavailable due to market conditions, mechanical failures, accidents or other reasons. If transportation, gas processing or storage facilities do not exist near producing wells, if transportation, gas processing, storage or refining capacity is limited or if transportation, gas processing or refining capacity is unexpectedly disrupted, completion activity could be delayed, sales could be reduced, or production shut in each of which could reduce profitability. Furthermore, if QEP were required to shut in wells, it might also be obligated to pay certain demand charges for gathering and processing services, firm transportation charges on interstate pipelines as well as shut-in royalties to certain mineral interest owners in order to maintain its leases; or depending on the specific lease provisions, some leases could terminate. In addition, rail accidents involving crude oil carriers have resulted in regulations, and may result in additional regulations, on transportation of oil by railway. If transportation quality requirements change, QEP might be required to install or contract for additional treating or processing equipment, which could increase costs. Federal and state regulation of oil and gas production and transportation, tax and energy policies, changes in supply and demand, transportation pressures, damage to or destruction of transportation facilities and general economic conditions could also adversely affect QEP's ability to transport oil and gas.</w:t>
      </w:r>
    </w:p>
    <w:p>
      <w:pPr>
        <w:spacing w:after="0" w:line="14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Requirements to reduce gas flaring could have an adverse effect on our operations. </w:t>
      </w:r>
      <w:r>
        <w:rPr>
          <w:rFonts w:ascii="Arial" w:cs="Arial" w:eastAsia="Arial" w:hAnsi="Arial"/>
          <w:sz w:val="17"/>
          <w:szCs w:val="17"/>
          <w:color w:val="auto"/>
        </w:rPr>
        <w:t>Wells in the Bakken and Three Forks formations in North Dakota,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QEP has significant operations, produce natural gas as well as crude oil. Constraints in the current gas gathering and processing network in certain areas have resulted in some of that natural gas being flared instead of gathered, processed and sold. In June 2014, the North Dakota Industrial Commission, North Dakota's chief energy regulator, adopted a policy to reduce the volume of natural gas flared from oil wells in the Bakken and Three Forks formations. The Commission is requiring operators to develop gas capture plans that describe how much natural gas is expected to be produced, how it will be delivered to a processor and where it will be processed. Production caps or penalties will be imposed on certain wells that cannot meet the capture goals. The Bureau of Land Management (BLM) has also indicated its intent to pursue a rulemaking related to further controls on the venting and flaring of natural gas on BLM land. A proposed rule has been sent to the White House Office of Management and Budget. These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78"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failure to comply with applicable laws and regulations can result in substantial penalties and may threaten the Company's authorization to operate.</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Environmental laws and regulations are complex, change frequently and have tended to become more onerous over time. The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or injunctions that could limit the scope of QEP's planned operations.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2015, the EPA and the Army Corps of Engineers issued a pre-publication final rule defining the jurisdictional “waters of the United States” regulated under the Clean Water Act. The final rule, which has been stayed pending the outcome of litigation, could increase the scope of waters subject to federal jurisdiction under the Clean Water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5" w:name="page56"/>
    <w:bookmarkEnd w:id="55"/>
    <w:p>
      <w:pPr>
        <w:ind w:right="80"/>
        <w:spacing w:after="0" w:line="272" w:lineRule="auto"/>
        <w:rPr>
          <w:sz w:val="20"/>
          <w:szCs w:val="20"/>
          <w:color w:val="auto"/>
        </w:rPr>
      </w:pPr>
      <w:r>
        <w:rPr>
          <w:rFonts w:ascii="Arial" w:cs="Arial" w:eastAsia="Arial" w:hAnsi="Arial"/>
          <w:sz w:val="17"/>
          <w:szCs w:val="17"/>
          <w:color w:val="auto"/>
        </w:rPr>
        <w:t>New federal Clean Air Act regulations at 40 C.F.R Part 60, Subpart OOOO (Subpart OOOO) became effective in 2012, with further amendments effective in 2013 and 2014. Subpart OOOO imposes air quality controls and requirements upon QEP's operations and is undergoing further reconsideration by the EPA, which may result in more stringent air quality controls and requirements for QEP’s operations. For example, in September 2015, the EPA published proposed updates to Subpart OOOO to achieve additional methane and volatile organic compound reductions from the oil and natural gas industry. The proposed rule would include, among others, new requirements for finding and repairing leaks at new well sites and green completion requirements for oil wells. Additionally, many states are adopting more stringent air permitting and other air quality control regulations specific to oil and gas exploration, production, gathering and processing that go beyond the requirements of federal regulations.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17, 2014, the EPA proposed to revise and lower the existing 75 parts per billion (ppb) national ambient air quality standard (NAAQS) for ozone under the federal Clean Air Act to a range within 65-70 ppb. On October 1, 2015, the EPA announced its final ruling to lower the standard to 70 ppb. A lowered ozone NAAQS could result in a significant expansion of ozone nonattainment areas across the United States, including areas in which QEP operates. Oil and natural gas operations in ozone nonattainment areas would likely be subject to increased regulatory burdens in the form of more stringent emission controls, emission offset requirements, and increased permitting delays and costs.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2015, the EPA published a proposed rule regarding source determination and permitting requirements for the onshore oil and gas industry under the Clean Air Act. The proposed rule seeks public comment on two approaches for defining the term “adjacent,” which is one of three factors used to determine whether oil and gas equipment and activities are considered part of a source that is subject to major source permitting requirements under the Clean Air Act permitting programs. Depending on the EPA’s final approach, the oil and gas industry could be subject to increased air quality permitting costs and more stringent control requirements.</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September 2015, the EPA also issued a proposed Federal Implementation Plan (FIP) to implement the Federal Minor New Source Review Program in Indian Country for oil and natural gas production. The proposed FIP may apply to QEP’s operations on the Fort Berthold Reservation in the Williston Basin, North Dakota. The proposed FIP would incorporate emission limits and other requirements for various federal air quality standards. By incorporating these requirements, the FIP would apply emission limits for a range of equipment and processes used in oil and natural gas production.</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FERC has jurisdiction over the operation of QEP Marketing's Clear Creek underground gas storage facility by virtue of the facility's connection to interstate pipelines (also subject to FERC jurisdiction) at both its inlet and outlet. Clear Creek is subject to specific FERC regulations governing interstate transmission facilities and activities, including but not limited to rates charged for transmission, open access/non-discrimination, and public disclosure via an electronic bulletin board of daily capacity and flows.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May 2015, the U.S. Department of Transportation issued its final rule regarding the safe transportation of flammable liquids by rail. The final rule imposes certain requirements on “offerors” of crude oil, including sampling, testing, and certification requirements.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Total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purchased as part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 shares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paid per share</w:t>
            </w:r>
          </w:p>
        </w:tc>
        <w:tc>
          <w:tcPr>
            <w:tcW w:w="1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plans or programs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plans or 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2015 - July 31, 2015</w:t>
            </w:r>
          </w:p>
        </w:tc>
        <w:tc>
          <w:tcPr>
            <w:tcW w:w="17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1, 2015 - August 31,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400.3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2015 - September 30,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ind w:left="660" w:right="120" w:hanging="314"/>
        <w:spacing w:after="0" w:line="257"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All of the 31,693 shares purchased during the three-month period ended September 30, 2015,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nine months ended September 30, 2015, no shares were repurchased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Certificate of Incorporation dated May 18, 2010. (Incorporated by reference to Exhibit 3.1 to the Company's Current Report on Form</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8-K filed with the Securities and Exchange Commission on May 24, 2010.)</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5"/>
              </w:rPr>
              <w:t>Amended and Restated Bylaws, deemed effective October 27, 2014. (Incorporated by reference to Exhibit 3.1 to the Company's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Securities and Exchange Commission on October 29, 2014.)</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4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7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spacing w:after="0" w:line="9" w:lineRule="exact"/>
        <w:rPr>
          <w:sz w:val="20"/>
          <w:szCs w:val="20"/>
          <w:color w:val="auto"/>
        </w:rPr>
      </w:pPr>
    </w:p>
    <w:p>
      <w:pPr>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0"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420" w:type="dxa"/>
            <w:vAlign w:val="bottom"/>
            <w:gridSpan w:val="2"/>
          </w:tcPr>
          <w:p>
            <w:pPr>
              <w:spacing w:after="0"/>
              <w:rPr>
                <w:sz w:val="20"/>
                <w:szCs w:val="20"/>
                <w:color w:val="auto"/>
              </w:rPr>
            </w:pPr>
            <w:r>
              <w:rPr>
                <w:rFonts w:ascii="Arial" w:cs="Arial" w:eastAsia="Arial" w:hAnsi="Arial"/>
                <w:sz w:val="18"/>
                <w:szCs w:val="18"/>
                <w:color w:val="auto"/>
              </w:rPr>
              <w:t>October 28, 2015</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420" w:type="dxa"/>
            <w:vAlign w:val="bottom"/>
            <w:gridSpan w:val="2"/>
          </w:tcPr>
          <w:p>
            <w:pPr>
              <w:spacing w:after="0"/>
              <w:rPr>
                <w:sz w:val="20"/>
                <w:szCs w:val="20"/>
                <w:color w:val="auto"/>
              </w:rPr>
            </w:pPr>
            <w:r>
              <w:rPr>
                <w:rFonts w:ascii="Arial" w:cs="Arial" w:eastAsia="Arial" w:hAnsi="Arial"/>
                <w:sz w:val="18"/>
                <w:szCs w:val="18"/>
                <w:color w:val="auto"/>
              </w:rPr>
              <w:t>October 28, 2015</w:t>
            </w:r>
          </w:p>
        </w:tc>
        <w:tc>
          <w:tcPr>
            <w:tcW w:w="25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24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28, 2015</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28, 2015</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September 30, 2015,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28, 2015</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October 28, 2015</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2019-12-29T14:05:24Z</dcterms:created>
  <dcterms:modified xsi:type="dcterms:W3CDTF">2019-12-29T14:05:24Z</dcterms:modified>
</cp:coreProperties>
</file>