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jc w:val="both"/>
        <w:ind w:left="320" w:right="340" w:hanging="246"/>
        <w:spacing w:after="0" w:line="181" w:lineRule="auto"/>
        <w:tabs>
          <w:tab w:leader="none" w:pos="320" w:val="left"/>
        </w:tabs>
        <w:numPr>
          <w:ilvl w:val="0"/>
          <w:numId w:val="1"/>
        </w:numPr>
        <w:rPr>
          <w:rFonts w:ascii="Arial" w:cs="Arial" w:eastAsia="Arial" w:hAnsi="Arial"/>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-240665</wp:posOffset>
            </wp:positionV>
            <wp:extent cx="110490" cy="158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490" cy="1581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20" w:type="dxa"/>
            <w:vAlign w:val="bottom"/>
          </w:tcPr>
          <w:p>
            <w:pPr>
              <w:jc w:val="center"/>
              <w:ind w:right="29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2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31115</wp:posOffset>
            </wp:positionV>
            <wp:extent cx="6972935" cy="1557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5576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60" w:space="480"/>
            <w:col w:w="844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Ley Alice 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1050 17TH STREET,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QEP RESOURCES,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QEP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03/17/2021</w:t>
      </w:r>
    </w:p>
    <w:p>
      <w:pPr>
        <w:spacing w:after="0" w:line="20" w:lineRule="exact"/>
        <w:rPr>
          <w:sz w:val="24"/>
          <w:szCs w:val="24"/>
          <w:color w:val="auto"/>
        </w:rPr>
      </w:pPr>
      <w:r>
        <w:rPr>
          <w:sz w:val="24"/>
          <w:szCs w:val="24"/>
          <w:color w:val="auto"/>
        </w:rPr>
        <w:br w:type="column"/>
      </w:r>
    </w:p>
    <w:p>
      <w:pPr>
        <w:ind w:left="-3" w:right="720" w:firstLine="3"/>
        <w:spacing w:after="0" w:line="256"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tbl>
      <w:tblPr>
        <w:tblLayout w:type="fixed"/>
        <w:tblInd w:w="197"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37"/>
        <w:spacing w:after="0"/>
        <w:rPr>
          <w:sz w:val="20"/>
          <w:szCs w:val="20"/>
          <w:color w:val="auto"/>
        </w:rPr>
      </w:pPr>
      <w:r>
        <w:rPr>
          <w:rFonts w:ascii="Arial" w:cs="Arial" w:eastAsia="Arial" w:hAnsi="Arial"/>
          <w:sz w:val="16"/>
          <w:szCs w:val="16"/>
          <w:color w:val="0000FF"/>
        </w:rPr>
        <w:t>VP, Controller &amp; CAO</w:t>
      </w:r>
    </w:p>
    <w:p>
      <w:pPr>
        <w:spacing w:after="0" w:line="324" w:lineRule="exact"/>
        <w:rPr>
          <w:sz w:val="24"/>
          <w:szCs w:val="24"/>
          <w:color w:val="auto"/>
        </w:rPr>
      </w:pPr>
    </w:p>
    <w:p>
      <w:pPr>
        <w:sectPr>
          <w:pgSz w:w="11900" w:h="16838" w:orient="portrait"/>
          <w:cols w:equalWidth="0" w:num="3">
            <w:col w:w="3180" w:space="720"/>
            <w:col w:w="3123" w:space="720"/>
            <w:col w:w="3337"/>
          </w:cols>
          <w:pgMar w:left="460" w:top="220" w:right="359" w:bottom="1440" w:gutter="0" w:footer="0" w:header="0"/>
          <w:type w:val="continuous"/>
        </w:sectPr>
      </w:pP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20" w:type="dxa"/>
            <w:vAlign w:val="bottom"/>
            <w:gridSpan w:val="6"/>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12"/>
                <w:szCs w:val="12"/>
                <w:color w:val="auto"/>
              </w:rPr>
            </w:pPr>
          </w:p>
        </w:tc>
        <w:tc>
          <w:tcPr>
            <w:tcW w:w="3720" w:type="dxa"/>
            <w:vAlign w:val="bottom"/>
            <w:gridSpan w:val="10"/>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restart"/>
          </w:tcPr>
          <w:p>
            <w:pPr>
              <w:ind w:left="38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DENVER</w:t>
            </w: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color w:val="0000FF"/>
              </w:rPr>
              <w:t>CO</w:t>
            </w:r>
          </w:p>
        </w:tc>
        <w:tc>
          <w:tcPr>
            <w:tcW w:w="1040" w:type="dxa"/>
            <w:vAlign w:val="bottom"/>
            <w:vMerge w:val="restart"/>
          </w:tcPr>
          <w:p>
            <w:pPr>
              <w:ind w:left="140"/>
              <w:spacing w:after="0"/>
              <w:rPr>
                <w:sz w:val="20"/>
                <w:szCs w:val="20"/>
                <w:color w:val="auto"/>
              </w:rPr>
            </w:pPr>
            <w:r>
              <w:rPr>
                <w:rFonts w:ascii="Arial" w:cs="Arial" w:eastAsia="Arial" w:hAnsi="Arial"/>
                <w:sz w:val="16"/>
                <w:szCs w:val="16"/>
                <w:color w:val="0000FF"/>
              </w:rPr>
              <w:t>80265</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20" w:type="dxa"/>
            <w:vAlign w:val="bottom"/>
            <w:gridSpan w:val="10"/>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7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3"/>
          </w:tcPr>
          <w:p>
            <w:pPr>
              <w:jc w:val="center"/>
              <w:ind w:right="18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jc w:val="center"/>
              <w:ind w:left="675"/>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40"/>
              <w:spacing w:after="0" w:line="121"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6"/>
          </w:tcPr>
          <w:p>
            <w:pPr>
              <w:ind w:left="6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40"/>
              <w:spacing w:after="0" w:line="125"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80"/>
              <w:spacing w:after="0" w:line="125" w:lineRule="exact"/>
              <w:rPr>
                <w:sz w:val="20"/>
                <w:szCs w:val="20"/>
                <w:color w:val="auto"/>
              </w:rPr>
            </w:pPr>
            <w:r>
              <w:rPr>
                <w:rFonts w:ascii="Arial" w:cs="Arial" w:eastAsia="Arial" w:hAnsi="Arial"/>
                <w:sz w:val="11"/>
                <w:szCs w:val="11"/>
                <w:b w:val="1"/>
                <w:bCs w:val="1"/>
                <w:color w:val="auto"/>
                <w:w w:val="88"/>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6"/>
                <w:szCs w:val="16"/>
                <w:color w:val="0000FF"/>
                <w:w w:val="89"/>
              </w:rPr>
              <w:t>03/17/2021</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D</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0000FF"/>
              </w:rPr>
              <w:t>173,091</w:t>
            </w:r>
            <w:r>
              <w:rPr>
                <w:rFonts w:ascii="Arial" w:cs="Arial" w:eastAsia="Arial" w:hAnsi="Arial"/>
                <w:sz w:val="20"/>
                <w:szCs w:val="20"/>
                <w:color w:val="008000"/>
                <w:vertAlign w:val="superscript"/>
              </w:rPr>
              <w:t>(1)</w:t>
            </w:r>
          </w:p>
        </w:tc>
        <w:tc>
          <w:tcPr>
            <w:tcW w:w="18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0"/>
                <w:szCs w:val="10"/>
                <w:color w:val="008000"/>
              </w:rPr>
              <w:t>(2)(3)</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520"/>
              <w:spacing w:after="0"/>
              <w:rPr>
                <w:sz w:val="20"/>
                <w:szCs w:val="20"/>
                <w:color w:val="auto"/>
              </w:rPr>
            </w:pPr>
            <w:r>
              <w:rPr>
                <w:rFonts w:ascii="Arial" w:cs="Arial" w:eastAsia="Arial" w:hAnsi="Arial"/>
                <w:sz w:val="16"/>
                <w:szCs w:val="16"/>
                <w:color w:val="0000FF"/>
              </w:rPr>
              <w:t>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3"/>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700" w:type="dxa"/>
            <w:vAlign w:val="bottom"/>
            <w:gridSpan w:val="12"/>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43"/>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Phantom</w:t>
            </w:r>
          </w:p>
        </w:tc>
        <w:tc>
          <w:tcPr>
            <w:tcW w:w="620" w:type="dxa"/>
            <w:vAlign w:val="bottom"/>
            <w:vMerge w:val="restart"/>
          </w:tcPr>
          <w:p>
            <w:pPr>
              <w:jc w:val="center"/>
              <w:ind w:left="84"/>
              <w:spacing w:after="0"/>
              <w:rPr>
                <w:sz w:val="20"/>
                <w:szCs w:val="20"/>
                <w:color w:val="auto"/>
              </w:rPr>
            </w:pPr>
            <w:r>
              <w:rPr>
                <w:rFonts w:ascii="Arial" w:cs="Arial" w:eastAsia="Arial" w:hAnsi="Arial"/>
                <w:sz w:val="10"/>
                <w:szCs w:val="10"/>
                <w:color w:val="008000"/>
                <w:w w:val="97"/>
              </w:rPr>
              <w:t>(4)</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vMerge w:val="restart"/>
          </w:tcPr>
          <w:p>
            <w:pPr>
              <w:jc w:val="center"/>
              <w:ind w:left="182"/>
              <w:spacing w:after="0"/>
              <w:rPr>
                <w:sz w:val="20"/>
                <w:szCs w:val="20"/>
                <w:color w:val="auto"/>
              </w:rPr>
            </w:pPr>
            <w:r>
              <w:rPr>
                <w:rFonts w:ascii="Arial" w:cs="Arial" w:eastAsia="Arial" w:hAnsi="Arial"/>
                <w:sz w:val="12"/>
                <w:szCs w:val="12"/>
                <w:color w:val="0000FF"/>
                <w:w w:val="87"/>
              </w:rPr>
              <w:t>130,020</w:t>
            </w:r>
            <w:r>
              <w:rPr>
                <w:rFonts w:ascii="Arial" w:cs="Arial" w:eastAsia="Arial" w:hAnsi="Arial"/>
                <w:sz w:val="20"/>
                <w:szCs w:val="20"/>
                <w:color w:val="008000"/>
                <w:w w:val="87"/>
                <w:vertAlign w:val="superscript"/>
              </w:rPr>
              <w:t>(4)</w:t>
            </w:r>
          </w:p>
        </w:tc>
        <w:tc>
          <w:tcPr>
            <w:tcW w:w="800" w:type="dxa"/>
            <w:vAlign w:val="bottom"/>
            <w:gridSpan w:val="2"/>
            <w:vMerge w:val="restart"/>
          </w:tcPr>
          <w:p>
            <w:pPr>
              <w:jc w:val="center"/>
              <w:ind w:right="22"/>
              <w:spacing w:after="0"/>
              <w:rPr>
                <w:sz w:val="20"/>
                <w:szCs w:val="20"/>
                <w:color w:val="auto"/>
              </w:rPr>
            </w:pPr>
            <w:r>
              <w:rPr>
                <w:rFonts w:ascii="Arial" w:cs="Arial" w:eastAsia="Arial" w:hAnsi="Arial"/>
                <w:sz w:val="10"/>
                <w:szCs w:val="10"/>
                <w:color w:val="008000"/>
                <w:w w:val="97"/>
              </w:rPr>
              <w:t>(4)</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6"/>
              </w:rPr>
              <w:t>130,020</w:t>
            </w:r>
            <w:r>
              <w:rPr>
                <w:rFonts w:ascii="Arial" w:cs="Arial" w:eastAsia="Arial" w:hAnsi="Arial"/>
                <w:sz w:val="20"/>
                <w:szCs w:val="20"/>
                <w:color w:val="008000"/>
                <w:w w:val="86"/>
                <w:vertAlign w:val="superscript"/>
              </w:rPr>
              <w:t>(4)</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Arial" w:cs="Arial" w:eastAsia="Arial" w:hAnsi="Arial"/>
                <w:sz w:val="10"/>
                <w:szCs w:val="10"/>
                <w:color w:val="008000"/>
                <w:w w:val="97"/>
              </w:rPr>
              <w:t>(4)</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line="133" w:lineRule="exact"/>
              <w:rPr>
                <w:sz w:val="20"/>
                <w:szCs w:val="20"/>
                <w:color w:val="auto"/>
              </w:rPr>
            </w:pPr>
            <w:r>
              <w:rPr>
                <w:rFonts w:ascii="Arial" w:cs="Arial" w:eastAsia="Arial" w:hAnsi="Arial"/>
                <w:sz w:val="12"/>
                <w:szCs w:val="12"/>
                <w:color w:val="0000FF"/>
                <w:w w:val="93"/>
              </w:rPr>
              <w:t>03/17/2021</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318"/>
              <w:spacing w:after="0" w:line="133" w:lineRule="exact"/>
              <w:rPr>
                <w:sz w:val="20"/>
                <w:szCs w:val="20"/>
                <w:color w:val="auto"/>
              </w:rPr>
            </w:pPr>
            <w:r>
              <w:rPr>
                <w:rFonts w:ascii="Arial" w:cs="Arial" w:eastAsia="Arial" w:hAnsi="Arial"/>
                <w:sz w:val="12"/>
                <w:szCs w:val="12"/>
                <w:color w:val="0000FF"/>
              </w:rPr>
              <w:t>D</w:t>
            </w:r>
          </w:p>
        </w:tc>
        <w:tc>
          <w:tcPr>
            <w:tcW w:w="9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ind w:left="360"/>
              <w:spacing w:after="0" w:line="133" w:lineRule="exact"/>
              <w:rPr>
                <w:sz w:val="20"/>
                <w:szCs w:val="20"/>
                <w:color w:val="auto"/>
              </w:rPr>
            </w:pPr>
            <w:r>
              <w:rPr>
                <w:rFonts w:ascii="Arial" w:cs="Arial" w:eastAsia="Arial" w:hAnsi="Arial"/>
                <w:sz w:val="12"/>
                <w:szCs w:val="12"/>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ind w:left="160"/>
              <w:spacing w:after="0" w:line="125" w:lineRule="exact"/>
              <w:rPr>
                <w:sz w:val="20"/>
                <w:szCs w:val="20"/>
                <w:color w:val="auto"/>
              </w:rPr>
            </w:pPr>
            <w:r>
              <w:rPr>
                <w:rFonts w:ascii="Arial" w:cs="Arial" w:eastAsia="Arial" w:hAnsi="Arial"/>
                <w:sz w:val="12"/>
                <w:szCs w:val="12"/>
                <w:color w:val="0000FF"/>
                <w:w w:val="99"/>
              </w:rPr>
              <w:t>Stock</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21.69</w:t>
            </w:r>
          </w:p>
        </w:tc>
        <w:tc>
          <w:tcPr>
            <w:tcW w:w="120" w:type="dxa"/>
            <w:vAlign w:val="bottom"/>
          </w:tcPr>
          <w:p>
            <w:pPr>
              <w:spacing w:after="0"/>
              <w:rPr>
                <w:sz w:val="15"/>
                <w:szCs w:val="15"/>
                <w:color w:val="auto"/>
              </w:rPr>
            </w:pPr>
          </w:p>
        </w:tc>
        <w:tc>
          <w:tcPr>
            <w:tcW w:w="1000" w:type="dxa"/>
            <w:vAlign w:val="bottom"/>
            <w:vMerge w:val="restart"/>
          </w:tcPr>
          <w:p>
            <w:pPr>
              <w:jc w:val="center"/>
              <w:ind w:left="20"/>
              <w:spacing w:after="0"/>
              <w:rPr>
                <w:sz w:val="20"/>
                <w:szCs w:val="20"/>
                <w:color w:val="auto"/>
              </w:rPr>
            </w:pPr>
            <w:r>
              <w:rPr>
                <w:rFonts w:ascii="Arial" w:cs="Arial" w:eastAsia="Arial" w:hAnsi="Arial"/>
                <w:sz w:val="12"/>
                <w:szCs w:val="12"/>
                <w:color w:val="0000FF"/>
                <w:w w:val="93"/>
              </w:rPr>
              <w:t>03/17/2021</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center"/>
              <w:ind w:right="318"/>
              <w:spacing w:after="0"/>
              <w:rPr>
                <w:sz w:val="20"/>
                <w:szCs w:val="20"/>
                <w:color w:val="auto"/>
              </w:rPr>
            </w:pPr>
            <w:r>
              <w:rPr>
                <w:rFonts w:ascii="Arial" w:cs="Arial" w:eastAsia="Arial" w:hAnsi="Arial"/>
                <w:sz w:val="12"/>
                <w:szCs w:val="12"/>
                <w:color w:val="0000FF"/>
              </w:rPr>
              <w:t>D</w:t>
            </w:r>
          </w:p>
        </w:tc>
        <w:tc>
          <w:tcPr>
            <w:tcW w:w="960" w:type="dxa"/>
            <w:vAlign w:val="bottom"/>
            <w:vMerge w:val="restart"/>
          </w:tcPr>
          <w:p>
            <w:pPr>
              <w:jc w:val="center"/>
              <w:ind w:left="202"/>
              <w:spacing w:after="0"/>
              <w:rPr>
                <w:sz w:val="20"/>
                <w:szCs w:val="20"/>
                <w:color w:val="auto"/>
              </w:rPr>
            </w:pPr>
            <w:r>
              <w:rPr>
                <w:rFonts w:ascii="Arial" w:cs="Arial" w:eastAsia="Arial" w:hAnsi="Arial"/>
                <w:sz w:val="12"/>
                <w:szCs w:val="12"/>
                <w:color w:val="0000FF"/>
                <w:w w:val="92"/>
              </w:rPr>
              <w:t>12,058</w:t>
            </w:r>
          </w:p>
        </w:tc>
        <w:tc>
          <w:tcPr>
            <w:tcW w:w="8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0000FF"/>
                <w:w w:val="96"/>
              </w:rPr>
              <w:t>03/05/2018</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3"/>
              </w:rPr>
              <w:t>02/12/2022</w:t>
            </w:r>
          </w:p>
        </w:tc>
        <w:tc>
          <w:tcPr>
            <w:tcW w:w="660" w:type="dxa"/>
            <w:vAlign w:val="bottom"/>
            <w:gridSpan w:val="2"/>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12,058</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Arial" w:cs="Arial" w:eastAsia="Arial" w:hAnsi="Arial"/>
                <w:sz w:val="10"/>
                <w:szCs w:val="10"/>
                <w:color w:val="008000"/>
                <w:w w:val="97"/>
              </w:rPr>
              <w:t>(5)</w:t>
            </w:r>
          </w:p>
        </w:tc>
        <w:tc>
          <w:tcPr>
            <w:tcW w:w="52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Option</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restart"/>
          </w:tcPr>
          <w:p>
            <w:pPr>
              <w:ind w:left="160"/>
              <w:spacing w:after="0"/>
              <w:rPr>
                <w:sz w:val="20"/>
                <w:szCs w:val="20"/>
                <w:color w:val="auto"/>
              </w:rPr>
            </w:pPr>
            <w:r>
              <w:rPr>
                <w:rFonts w:ascii="Arial" w:cs="Arial" w:eastAsia="Arial" w:hAnsi="Arial"/>
                <w:sz w:val="12"/>
                <w:szCs w:val="12"/>
                <w:color w:val="0000FF"/>
                <w:w w:val="99"/>
              </w:rPr>
              <w:t>Stock</w:t>
            </w: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10.12</w:t>
            </w:r>
          </w:p>
        </w:tc>
        <w:tc>
          <w:tcPr>
            <w:tcW w:w="120" w:type="dxa"/>
            <w:vAlign w:val="bottom"/>
          </w:tcPr>
          <w:p>
            <w:pPr>
              <w:spacing w:after="0"/>
              <w:rPr>
                <w:sz w:val="15"/>
                <w:szCs w:val="15"/>
                <w:color w:val="auto"/>
              </w:rPr>
            </w:pPr>
          </w:p>
        </w:tc>
        <w:tc>
          <w:tcPr>
            <w:tcW w:w="1000" w:type="dxa"/>
            <w:vAlign w:val="bottom"/>
            <w:vMerge w:val="restart"/>
          </w:tcPr>
          <w:p>
            <w:pPr>
              <w:jc w:val="center"/>
              <w:ind w:left="20"/>
              <w:spacing w:after="0"/>
              <w:rPr>
                <w:sz w:val="20"/>
                <w:szCs w:val="20"/>
                <w:color w:val="auto"/>
              </w:rPr>
            </w:pPr>
            <w:r>
              <w:rPr>
                <w:rFonts w:ascii="Arial" w:cs="Arial" w:eastAsia="Arial" w:hAnsi="Arial"/>
                <w:sz w:val="12"/>
                <w:szCs w:val="12"/>
                <w:color w:val="0000FF"/>
                <w:w w:val="93"/>
              </w:rPr>
              <w:t>03/17/2021</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center"/>
              <w:ind w:right="318"/>
              <w:spacing w:after="0"/>
              <w:rPr>
                <w:sz w:val="20"/>
                <w:szCs w:val="20"/>
                <w:color w:val="auto"/>
              </w:rPr>
            </w:pPr>
            <w:r>
              <w:rPr>
                <w:rFonts w:ascii="Arial" w:cs="Arial" w:eastAsia="Arial" w:hAnsi="Arial"/>
                <w:sz w:val="12"/>
                <w:szCs w:val="12"/>
                <w:color w:val="0000FF"/>
              </w:rPr>
              <w:t>D</w:t>
            </w:r>
          </w:p>
        </w:tc>
        <w:tc>
          <w:tcPr>
            <w:tcW w:w="960" w:type="dxa"/>
            <w:vAlign w:val="bottom"/>
            <w:vMerge w:val="restart"/>
          </w:tcPr>
          <w:p>
            <w:pPr>
              <w:jc w:val="center"/>
              <w:ind w:left="202"/>
              <w:spacing w:after="0"/>
              <w:rPr>
                <w:sz w:val="20"/>
                <w:szCs w:val="20"/>
                <w:color w:val="auto"/>
              </w:rPr>
            </w:pPr>
            <w:r>
              <w:rPr>
                <w:rFonts w:ascii="Arial" w:cs="Arial" w:eastAsia="Arial" w:hAnsi="Arial"/>
                <w:sz w:val="12"/>
                <w:szCs w:val="12"/>
                <w:color w:val="0000FF"/>
                <w:w w:val="92"/>
              </w:rPr>
              <w:t>10,880</w:t>
            </w:r>
          </w:p>
        </w:tc>
        <w:tc>
          <w:tcPr>
            <w:tcW w:w="8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0000FF"/>
                <w:w w:val="96"/>
              </w:rPr>
              <w:t>03/05/2019</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3"/>
              </w:rPr>
              <w:t>02/16/2023</w:t>
            </w:r>
          </w:p>
        </w:tc>
        <w:tc>
          <w:tcPr>
            <w:tcW w:w="660" w:type="dxa"/>
            <w:vAlign w:val="bottom"/>
            <w:gridSpan w:val="2"/>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10,880</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Arial" w:cs="Arial" w:eastAsia="Arial" w:hAnsi="Arial"/>
                <w:sz w:val="10"/>
                <w:szCs w:val="10"/>
                <w:color w:val="008000"/>
                <w:w w:val="97"/>
              </w:rPr>
              <w:t>(5)</w:t>
            </w:r>
          </w:p>
        </w:tc>
        <w:tc>
          <w:tcPr>
            <w:tcW w:w="52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Option</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restart"/>
          </w:tcPr>
          <w:p>
            <w:pPr>
              <w:ind w:left="160"/>
              <w:spacing w:after="0"/>
              <w:rPr>
                <w:sz w:val="20"/>
                <w:szCs w:val="20"/>
                <w:color w:val="auto"/>
              </w:rPr>
            </w:pPr>
            <w:r>
              <w:rPr>
                <w:rFonts w:ascii="Arial" w:cs="Arial" w:eastAsia="Arial" w:hAnsi="Arial"/>
                <w:sz w:val="12"/>
                <w:szCs w:val="12"/>
                <w:color w:val="0000FF"/>
                <w:w w:val="99"/>
              </w:rPr>
              <w:t>Stock</w:t>
            </w: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16.98</w:t>
            </w:r>
          </w:p>
        </w:tc>
        <w:tc>
          <w:tcPr>
            <w:tcW w:w="120" w:type="dxa"/>
            <w:vAlign w:val="bottom"/>
          </w:tcPr>
          <w:p>
            <w:pPr>
              <w:spacing w:after="0"/>
              <w:rPr>
                <w:sz w:val="15"/>
                <w:szCs w:val="15"/>
                <w:color w:val="auto"/>
              </w:rPr>
            </w:pPr>
          </w:p>
        </w:tc>
        <w:tc>
          <w:tcPr>
            <w:tcW w:w="1000" w:type="dxa"/>
            <w:vAlign w:val="bottom"/>
            <w:vMerge w:val="restart"/>
          </w:tcPr>
          <w:p>
            <w:pPr>
              <w:jc w:val="center"/>
              <w:ind w:left="20"/>
              <w:spacing w:after="0"/>
              <w:rPr>
                <w:sz w:val="20"/>
                <w:szCs w:val="20"/>
                <w:color w:val="auto"/>
              </w:rPr>
            </w:pPr>
            <w:r>
              <w:rPr>
                <w:rFonts w:ascii="Arial" w:cs="Arial" w:eastAsia="Arial" w:hAnsi="Arial"/>
                <w:sz w:val="12"/>
                <w:szCs w:val="12"/>
                <w:color w:val="0000FF"/>
                <w:w w:val="93"/>
              </w:rPr>
              <w:t>03/17/2021</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center"/>
              <w:ind w:right="318"/>
              <w:spacing w:after="0"/>
              <w:rPr>
                <w:sz w:val="20"/>
                <w:szCs w:val="20"/>
                <w:color w:val="auto"/>
              </w:rPr>
            </w:pPr>
            <w:r>
              <w:rPr>
                <w:rFonts w:ascii="Arial" w:cs="Arial" w:eastAsia="Arial" w:hAnsi="Arial"/>
                <w:sz w:val="12"/>
                <w:szCs w:val="12"/>
                <w:color w:val="0000FF"/>
              </w:rPr>
              <w:t>D</w:t>
            </w:r>
          </w:p>
        </w:tc>
        <w:tc>
          <w:tcPr>
            <w:tcW w:w="960" w:type="dxa"/>
            <w:vAlign w:val="bottom"/>
            <w:vMerge w:val="restart"/>
          </w:tcPr>
          <w:p>
            <w:pPr>
              <w:jc w:val="center"/>
              <w:ind w:left="202"/>
              <w:spacing w:after="0"/>
              <w:rPr>
                <w:sz w:val="20"/>
                <w:szCs w:val="20"/>
                <w:color w:val="auto"/>
              </w:rPr>
            </w:pPr>
            <w:r>
              <w:rPr>
                <w:rFonts w:ascii="Arial" w:cs="Arial" w:eastAsia="Arial" w:hAnsi="Arial"/>
                <w:sz w:val="12"/>
                <w:szCs w:val="12"/>
                <w:color w:val="0000FF"/>
                <w:w w:val="92"/>
              </w:rPr>
              <w:t>10,237</w:t>
            </w:r>
          </w:p>
        </w:tc>
        <w:tc>
          <w:tcPr>
            <w:tcW w:w="800" w:type="dxa"/>
            <w:vAlign w:val="bottom"/>
            <w:gridSpan w:val="2"/>
            <w:vMerge w:val="restart"/>
          </w:tcPr>
          <w:p>
            <w:pPr>
              <w:jc w:val="center"/>
              <w:ind w:right="22"/>
              <w:spacing w:after="0"/>
              <w:rPr>
                <w:sz w:val="20"/>
                <w:szCs w:val="20"/>
                <w:color w:val="auto"/>
              </w:rPr>
            </w:pPr>
            <w:r>
              <w:rPr>
                <w:rFonts w:ascii="Arial" w:cs="Arial" w:eastAsia="Arial" w:hAnsi="Arial"/>
                <w:sz w:val="10"/>
                <w:szCs w:val="10"/>
                <w:color w:val="008000"/>
                <w:w w:val="97"/>
              </w:rPr>
              <w:t>(6)</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3"/>
              </w:rPr>
              <w:t>02/13/2024</w:t>
            </w:r>
          </w:p>
        </w:tc>
        <w:tc>
          <w:tcPr>
            <w:tcW w:w="660" w:type="dxa"/>
            <w:vAlign w:val="bottom"/>
            <w:gridSpan w:val="2"/>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10,237</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Arial" w:cs="Arial" w:eastAsia="Arial" w:hAnsi="Arial"/>
                <w:sz w:val="10"/>
                <w:szCs w:val="10"/>
                <w:color w:val="008000"/>
                <w:w w:val="97"/>
              </w:rPr>
              <w:t>(5)</w:t>
            </w:r>
          </w:p>
        </w:tc>
        <w:tc>
          <w:tcPr>
            <w:tcW w:w="52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Option</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restart"/>
          </w:tcPr>
          <w:p>
            <w:pPr>
              <w:ind w:left="160"/>
              <w:spacing w:after="0"/>
              <w:rPr>
                <w:sz w:val="20"/>
                <w:szCs w:val="20"/>
                <w:color w:val="auto"/>
              </w:rPr>
            </w:pPr>
            <w:r>
              <w:rPr>
                <w:rFonts w:ascii="Arial" w:cs="Arial" w:eastAsia="Arial" w:hAnsi="Arial"/>
                <w:sz w:val="12"/>
                <w:szCs w:val="12"/>
                <w:color w:val="0000FF"/>
                <w:w w:val="99"/>
              </w:rPr>
              <w:t>Stock</w:t>
            </w: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-3390265</wp:posOffset>
            </wp:positionV>
            <wp:extent cx="7035800" cy="3430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43090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160" w:hanging="123"/>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amount includes 83,443 shares of common stock of QEP Resources, Inc. ("QEP") subject to restricted stock awards.</w:t>
      </w:r>
    </w:p>
    <w:p>
      <w:pPr>
        <w:spacing w:after="0" w:line="48" w:lineRule="exact"/>
        <w:rPr>
          <w:rFonts w:ascii="Arial" w:cs="Arial" w:eastAsia="Arial" w:hAnsi="Arial"/>
          <w:sz w:val="12"/>
          <w:szCs w:val="12"/>
          <w:color w:val="008000"/>
        </w:rPr>
      </w:pPr>
    </w:p>
    <w:p>
      <w:pPr>
        <w:jc w:val="both"/>
        <w:ind w:left="40" w:right="160" w:hanging="3"/>
        <w:spacing w:after="0" w:line="249" w:lineRule="auto"/>
        <w:tabs>
          <w:tab w:leader="none" w:pos="16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March 17, 2021, pursuant to the Agreement and Plan of Merger dated as of December 20, 2020 (the "Merger Agreement"), by and among Diamondback Energy, Inc. ("Diamondback"), Bohemia Merger Sub Inc., a wholly owned subsidiary of Diamondback ("Merger Sub"), and QEP, Merger Sub merged with and into QEP (the "Merger") with QEP surviving the Merger as a wholly-owned subsidiary of Diamondback. Pursuant to the Merger Agreement, each share of QEP common stock issued and outstanding immediately prior to the effective time of the Merger (the "Effective Time") (subject to certain exceptions) was converted into the right to receive 0.05 shares of Diamondback common stock (the "Exchange Ratio").</w:t>
      </w:r>
    </w:p>
    <w:p>
      <w:pPr>
        <w:spacing w:after="0" w:line="24" w:lineRule="exact"/>
        <w:rPr>
          <w:rFonts w:ascii="Arial" w:cs="Arial" w:eastAsia="Arial" w:hAnsi="Arial"/>
          <w:sz w:val="12"/>
          <w:szCs w:val="12"/>
          <w:color w:val="008000"/>
        </w:rPr>
      </w:pPr>
    </w:p>
    <w:p>
      <w:pPr>
        <w:ind w:left="40" w:right="260" w:hanging="3"/>
        <w:spacing w:after="0" w:line="254" w:lineRule="auto"/>
        <w:tabs>
          <w:tab w:leader="none" w:pos="16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any shares of QEP common stock subject to restricted stock awards were converted into a number of time-based restricted shares of Diamondback common stock (rounded to the nearest whole share) equal to the product of (i) the total number of shares of QEP common stock subject to such award immediately prior to the Effective Time multiplied by (ii) the Exchange Ratio.</w:t>
      </w:r>
    </w:p>
    <w:p>
      <w:pPr>
        <w:spacing w:after="0" w:line="22" w:lineRule="exact"/>
        <w:rPr>
          <w:rFonts w:ascii="Arial" w:cs="Arial" w:eastAsia="Arial" w:hAnsi="Arial"/>
          <w:sz w:val="12"/>
          <w:szCs w:val="12"/>
          <w:color w:val="008000"/>
        </w:rPr>
      </w:pPr>
    </w:p>
    <w:p>
      <w:pPr>
        <w:ind w:left="40" w:right="180" w:hanging="3"/>
        <w:spacing w:after="0" w:line="279" w:lineRule="auto"/>
        <w:tabs>
          <w:tab w:leader="none" w:pos="164"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Pursuant to the Merger Agreement, at the Effective Time, each unvested award of performance share units denominated in shares of QEP common stock that was outstanding immediately prior to the Effective Time was converted into time-based restricted stock units in respect of that number of shares of Diamondback common stock (rounded to the nearest whole share) equal to the product of (i) the number of shares of QEP common stock subject to such award immediately prior to the Effective Time that would have been earned under the applicable terms of such award based upon the higher of (A) 100% of the target level of performance and (B) actual performance through the closing date (as determined by the compensation committee of QEP's board of directors) multiplied by (ii) the Exchange Ratio.</w:t>
      </w:r>
    </w:p>
    <w:p>
      <w:pPr>
        <w:spacing w:after="0" w:line="9" w:lineRule="exact"/>
        <w:rPr>
          <w:rFonts w:ascii="Arial" w:cs="Arial" w:eastAsia="Arial" w:hAnsi="Arial"/>
          <w:sz w:val="11"/>
          <w:szCs w:val="11"/>
          <w:color w:val="008000"/>
        </w:rPr>
      </w:pPr>
    </w:p>
    <w:p>
      <w:pPr>
        <w:ind w:left="40" w:right="600" w:hanging="3"/>
        <w:spacing w:after="0" w:line="271" w:lineRule="auto"/>
        <w:tabs>
          <w:tab w:leader="none" w:pos="16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each option to purchase shares of QEP common stock that was outstanding immediately prior to the Effective Time, whether vested or unvested, was cancelled without any payment or other consideration required to be made in respect thereof.</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option vested in three annual installments beginning on March 5, 2018, subject to accelerated vesting upon the occurrence of certain events as set forth in the award agreement.</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Arial" w:cs="Arial" w:eastAsia="Arial" w:hAnsi="Arial"/>
                <w:sz w:val="16"/>
                <w:szCs w:val="16"/>
                <w:color w:val="0000FF"/>
              </w:rPr>
              <w:t>/s/ Alice B. Ley</w:t>
            </w: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03/17/2021</w:t>
            </w:r>
          </w:p>
        </w:tc>
      </w:tr>
      <w:tr>
        <w:trPr>
          <w:trHeight w:val="20"/>
        </w:trPr>
        <w:tc>
          <w:tcPr>
            <w:tcW w:w="10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5"/>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3"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2075" TargetMode="External"/><Relationship Id="rId14" Type="http://schemas.openxmlformats.org/officeDocument/2006/relationships/hyperlink" Target="http://www.sec.gov/cgi-bin/browse-edgar?action=getcompany&amp;CIK=0001108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2021-03-17T19:24:47Z</dcterms:created>
  <dcterms:modified xsi:type="dcterms:W3CDTF">2021-03-17T19:24:47Z</dcterms:modified>
</cp:coreProperties>
</file>