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17, 2021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333-223553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 NO. 333-223553</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QEP RESOURCES,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87-0287750</w:t>
      </w:r>
    </w:p>
    <w:p>
      <w:pPr>
        <w:spacing w:after="0" w:line="12" w:lineRule="exact"/>
        <w:rPr>
          <w:sz w:val="24"/>
          <w:szCs w:val="24"/>
          <w:color w:val="auto"/>
        </w:rPr>
      </w:pPr>
    </w:p>
    <w:p>
      <w:pPr>
        <w:sectPr>
          <w:pgSz w:w="11900" w:h="16838" w:orient="portrait"/>
          <w:cols w:equalWidth="0" w:num="2">
            <w:col w:w="7180" w:space="720"/>
            <w:col w:w="312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1050 17</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Street, Suite 800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Denver, Colorado 80265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303-672-6900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type w:val="continuous"/>
        </w:sect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Teresa L. Dick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Accounting Officer and Assistant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QEP Resources,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1050 17</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Street, Suite 800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Denver, Colorado 80265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303-672-6900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Seth R. Molay, 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Akin Gump Strauss Hauer &amp; Feld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2300 N. Field Street, Suite 1800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969-4780</w:t>
      </w:r>
    </w:p>
    <w:p>
      <w:pPr>
        <w:ind w:left="4300"/>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w:t>
      </w:r>
    </w:p>
    <w:p>
      <w:pPr>
        <w:spacing w:after="0" w:line="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being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type w:val="continuous"/>
        </w:sectPr>
      </w:pPr>
    </w:p>
    <w:bookmarkStart w:id="1" w:name="page2"/>
    <w:bookmarkEnd w:id="1"/>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5" w:lineRule="exact"/>
        <w:rPr>
          <w:sz w:val="20"/>
          <w:szCs w:val="20"/>
          <w:color w:val="auto"/>
        </w:rPr>
      </w:pPr>
    </w:p>
    <w:p>
      <w:pPr>
        <w:ind w:right="540" w:firstLine="440"/>
        <w:spacing w:after="0" w:line="268" w:lineRule="auto"/>
        <w:rPr>
          <w:sz w:val="20"/>
          <w:szCs w:val="20"/>
          <w:color w:val="auto"/>
        </w:rPr>
      </w:pPr>
      <w:r>
        <w:rPr>
          <w:rFonts w:ascii="Times New Roman" w:cs="Times New Roman" w:eastAsia="Times New Roman" w:hAnsi="Times New Roman"/>
          <w:sz w:val="18"/>
          <w:szCs w:val="18"/>
          <w:color w:val="auto"/>
        </w:rPr>
        <w:t>This Post-Effective Amendment (this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relates to the Registration Statement on Form S-3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filed by QEP Resources,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March 9, 2018.</w:t>
      </w:r>
    </w:p>
    <w:p>
      <w:pPr>
        <w:spacing w:after="0" w:line="171"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On March 17, 2021, pursuant to the Agreement and Plan of Merger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dated as of December 20, 2020, by and among Diamondback Energy, Inc. (“</w:t>
      </w:r>
      <w:r>
        <w:rPr>
          <w:rFonts w:ascii="Times New Roman" w:cs="Times New Roman" w:eastAsia="Times New Roman" w:hAnsi="Times New Roman"/>
          <w:sz w:val="18"/>
          <w:szCs w:val="18"/>
          <w:b w:val="1"/>
          <w:bCs w:val="1"/>
          <w:color w:val="auto"/>
        </w:rPr>
        <w:t>Diamondback</w:t>
      </w:r>
      <w:r>
        <w:rPr>
          <w:rFonts w:ascii="Times New Roman" w:cs="Times New Roman" w:eastAsia="Times New Roman" w:hAnsi="Times New Roman"/>
          <w:sz w:val="18"/>
          <w:szCs w:val="18"/>
          <w:color w:val="auto"/>
        </w:rPr>
        <w:t>”), Bohemia Merger Sub Inc., a wholly owned subsidiary of Diamondback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the Company, Merger Sub merged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surviving the Merger as a wholly owned subsidiary of Diamondback.</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 the Company has terminated any and all offerings of the Company’s securities pursuant to the Registration Statement. Accordingly, the Company hereby terminates the effectiveness of the Registration Statement and, in accordance with an undertaking made by the Company in Part II of the Registration Statement to remove from registration, by means of a post-effective amendment, any securities that had been registered for issuance but remain unsold at the termination of the offering, removes from registration any and all securities registered but unsold under the Registration Statement as of the date hereof.</w:t>
      </w:r>
    </w:p>
    <w:p>
      <w:pPr>
        <w:sectPr>
          <w:pgSz w:w="11900" w:h="16838" w:orient="portrait"/>
          <w:cols w:equalWidth="0" w:num="1">
            <w:col w:w="11000"/>
          </w:cols>
          <w:pgMar w:left="440" w:top="266" w:right="4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Company certifies that it has reasonable grounds to believe that it meets all of the requirements for filing on Form S-3 and has duly caused this Post-Effective Amendment to the Registration Statement to be signed on its behalf by the undersigned, thereunto duly authorized, in Oklahoma City, State of Oklahoma, on March 17, 2021.</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QEP RESOURCES, INC</w:t>
      </w:r>
    </w:p>
    <w:p>
      <w:pPr>
        <w:spacing w:after="0" w:line="225" w:lineRule="exact"/>
        <w:rPr>
          <w:sz w:val="20"/>
          <w:szCs w:val="20"/>
          <w:color w:val="auto"/>
        </w:rPr>
      </w:pPr>
    </w:p>
    <w:p>
      <w:pPr>
        <w:ind w:left="6620"/>
        <w:spacing w:after="0"/>
        <w:tabs>
          <w:tab w:leader="none" w:pos="7180" w:val="left"/>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Teresa L. Dick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Chief Accounting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 Assistant Secretary</w:t>
      </w:r>
    </w:p>
    <w:p>
      <w:pPr>
        <w:spacing w:after="0" w:line="234"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Note: Pursuant to Rule 478 of the Securities Act of 1933, as amended, no other person is required to sign this Post-Effective Amendment to the Registration Statement.</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2021-03-17T15:58:27Z</dcterms:created>
  <dcterms:modified xsi:type="dcterms:W3CDTF">2021-03-17T15:58:27Z</dcterms:modified>
</cp:coreProperties>
</file>