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00" w:lineRule="exact"/>
        <w:rPr>
          <w:sz w:val="24"/>
          <w:szCs w:val="24"/>
          <w:color w:val="auto"/>
        </w:rPr>
      </w:pPr>
    </w:p>
    <w:p>
      <w:pPr>
        <w:ind w:left="700" w:right="2180" w:hanging="665"/>
        <w:spacing w:after="0" w:line="286" w:lineRule="auto"/>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333" w:lineRule="exact"/>
        <w:rPr>
          <w:sz w:val="24"/>
          <w:szCs w:val="24"/>
          <w:color w:val="auto"/>
        </w:rPr>
      </w:pPr>
    </w:p>
    <w:p>
      <w:pPr>
        <w:ind w:left="700" w:right="2160" w:hanging="665"/>
        <w:spacing w:after="0" w:line="286"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001-34778</w:t>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QEP RESOURCES, INC.</w:t>
      </w:r>
    </w:p>
    <w:p>
      <w:pPr>
        <w:spacing w:after="0" w:line="2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20"/>
          </w:cols>
          <w:pgMar w:left="240" w:top="921"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63"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921" w:right="339" w:bottom="1440" w:gutter="0" w:footer="0" w:header="0"/>
          <w:type w:val="continuous"/>
        </w:sectPr>
      </w:pPr>
    </w:p>
    <w:p>
      <w:pPr>
        <w:spacing w:after="0" w:line="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1050 17</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7"/>
          <w:szCs w:val="17"/>
          <w:b w:val="1"/>
          <w:bCs w:val="1"/>
          <w:color w:val="auto"/>
        </w:rPr>
        <w:t xml:space="preserve"> Street, Suite 800, Denver, Colorado 80265</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ectPr>
          <w:pgSz w:w="11900" w:h="16838" w:orient="portrait"/>
          <w:cols w:equalWidth="0" w:num="1">
            <w:col w:w="11320"/>
          </w:cols>
          <w:pgMar w:left="240" w:top="921" w:right="339" w:bottom="1440" w:gutter="0" w:footer="0" w:header="0"/>
          <w:type w:val="continuous"/>
        </w:sectPr>
      </w:pP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921" w:right="339" w:bottom="1440" w:gutter="0" w:footer="0" w:header="0"/>
          <w:type w:val="continuous"/>
        </w:sectPr>
      </w:pPr>
    </w:p>
    <w:p>
      <w:pPr>
        <w:spacing w:after="0" w:line="3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63" w:lineRule="exact"/>
        <w:rPr>
          <w:sz w:val="24"/>
          <w:szCs w:val="24"/>
          <w:color w:val="auto"/>
        </w:rPr>
      </w:pPr>
    </w:p>
    <w:p>
      <w:pPr>
        <w:sectPr>
          <w:pgSz w:w="11900" w:h="16838" w:orient="portrait"/>
          <w:cols w:equalWidth="0" w:num="4">
            <w:col w:w="1660" w:space="520"/>
            <w:col w:w="4800" w:space="720"/>
            <w:col w:w="2720" w:space="720"/>
            <w:col w:w="180"/>
          </w:cols>
          <w:pgMar w:left="240" w:top="92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921" w:right="339" w:bottom="1440" w:gutter="0" w:footer="0" w:header="0"/>
          <w:type w:val="continuous"/>
        </w:sectPr>
      </w:pPr>
    </w:p>
    <w:p>
      <w:pPr>
        <w:spacing w:after="0" w:line="2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March 31, 2015, there were 176,661,336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2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QEP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28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PART I. FINANCIAL INFORMATION</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STATEMENTS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STATEMENTS OF OPERATIONS FOR THE THREE</w:t>
              </w:r>
            </w:hyperlink>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6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MONTHS ENDED MARCH 31, 2015 AND 2014</w:t>
              </w:r>
            </w:hyperlink>
          </w:p>
        </w:tc>
        <w:tc>
          <w:tcPr>
            <w:tcW w:w="560" w:type="dxa"/>
            <w:vAlign w:val="bottom"/>
            <w:tcBorders>
              <w:top w:val="single" w:sz="8" w:color="CCEEFF"/>
            </w:tcBorders>
            <w:gridSpan w:val="3"/>
            <w:shd w:val="clear" w:color="auto" w:fill="CCEEFF"/>
          </w:tcPr>
          <w:p>
            <w:pPr>
              <w:spacing w:after="0"/>
              <w:rPr>
                <w:sz w:val="21"/>
                <w:szCs w:val="21"/>
                <w:color w:val="auto"/>
              </w:rPr>
            </w:pPr>
          </w:p>
        </w:tc>
        <w:tc>
          <w:tcPr>
            <w:tcW w:w="1140" w:type="dxa"/>
            <w:vAlign w:val="bottom"/>
            <w:tcBorders>
              <w:top w:val="single" w:sz="8" w:color="CCEEFF"/>
            </w:tcBorders>
            <w:gridSpan w:val="4"/>
            <w:shd w:val="clear" w:color="auto" w:fill="CCEEFF"/>
          </w:tcPr>
          <w:p>
            <w:pPr>
              <w:jc w:val="right"/>
              <w:ind w:right="20"/>
              <w:spacing w:after="0" w:line="19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0"/>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CONDENSED CONSOLIDATED STATEMENTS OF COMPREHENSIVE INCOME FOR</w:t>
              </w:r>
            </w:hyperlink>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1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THE THREE MONTHS ENDED MARCH 31, 2015 AND 2014</w:t>
              </w:r>
            </w:hyperlink>
          </w:p>
        </w:tc>
        <w:tc>
          <w:tcPr>
            <w:tcW w:w="1140" w:type="dxa"/>
            <w:vAlign w:val="bottom"/>
            <w:gridSpan w:val="4"/>
            <w:shd w:val="clear" w:color="auto" w:fill="CCEEFF"/>
          </w:tcPr>
          <w:p>
            <w:pPr>
              <w:jc w:val="right"/>
              <w:ind w:right="20"/>
              <w:spacing w:after="0" w:line="19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020" w:type="dxa"/>
            <w:vAlign w:val="bottom"/>
            <w:tcBorders>
              <w:top w:val="single" w:sz="8" w:color="0000EE"/>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EE"/>
            </w:tcBorders>
            <w:gridSpan w:val="1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CONDENSED CONSOLIDATED BALANCE SHEETS AT MARCH 31, 2015 AND</w:t>
              </w:r>
            </w:hyperlink>
          </w:p>
        </w:tc>
        <w:tc>
          <w:tcPr>
            <w:tcW w:w="880" w:type="dxa"/>
            <w:vAlign w:val="bottom"/>
            <w:tcBorders>
              <w:bottom w:val="single" w:sz="8" w:color="CCEEFF"/>
            </w:tcBorders>
            <w:gridSpan w:val="4"/>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1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DECEMBER 31, 2014</w:t>
              </w:r>
            </w:hyperlink>
          </w:p>
        </w:tc>
        <w:tc>
          <w:tcPr>
            <w:tcW w:w="1140" w:type="dxa"/>
            <w:vAlign w:val="bottom"/>
            <w:gridSpan w:val="4"/>
            <w:shd w:val="clear" w:color="auto" w:fill="CCEEFF"/>
          </w:tcPr>
          <w:p>
            <w:pPr>
              <w:jc w:val="right"/>
              <w:ind w:right="20"/>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 FOR THE THREE</w:t>
              </w:r>
            </w:hyperlink>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66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MONTHS ENDED MARCH 31, 2015 AND 2014</w:t>
              </w:r>
            </w:hyperlink>
          </w:p>
        </w:tc>
        <w:tc>
          <w:tcPr>
            <w:tcW w:w="520" w:type="dxa"/>
            <w:vAlign w:val="bottom"/>
            <w:tcBorders>
              <w:top w:val="single" w:sz="8" w:color="CCEEFF"/>
            </w:tcBorders>
            <w:gridSpan w:val="2"/>
            <w:shd w:val="clear" w:color="auto" w:fill="CCEEFF"/>
          </w:tcPr>
          <w:p>
            <w:pPr>
              <w:spacing w:after="0"/>
              <w:rPr>
                <w:sz w:val="21"/>
                <w:szCs w:val="21"/>
                <w:color w:val="auto"/>
              </w:rPr>
            </w:pPr>
          </w:p>
        </w:tc>
        <w:tc>
          <w:tcPr>
            <w:tcW w:w="1140" w:type="dxa"/>
            <w:vAlign w:val="bottom"/>
            <w:tcBorders>
              <w:top w:val="single" w:sz="8" w:color="CCEEFF"/>
            </w:tcBorders>
            <w:gridSpan w:val="4"/>
            <w:shd w:val="clear" w:color="auto" w:fill="CCEEFF"/>
          </w:tcPr>
          <w:p>
            <w:pPr>
              <w:jc w:val="right"/>
              <w:ind w:right="20"/>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UNAUDITED NOTES ACCOMPANYING THE CONDENSED CONSOLIDATED FINANCIAL</w:t>
              </w:r>
            </w:hyperlink>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STATEMENTS</w:t>
              </w:r>
            </w:hyperlink>
          </w:p>
        </w:tc>
        <w:tc>
          <w:tcPr>
            <w:tcW w:w="1040" w:type="dxa"/>
            <w:vAlign w:val="bottom"/>
            <w:tcBorders>
              <w:top w:val="single" w:sz="8" w:color="CCEEFF"/>
            </w:tcBorders>
            <w:gridSpan w:val="5"/>
            <w:shd w:val="clear" w:color="auto" w:fill="CCEEFF"/>
          </w:tcPr>
          <w:p>
            <w:pPr>
              <w:spacing w:after="0"/>
              <w:rPr>
                <w:sz w:val="21"/>
                <w:szCs w:val="21"/>
                <w:color w:val="auto"/>
              </w:rPr>
            </w:pPr>
          </w:p>
        </w:tc>
        <w:tc>
          <w:tcPr>
            <w:tcW w:w="1140" w:type="dxa"/>
            <w:vAlign w:val="bottom"/>
            <w:tcBorders>
              <w:top w:val="single" w:sz="8" w:color="CCEEFF"/>
            </w:tcBorders>
            <w:gridSpan w:val="4"/>
            <w:shd w:val="clear" w:color="auto" w:fill="CCEEFF"/>
          </w:tcPr>
          <w:p>
            <w:pPr>
              <w:jc w:val="right"/>
              <w:ind w:right="20"/>
              <w:spacing w:after="0" w:line="19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780" w:type="dxa"/>
            <w:vAlign w:val="bottom"/>
            <w:tcBorders>
              <w:bottom w:val="single" w:sz="8" w:color="0000FF"/>
            </w:tcBorders>
            <w:gridSpan w:val="20"/>
            <w:shd w:val="clear" w:color="auto" w:fill="CCEEFF"/>
          </w:tcPr>
          <w:p>
            <w:pPr>
              <w:spacing w:after="0" w:line="202" w:lineRule="exact"/>
              <w:rPr>
                <w:rFonts w:ascii="Times New Roman" w:cs="Times New Roman" w:eastAsia="Times New Roman" w:hAnsi="Times New Roman"/>
                <w:sz w:val="18"/>
                <w:szCs w:val="18"/>
                <w:color w:val="0000FF"/>
                <w:w w:val="99"/>
              </w:rPr>
            </w:pPr>
            <w:hyperlink w:anchor="page22">
              <w:r>
                <w:rPr>
                  <w:rFonts w:ascii="Times New Roman" w:cs="Times New Roman" w:eastAsia="Times New Roman" w:hAnsi="Times New Roman"/>
                  <w:sz w:val="18"/>
                  <w:szCs w:val="18"/>
                  <w:color w:val="0000FF"/>
                  <w:w w:val="99"/>
                </w:rPr>
                <w:t>MANAGEMENT’S DISCUSSION AND ANALYSIS OF FINANCIAL CONDITION AND RESULTS OF</w:t>
              </w:r>
            </w:hyperlink>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1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OPERATIONS</w:t>
              </w:r>
            </w:hyperlink>
          </w:p>
        </w:tc>
        <w:tc>
          <w:tcPr>
            <w:tcW w:w="1140" w:type="dxa"/>
            <w:vAlign w:val="bottom"/>
            <w:gridSpan w:val="4"/>
            <w:shd w:val="clear" w:color="auto" w:fill="CCEEFF"/>
          </w:tcPr>
          <w:p>
            <w:pPr>
              <w:jc w:val="right"/>
              <w:ind w:right="20"/>
              <w:spacing w:after="0" w:line="196" w:lineRule="exact"/>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21</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QUANTITATIVE AND QUALITATIVE DISCLOSURES ABOUT MARKET RISK</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14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CONTROLS AND PROCEDURES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28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PART II. OTHER INFORMATION</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LEGAL PROCEEDINGS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RISK FACTORS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UNREGISTERED SALES OF EQUITY SECURITIES AND USE OF PROCEEDS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14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DEFAULTS UPON SENIOR SECURITIES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MINE SAFETY DISCLOSURES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OTHER INFORMATION</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EXHIBITS</w:t>
              </w:r>
            </w:hyperlink>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100" w:type="dxa"/>
            <w:vAlign w:val="bottom"/>
            <w:gridSpan w:val="3"/>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4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QEP RESOURCES, INC.</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March 31,</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sales</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sales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Purchased gas and oil sales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491.6</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gas and oil expense</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169.4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Gas, oil and NGL transportation and other handling costs</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Gathering and other expense</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Exploration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589.7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(loss) from asset sales</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 on derivative contracts (Note 8)</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discontinued operations, net of income tax</w:t>
            </w:r>
          </w:p>
        </w:tc>
        <w:tc>
          <w:tcPr>
            <w:tcW w:w="36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from continuing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Basic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from discontinued operations</w:t>
            </w:r>
          </w:p>
        </w:tc>
        <w:tc>
          <w:tcPr>
            <w:tcW w:w="36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 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Used in basic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Used in diluted calculation</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4"/>
        </w:trPr>
        <w:tc>
          <w:tcPr>
            <w:tcW w:w="9480" w:type="dxa"/>
            <w:vAlign w:val="bottom"/>
            <w:gridSpan w:val="4"/>
          </w:tcPr>
          <w:p>
            <w:pPr>
              <w:ind w:left="2960"/>
              <w:spacing w:after="0"/>
              <w:rPr>
                <w:sz w:val="20"/>
                <w:szCs w:val="20"/>
                <w:color w:val="auto"/>
              </w:rPr>
            </w:pPr>
            <w:r>
              <w:rPr>
                <w:rFonts w:ascii="Times New Roman" w:cs="Times New Roman" w:eastAsia="Times New Roman" w:hAnsi="Times New Roman"/>
                <w:sz w:val="18"/>
                <w:szCs w:val="18"/>
                <w:color w:val="auto"/>
              </w:rPr>
              <w:t>See Notes accompanying the Condensed Consolidated Financial Statements.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QEP RESOURCES, INC.</w:t>
      </w:r>
    </w:p>
    <w:p>
      <w:pPr>
        <w:spacing w:after="0" w:line="31" w:lineRule="exact"/>
        <w:rPr>
          <w:sz w:val="20"/>
          <w:szCs w:val="20"/>
          <w:color w:val="auto"/>
        </w:rPr>
      </w:pPr>
    </w:p>
    <w:p>
      <w:pPr>
        <w:ind w:right="4780"/>
        <w:spacing w:after="0" w:line="261"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March 31,</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 millions)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plans adjustments: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net actuarial loss </w:t>
            </w:r>
            <w:r>
              <w:rPr>
                <w:rFonts w:ascii="Times New Roman" w:cs="Times New Roman" w:eastAsia="Times New Roman" w:hAnsi="Times New Roman"/>
                <w:sz w:val="25"/>
                <w:szCs w:val="25"/>
                <w:color w:val="auto"/>
                <w:vertAlign w:val="superscript"/>
              </w:rPr>
              <w:t>(1)</w:t>
            </w:r>
          </w:p>
        </w:tc>
        <w:tc>
          <w:tcPr>
            <w:tcW w:w="120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prior service cost </w:t>
            </w:r>
            <w:r>
              <w:rPr>
                <w:rFonts w:ascii="Times New Roman" w:cs="Times New Roman" w:eastAsia="Times New Roman" w:hAnsi="Times New Roman"/>
                <w:sz w:val="25"/>
                <w:szCs w:val="25"/>
                <w:color w:val="auto"/>
                <w:vertAlign w:val="superscript"/>
              </w:rPr>
              <w:t>(2)</w:t>
            </w:r>
          </w:p>
        </w:tc>
        <w:tc>
          <w:tcPr>
            <w:tcW w:w="1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pension and other postretirement plans adjustments</w:t>
            </w:r>
          </w:p>
        </w:tc>
        <w:tc>
          <w:tcPr>
            <w:tcW w:w="12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Presented net of income tax expense of $0.1 million and $0.1 million during the three months ended March 31, 2015, and 2014, respectively.</w:t>
      </w:r>
    </w:p>
    <w:p>
      <w:pPr>
        <w:spacing w:after="0" w:line="2" w:lineRule="exact"/>
        <w:rPr>
          <w:rFonts w:ascii="Times New Roman" w:cs="Times New Roman" w:eastAsia="Times New Roman" w:hAnsi="Times New Roman"/>
          <w:sz w:val="25"/>
          <w:szCs w:val="25"/>
          <w:color w:val="auto"/>
          <w:vertAlign w:val="superscript"/>
        </w:rPr>
      </w:pPr>
    </w:p>
    <w:p>
      <w:pPr>
        <w:ind w:left="660" w:hanging="314"/>
        <w:spacing w:after="0" w:line="186" w:lineRule="auto"/>
        <w:tabs>
          <w:tab w:leader="none" w:pos="66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Presented net of income tax expense of $0.3 million and $0.4 million during the three months ended March 31, 2015, and 2014,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QEP RESOURCES,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8"/>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oil and NGL inventories, at lower of average cost or market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(successful efforts method for oil and gas properties)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Proved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12,278.7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Unproved properties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 and supplies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13,727.5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13,452.0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Exploration and production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6,153.0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Accumulated Depreciation, Depletion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6,430.5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6,220.8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7,297.0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7,231.2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9,286.8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Checks outstanding in excess of cash balances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 par value $0.01 per share; 500.0 million shares authorized;</w:t>
            </w: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177.0 million and 176.2 million shares issued,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- 0.3 million and 0.8 million shares, respectively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Common Shareholders'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8,524.4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accompanying the Condensed Consolidated Financial Statements.</w:t>
      </w:r>
    </w:p>
    <w:p>
      <w:pPr>
        <w:sectPr>
          <w:pgSz w:w="11900" w:h="16838" w:orient="portrait"/>
          <w:cols w:equalWidth="0" w:num="1">
            <w:col w:w="11420"/>
          </w:cols>
          <w:pgMar w:left="240" w:top="576" w:right="239" w:bottom="968"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968"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QEP RESOURCES,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March 31,</w:t>
            </w: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loss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derivative contracts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acquisitions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including dry exploratory well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deposit held in escrow</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Checks outstanding in excess of cash balances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issued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issuance costs paid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credit facility</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capital contributions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(provision) benefit on share-based compensation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893.5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6"/>
        </w:trPr>
        <w:tc>
          <w:tcPr>
            <w:tcW w:w="8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capital expenditure accrual balance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8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accompanying the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QEP RESOURCES, INC.</w:t>
      </w:r>
    </w:p>
    <w:p>
      <w:pPr>
        <w:spacing w:after="0" w:line="31" w:lineRule="exact"/>
        <w:rPr>
          <w:sz w:val="20"/>
          <w:szCs w:val="20"/>
          <w:color w:val="auto"/>
        </w:rPr>
      </w:pPr>
    </w:p>
    <w:p>
      <w:pPr>
        <w:ind w:right="3800"/>
        <w:spacing w:after="0" w:line="261" w:lineRule="auto"/>
        <w:rPr>
          <w:sz w:val="20"/>
          <w:szCs w:val="20"/>
          <w:color w:val="auto"/>
        </w:rPr>
      </w:pPr>
      <w:r>
        <w:rPr>
          <w:rFonts w:ascii="Times New Roman" w:cs="Times New Roman" w:eastAsia="Times New Roman" w:hAnsi="Times New Roman"/>
          <w:sz w:val="18"/>
          <w:szCs w:val="18"/>
          <w:b w:val="1"/>
          <w:bCs w:val="1"/>
          <w:color w:val="auto"/>
        </w:rPr>
        <w:t>NOTES ACCOMPANYING THE CONDENSED CONSOLIDATED FINANCIAL STATEMENTS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QEP Resources, Inc. (QEP or the Company) is a holding company with two principal subsidiaries, QEP Energy Company and QEP Marketing Company, which are engaged in two primary lines of business: (i) oil and gas exploration and production (QEP Energy) and (ii) oil and gas marketing, operation of the Haynesville Gathering System and an underground gas storage facility and corporate (QEP Marketing and Other).</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QEP’s common stock trade on the New York Stock Exchange (NYSE) under the ticker symbol “QEP”.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of Interim Consolidated Financial Statements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10-K/A for the year ended December 31, 2014.</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2015, are not necessarily indicative of the results that may be expected for the year ending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2015, QEP Energy recorded impairment charges of $20.0 million, of which $19.4 million was related to proved properties due to lower future prices and $0.6 million was related to expiring leaseholds on unproved properties. Of the $19.4 million impairment on proved properties, $14.5 million related to oil and gas properties in the Southern Region and $4.9 million related to oil and gas properties in the Northern Region.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2015, the Financial Accounting Standards Board (FASB) issued Accounting Standard Update (ASU) No. 2015-02,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which amends the current consolidation guidance. The amendments affect both the variable interest entity and voting interest entity consolidation models. The amendments will be effective prospectively for reporting periods beginning on or after December 15, 2015, and early adoption is permitted. The Company is currently assessing the standard update and does not believe there will be a significant impact on the Company's consolidated financial statements.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 xml:space="preserve">In January 2015, the FASB issued ASU No. 2015-01, </w:t>
      </w:r>
      <w:r>
        <w:rPr>
          <w:rFonts w:ascii="Times New Roman" w:cs="Times New Roman" w:eastAsia="Times New Roman" w:hAnsi="Times New Roman"/>
          <w:sz w:val="17"/>
          <w:szCs w:val="17"/>
          <w:i w:val="1"/>
          <w:iCs w:val="1"/>
          <w:color w:val="auto"/>
        </w:rPr>
        <w:t>Income Statement — Extraordinary and Unusual Items (Subtopic 225-20),</w:t>
      </w:r>
      <w:r>
        <w:rPr>
          <w:rFonts w:ascii="Times New Roman" w:cs="Times New Roman" w:eastAsia="Times New Roman" w:hAnsi="Times New Roman"/>
          <w:sz w:val="17"/>
          <w:szCs w:val="17"/>
          <w:color w:val="auto"/>
        </w:rPr>
        <w:t xml:space="preserve"> which eliminates the concept of extraordinary items from GAAP. The amendments will be effective for reporting periods beginning on or after December 15, 2015, and early adoption is permitted. Additionally, a reporting entity also may apply the amendments retrospectively for all periods presented in the financial statements. The Company is currently assessing the standard update and does not believe there will be a significant impact on the Company's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576"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Permian Basin Acquisition</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February 25, 2014, QEP Energy acquired oil and gas properties in the Permian Basin of Texas for an aggregate purchase price of $941.8 million (the Permian Basin Acquisition). The acquired properties consist of approximately 26,500 net acres of producing and undeveloped oil and gas properties and approximately 270 vertical producing wells in the Permian Basin, which created a new core area of operation for QEP Energy. The acquisition was funded with $50.0 million of restricted cash, $300.0 million from the Company's expanded term loan and the remainder was funded from its revolving credit facility.</w:t>
      </w:r>
    </w:p>
    <w:p>
      <w:pPr>
        <w:spacing w:after="0" w:line="16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The Permian Basin Acquisition meets the definition of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it included significant proved properties. QEP allocated the cost of the Permian Basin Acquisition to assets acquired and liabilities assumed based on fair values as of the acquisition date. Revenues of $29.5 million and a net loss of $1.5 million were generated from the acquired properties during the three months ended March 31, 2015. Revenues of $14.9 million and net income of $3.7 million were generated from the acquired properties from February 25, 2014, to March 31, 2014, and are included in QEP's Condensed Consolidated Statements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purchase accounting entries (in millions):</w:t>
            </w: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11"/>
        </w:trPr>
        <w:tc>
          <w:tcPr>
            <w:tcW w:w="8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for fair value of assets acquired and liabilities assumed:</w:t>
            </w: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Proved properties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472.1</w:t>
            </w:r>
          </w:p>
        </w:tc>
      </w:tr>
      <w:tr>
        <w:trPr>
          <w:trHeight w:val="27"/>
        </w:trPr>
        <w:tc>
          <w:tcPr>
            <w:tcW w:w="8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Unproved properties</w:t>
            </w: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480.6</w:t>
            </w:r>
          </w:p>
        </w:tc>
      </w:tr>
      <w:tr>
        <w:trPr>
          <w:trHeight w:val="243"/>
        </w:trPr>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7"/>
        </w:trPr>
        <w:tc>
          <w:tcPr>
            <w:tcW w:w="8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w:t>
            </w:r>
          </w:p>
        </w:tc>
        <w:tc>
          <w:tcPr>
            <w:tcW w:w="1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57"/>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results of operations are provided for the three months ended March 31, 2014. Pro forma results are not provided for the three months ended March 31, 2015, because the Permian Basin Acquisition occurred during the first quarter of 2014, and therefore there is no pro forma impact on the first quarter of 2015.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three months ended March 31, 2014,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purchase price allocation. The pro forma results of operations do not include any cost savings or other synergies that may result from the Permian Basin Acquisition or any estimated costs that have been or will be incurred by the Company to integrate the acquired properties.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0"/>
        </w:trPr>
        <w:tc>
          <w:tcPr>
            <w:tcW w:w="386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1300" w:type="dxa"/>
            <w:vAlign w:val="bottom"/>
          </w:tcPr>
          <w:p>
            <w:pPr>
              <w:spacing w:after="0"/>
              <w:rPr>
                <w:sz w:val="23"/>
                <w:szCs w:val="23"/>
                <w:color w:val="auto"/>
              </w:rPr>
            </w:pP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2014</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Actual</w:t>
            </w:r>
          </w:p>
        </w:tc>
        <w:tc>
          <w:tcPr>
            <w:tcW w:w="4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Pro forma</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28"/>
        </w:trPr>
        <w:tc>
          <w:tcPr>
            <w:tcW w:w="38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(in millions, except</w:t>
            </w:r>
          </w:p>
        </w:tc>
        <w:tc>
          <w:tcPr>
            <w:tcW w:w="17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per share data)</w:t>
            </w:r>
          </w:p>
        </w:tc>
      </w:tr>
      <w:tr>
        <w:trPr>
          <w:trHeight w:val="22"/>
        </w:trPr>
        <w:tc>
          <w:tcPr>
            <w:tcW w:w="3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843.6</w:t>
            </w: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4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4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r>
      <w:tr>
        <w:trPr>
          <w:trHeight w:val="675"/>
        </w:trPr>
        <w:tc>
          <w:tcPr>
            <w:tcW w:w="3860" w:type="dxa"/>
            <w:vAlign w:val="bottom"/>
          </w:tcPr>
          <w:p>
            <w:pPr>
              <w:spacing w:after="0"/>
              <w:rPr>
                <w:sz w:val="24"/>
                <w:szCs w:val="24"/>
                <w:color w:val="auto"/>
              </w:rPr>
            </w:pPr>
          </w:p>
        </w:tc>
        <w:tc>
          <w:tcPr>
            <w:tcW w:w="40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2014, QEP Energy sold its interest in certain non-core properties in southern Oklahoma for aggregate proceeds of $96.3 million, subject to post-closing purchase price adjustments, and recorded a pre-tax gain on sale of $53.3 million for the year ended December 31, 2014. QEP Energy recorded a pre-tax loss on sale of $1.8 million for the three months ended March 31, 2015, due to post-closing purchase price adjustments.</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June 2014, QEP Energy sold its interest in certain non-core properties in the Midcontinent area and other non-core assets in the Williston Basin for aggregate proceeds of $692.9 million, subject to post-closing purchase price adjustments, and recorded a pre-tax loss of $199.4 million for the year ended December 31, 2014. QEP recorded a pre-tax loss on sale of $26.8 million for the three months ended March 31, 2015, due to post-closing purchase price adjustments. These gains and losses are reported on the Condensed Consolidated Statements of Operations in "Net gain (loss) from asset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Discontinued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2014, the Company announced that its wholly owned subsidiary, QEP Field Services Company (QEP Field Services), had entered into a definitive agreement to sell substantially all of its midstream business, including the Company's ownership interest in QEP Midstream Partners, LP (QEP Midstream) to Tesoro Logistics LP (Tesoro). On December 2, 2014, QEP closed the sale of its midstream business to Tesoro (Midstream Sale) for total cash proceeds of approximately $2.5 billion, including $230.0 million to refinance debt at QEP Midstream, subject to post-closing adjustments, and QEP recorded a pre-tax gain of approximately $1.8 billion for the year ended December 31, 2014.</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operating results of QEP Field Services, excluding the Haynesville Gathering System (the Discontinued Operations of QEP Field Services), have been classified as discontinued operations on the Condensed Consolidated Statements of Operations and Notes accompanying the Condensed Consolidated Financial Statements for the three months ended March 31, 2014. QEP will have continuing cash outflows to the entities sold as a part of the Midstream Sale for gathering, processing and water handling costs in Pinedale, the Uinta Basin and a portion of its Williston Basin operations. The contracts related to these cash flows vary in length from month-to-month to over a year and will be reviewed periodically in the normal course of business. Historically, these transactions were eliminated in consolidation, as they represented transactions between two related entities but are now reflected as part of the continuing operations for QEP. For the three months ended March 31, 2015 and 2014, cash outflows for these transactions that are included in continuing operations were $22.7 million and $34.9 million, respectively.</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announcement of QEP's plan to separate its midstream business, the Board of Directors approved an employee retention plan to provide substantially all QEP Field Services' employees as of December 1, 2013, with a one-time lump-sum cash payment on the earlier of December 31, 2014, or whenever the separation of QEP Field Services occurred, conditioned on continued employment with QEP Field Services or a successor through the payment date unless the employee is terminated prior to such date. QEP recognized $10.4 million of costs under this retention plan in 2014, of which $2.3 million was included in "Discontinued operations, net of income tax" on the Condensed Consolidated Statements of Operations for the three months ended March 31, 2014.</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576"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Discontinued Operations of QEP Field Services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70"/>
        </w:trPr>
        <w:tc>
          <w:tcPr>
            <w:tcW w:w="9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7"/>
        </w:trPr>
        <w:tc>
          <w:tcPr>
            <w:tcW w:w="9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Purchased gas and oil sales</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1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Purchased gas and oil expense</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Lease operating expense</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91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Natural gas, oil and NGL transport and other handling costs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Gathering, processing,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INCOME FROM DISCONTINUED OPERATIONS BEFORE INCOME TAXES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INCOME FROM </w:t>
            </w:r>
            <w:r>
              <w:rPr>
                <w:rFonts w:ascii="Times New Roman" w:cs="Times New Roman" w:eastAsia="Times New Roman" w:hAnsi="Times New Roman"/>
                <w:sz w:val="19"/>
                <w:szCs w:val="19"/>
                <w:color w:val="auto"/>
              </w:rPr>
              <w:t>DISCONTINUED</w:t>
            </w:r>
            <w:r>
              <w:rPr>
                <w:rFonts w:ascii="Times New Roman" w:cs="Times New Roman" w:eastAsia="Times New Roman" w:hAnsi="Times New Roman"/>
                <w:sz w:val="18"/>
                <w:szCs w:val="18"/>
                <w:color w:val="auto"/>
              </w:rPr>
              <w:t xml:space="preserve">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DISCONTINUED OPERATIONS, NET OF INCOME TAX</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69"/>
        </w:trPr>
        <w:tc>
          <w:tcPr>
            <w:tcW w:w="9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20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328"/>
        <w:spacing w:after="0" w:line="202"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discontinued intercompany eliminations.</w:t>
      </w:r>
    </w:p>
    <w:p>
      <w:pPr>
        <w:spacing w:after="0" w:line="2" w:lineRule="exact"/>
        <w:rPr>
          <w:rFonts w:ascii="Times New Roman" w:cs="Times New Roman" w:eastAsia="Times New Roman" w:hAnsi="Times New Roman"/>
          <w:sz w:val="25"/>
          <w:szCs w:val="25"/>
          <w:color w:val="auto"/>
          <w:vertAlign w:val="superscript"/>
        </w:rPr>
      </w:pPr>
    </w:p>
    <w:p>
      <w:pPr>
        <w:ind w:left="660" w:right="120" w:hanging="328"/>
        <w:spacing w:after="0" w:line="208"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income from discontinued operations before income taxes attributable to QEP from QEP Midstream (of which QEP owned 57.8%) of $6.8 million for the 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-418465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 of Cash Flows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impact of the Discontinued Operations of QEP Field Services on the Condensed Consolidated Statement of Cash Flows for "Depreciation, depletion and amortization" contained in "Cash flows from operating activities" was $14.3 million for the three months ended March 31, 2014. The impact on cash used for "Property, plant and equipment, including dry exploratory well expense" contained in "Cash flows from investing activities" was $12.7 million for the three months ended March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w:t>
      </w:r>
    </w:p>
    <w:p>
      <w:pPr>
        <w:sectPr>
          <w:pgSz w:w="11900" w:h="16838" w:orient="portrait"/>
          <w:cols w:equalWidth="0" w:num="1">
            <w:col w:w="11420"/>
          </w:cols>
          <w:pgMar w:left="240" w:top="57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type w:val="continuous"/>
        </w:sectPr>
      </w:pPr>
    </w:p>
    <w:bookmarkStart w:id="10" w:name="page11"/>
    <w:bookmarkEnd w:id="10"/>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months ended March 31, 2015 and 2014, there were no anti-dilutive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shares used in the EPS calculation follows: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00" w:type="dxa"/>
            <w:vAlign w:val="bottom"/>
          </w:tcPr>
          <w:p>
            <w:pPr>
              <w:spacing w:after="0"/>
              <w:rPr>
                <w:sz w:val="24"/>
                <w:szCs w:val="24"/>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8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March 31,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8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rPr>
              <w:t>(in millions)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5"/>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Potential number of shares issuable upon exercise of in-the-money stock options under the Long-term Stock Incentive</w:t>
            </w:r>
          </w:p>
        </w:tc>
        <w:tc>
          <w:tcPr>
            <w:tcW w:w="18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800" w:type="dxa"/>
            <w:vAlign w:val="bottom"/>
            <w:gridSpan w:val="3"/>
            <w:vMerge w:val="continue"/>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Asset Retirement Obligations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QEP records asset retirement obligations (ARO) when there are legal obligations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$197.2 million and $195.1 million ARO liability for continuing operations for the periods ended March 31, 2015 and December 31, 2014, $0.9 million and $1.3 million were included, respectively, as a current liability in "Accounts payable and accrued expenses" on the 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the changes in the Company's ARO for the period specified below:</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 Retirement Obligations</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(in millions)</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ARO liability at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settled</w:t>
            </w: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ARO liability at March 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197.2</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QEP measures and discloses fair values in accordance with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This guidance defines fair value in applying GAAP, establishes a framework for measuring fair value and expands disclosures about fair-value measurements.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8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QEP has determined that its commodity derivative instruments are Level 2. The Level 2 fair value of commodity derivative contracts (see Note 8 - Derivative Contracts) is based on market prices posted on the respective commodity exchange on the last trading day of the reporting period and industry standard discounted cash flow models. QEP primarily applies the market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p>
      <w:pPr>
        <w:ind w:right="140"/>
        <w:spacing w:after="0" w:line="261" w:lineRule="auto"/>
        <w:rPr>
          <w:sz w:val="20"/>
          <w:szCs w:val="20"/>
          <w:color w:val="auto"/>
        </w:rPr>
      </w:pPr>
      <w:r>
        <w:rPr>
          <w:rFonts w:ascii="Times New Roman" w:cs="Times New Roman" w:eastAsia="Times New Roman" w:hAnsi="Times New Roman"/>
          <w:sz w:val="18"/>
          <w:szCs w:val="18"/>
          <w:color w:val="auto"/>
        </w:rPr>
        <w:t>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financial assets and liabilities at March 31, 2015 and December 31, 2014,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Presented on the</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4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65"/>
        </w:trPr>
        <w:tc>
          <w:tcPr>
            <w:tcW w:w="424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right="280"/>
              <w:spacing w:after="0" w:line="265" w:lineRule="exact"/>
              <w:rPr>
                <w:sz w:val="20"/>
                <w:szCs w:val="20"/>
                <w:color w:val="auto"/>
              </w:rPr>
            </w:pPr>
            <w:r>
              <w:rPr>
                <w:rFonts w:ascii="Times New Roman" w:cs="Times New Roman" w:eastAsia="Times New Roman" w:hAnsi="Times New Roman"/>
                <w:sz w:val="18"/>
                <w:szCs w:val="18"/>
                <w:b w:val="1"/>
                <w:bCs w:val="1"/>
                <w:color w:val="auto"/>
                <w:w w:val="95"/>
              </w:rPr>
              <w:t>Adjustments</w:t>
            </w:r>
            <w:r>
              <w:rPr>
                <w:rFonts w:ascii="Times New Roman" w:cs="Times New Roman" w:eastAsia="Times New Roman" w:hAnsi="Times New Roman"/>
                <w:sz w:val="25"/>
                <w:szCs w:val="25"/>
                <w:b w:val="1"/>
                <w:bCs w:val="1"/>
                <w:color w:val="auto"/>
                <w:w w:val="95"/>
                <w:vertAlign w:val="superscript"/>
              </w:rPr>
              <w:t>(1)</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4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discloses the fair value and related carrying amount of certain financial instruments not disclosed in other Notes accompanying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Financial Statements in this Quarterly Report on Form 10-Q:</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r>
      <w:tr>
        <w:trPr>
          <w:trHeight w:val="238"/>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December 31, 2014</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2,218.3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2,248.5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2,218.1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2,171.6</w:t>
            </w:r>
          </w:p>
        </w:tc>
      </w:tr>
    </w:tbl>
    <w:p>
      <w:pPr>
        <w:spacing w:after="0" w:line="2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ARO is presented in Note 6 – Asset Retirement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Contracts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gas sales and purchases for marketing transactions. QEP does not enter into commodity derivative instruments for speculative purposes.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gas, oil, or NGL between the parties at settlement. Swap transactions are settled in cash with one party paying the other for the net difference in prices, multiplied by the contract volume, for the settlement period. Gas price derivative instruments are typically structured as fixed-price swaps at regional price indices. Oil price derivative instruments are typically structured as NYMEX fixed-price swaps based at Cushing, Oklahoma or oil price swaps that use IntercontinentalExchange, Inc. (ICE) Brent oil prices as the reference price. QEP also enters into crude oil and natural gas basis swaps to achieve a fixed price swap for a portion of its oil and gas that it sells at prices that reference specific index prices.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2014, QEP also used interest rate swaps to mitigate a portion of its exposure to interest rate volatility associated with its $600.0 million term loan. For the $300.0 million term loan issued during 2012, QEP locked in a fixed interest rate of 1.07% in exchange for a variable interest rate indexed to the one-month LIBOR. For the incremental $300.0 million borrowed under the term loan during 2014, QEP locked in a fixed interest rate of 0.86%. These interest rate swaps were terminated in December 2014 in conjunction with the extinguishment of QEP's term loan.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QEP Energy Derivative Contracts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QEP Energy’s quantities and average prices for its commodity derivative contracts as of March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Average Swap</w:t>
            </w:r>
          </w:p>
        </w:tc>
      </w:tr>
      <w:tr>
        <w:trPr>
          <w:trHeight w:val="234"/>
        </w:trPr>
        <w:tc>
          <w:tcPr>
            <w:tcW w:w="4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Year</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Type of Contract</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Index</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Volumes</w:t>
            </w: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price per unit</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NYMEX HH</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390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HH</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43"/>
        </w:trPr>
        <w:tc>
          <w:tcPr>
            <w:tcW w:w="4020" w:type="dxa"/>
            <w:vAlign w:val="bottom"/>
            <w:gridSpan w:val="2"/>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Oil sales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85.89</w:t>
            </w:r>
          </w:p>
        </w:tc>
      </w:tr>
      <w:tr>
        <w:trPr>
          <w:trHeight w:val="243"/>
        </w:trPr>
        <w:tc>
          <w:tcPr>
            <w:tcW w:w="390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ICE Brent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104.95</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900" w:type="dxa"/>
            <w:vAlign w:val="bottom"/>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WTI</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70.85</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QEP Energy's crude oil collars as of March 31,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Average Price</w:t>
            </w:r>
          </w:p>
        </w:tc>
        <w:tc>
          <w:tcPr>
            <w:tcW w:w="320" w:type="dxa"/>
            <w:vAlign w:val="bottom"/>
          </w:tcPr>
          <w:p>
            <w:pPr>
              <w:spacing w:after="0"/>
              <w:rPr>
                <w:sz w:val="20"/>
                <w:szCs w:val="20"/>
                <w:color w:val="auto"/>
              </w:rPr>
            </w:pPr>
          </w:p>
        </w:tc>
        <w:tc>
          <w:tcPr>
            <w:tcW w:w="1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Average Price</w:t>
            </w:r>
          </w:p>
        </w:tc>
      </w:tr>
      <w:tr>
        <w:trPr>
          <w:trHeight w:val="270"/>
        </w:trPr>
        <w:tc>
          <w:tcPr>
            <w:tcW w:w="26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Year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Index</w:t>
            </w:r>
          </w:p>
        </w:tc>
        <w:tc>
          <w:tcPr>
            <w:tcW w:w="120" w:type="dxa"/>
            <w:vAlign w:val="bottom"/>
          </w:tcPr>
          <w:p>
            <w:pPr>
              <w:spacing w:after="0"/>
              <w:rPr>
                <w:sz w:val="23"/>
                <w:szCs w:val="23"/>
                <w:color w:val="auto"/>
              </w:rPr>
            </w:pPr>
          </w:p>
        </w:tc>
        <w:tc>
          <w:tcPr>
            <w:tcW w:w="15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5"/>
              </w:rPr>
              <w:t>Total Volume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Floor</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Ceiling</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($/bbl)</w:t>
            </w:r>
          </w:p>
        </w:tc>
        <w:tc>
          <w:tcPr>
            <w:tcW w:w="320" w:type="dxa"/>
            <w:vAlign w:val="bottom"/>
          </w:tcPr>
          <w:p>
            <w:pPr>
              <w:spacing w:after="0"/>
              <w:rPr>
                <w:sz w:val="20"/>
                <w:szCs w:val="20"/>
                <w:color w:val="auto"/>
              </w:rPr>
            </w:pPr>
          </w:p>
        </w:tc>
        <w:tc>
          <w:tcPr>
            <w:tcW w:w="1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($/bbl)</w:t>
            </w: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(bbls)</w:t>
            </w:r>
          </w:p>
        </w:tc>
        <w:tc>
          <w:tcPr>
            <w:tcW w:w="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NYMEX WTI</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64.35</w:t>
            </w: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QEP Energy's gas basis swaps as of March 31,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34"/>
        </w:trPr>
        <w:tc>
          <w:tcPr>
            <w:tcW w:w="4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Year</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Index</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Index Less Differential</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Total 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($/MMBtu)</w:t>
            </w:r>
          </w:p>
        </w:tc>
      </w:tr>
      <w:tr>
        <w:trPr>
          <w:trHeight w:val="270"/>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Gas basis swaps</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jc w:val="right"/>
              <w:ind w:right="327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HH</w:t>
            </w: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QEP Marketing Derivative Contracts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March 31, 2015: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price</w:t>
            </w:r>
          </w:p>
        </w:tc>
      </w:tr>
      <w:tr>
        <w:trPr>
          <w:trHeight w:val="234"/>
        </w:trPr>
        <w:tc>
          <w:tcPr>
            <w:tcW w:w="4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Year</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Type of Contract</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Index</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per MMBtu</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Gas purchases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891"/>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QEP Derivative Financial Statement Presentation</w:t>
      </w:r>
    </w:p>
    <w:p>
      <w:pPr>
        <w:spacing w:after="0" w:line="3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liability derivative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instruments fair value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8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line item</w:t>
            </w: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2014</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2014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(in millions)</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326.2</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31,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not designated as cash flow hedges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Realized gains (losses) on commodity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(in millions)</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QEP Energy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Gas derivative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Oil derivative contracts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QEP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Gas derivative contracts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realized gains (losses) on commodity derivative contracts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gains (losses) on commodity derivative contracts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QEP Energy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Gas derivative contracts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QEP Marketing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Gas derivative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unrealized gains (losses) on commodity derivative contracts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realized and unrealized gains (losses) on commodity derivative contracts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Realized gains (losses) on interest rate swaps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Realized losses on interest rate swaps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realized gains (losses) on interest rate swaps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net realized gains (losses) on derivative contracts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unrealized gains (losses) on derivative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the indicated dates, the principal amount of QEP’s debt, including amounts outstanding under QEP's revolving credit facility and senior notes,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2014</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(in millions)</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 due 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6.05% Senior Notes due 2016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6.80% Senior Notes due 2018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6.80% Senior Notes due 2020</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6.875% Senior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5.375% Senior Notes due 2022</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5.25% Senior Notes due 2023</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2,221.8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2,218.3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2,218.1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the total debt outstanding on March 31, 2015, the 6.05% Senior Notes due September 1, 2016, the 6.80% Senior Notes due April 1, 2018 and the 6.80% Senior Notes due March 1, 2020, will mature within the next five years. The revolving credit facility matures on December 2,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QEP's Credit Facility</w:t>
      </w:r>
    </w:p>
    <w:p>
      <w:pPr>
        <w:spacing w:after="0" w:line="3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QEP’s weighted-average interest rate on borrowings from its credit facility was 2.19%. At March 31, 2015 and December 31, 2014, QEP had no borrowings outstanding, had $3.7 million in letters of credit outstanding under the credit facility and was in compliance with the covenants under the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At March 31, 2015,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Contingencies, an accrual is recorded for a loss contingency when its occurrence is probable and damages are reasonably estimable based on the anticipated most likely outcome or the minimum amount within a range of possible outcomes. Because legal proceedings are inherently unpredictable, and unfavorable resolutions can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16" w:name="page17"/>
    <w:bookmarkEnd w:id="16"/>
    <w:p>
      <w:pPr>
        <w:ind w:right="180"/>
        <w:spacing w:after="0" w:line="261" w:lineRule="auto"/>
        <w:rPr>
          <w:sz w:val="20"/>
          <w:szCs w:val="20"/>
          <w:color w:val="auto"/>
        </w:rPr>
      </w:pPr>
      <w:r>
        <w:rPr>
          <w:rFonts w:ascii="Times New Roman" w:cs="Times New Roman" w:eastAsia="Times New Roman" w:hAnsi="Times New Roman"/>
          <w:sz w:val="18"/>
          <w:szCs w:val="18"/>
          <w:color w:val="auto"/>
        </w:rPr>
        <w:t>ongoing discovery and/or development of information important to the matter. QEP is unable to estimate reasonably possible losses (in excess of recorded accruals, if any) for its loss contingencies for the reasons set forth above. QEP believes, however, that the resolution of pending proceedings (after accruals, insurance coverage, and indemnification arrangements) will not be material to QEP's financial position but could be material to results of operations in a particular quarter 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Rocky Mountain Resources, LLC v. QEP Energy Company, Wexpro Company, Ultra Resources, Inc. and Lance Oil &amp; Gas Company, Inc., </w:t>
      </w:r>
      <w:r>
        <w:rPr>
          <w:rFonts w:ascii="Times New Roman" w:cs="Times New Roman" w:eastAsia="Times New Roman" w:hAnsi="Times New Roman"/>
          <w:sz w:val="18"/>
          <w:szCs w:val="18"/>
          <w:color w:val="auto"/>
        </w:rPr>
        <w:t>Civil No. 2011-7816, District Court of Sublette County, Wyoming. Rocky Mountain Resources, LLC (Rocky Mountain) filed its complaint on March 30, 2011, seeking determination of the existence of a 4% overriding royalty interest in State of Wyoming oil and gas Lease No. 79-0645 covering Section 16, T32-N R-109-W, Sublette County, Wyoming. QEP and the other defendants are current lessees of Lease 79-0645. Rocky Mountain alleges that the defendants have received benefits from Lease 79-0645 and have failed to pay Rocky Mountain monies associated with the claimed 4% overriding royalty interest since the issuance of the lease by the State of Wyoming in 1980. Rocky Mountain asserts claims for quiet title, declaratory judgment, breach of contract, breach of duty of good faith, conversion, constructive trust and prejudgment interest. On May 7, 2014, the trial court entered its order granting plaintiff's motion for summary judgment on the issue of whether the overriding royalty interest burdens QEP's lease. On June 17, 2014, the Supreme Court of Wyoming denied QEP's Petition for Writ of Review. On August 21, 2014, the trial court denied QEP’s Motion to Certify Questions of Law to the Wyoming Supreme Court. At the conclusion of a trial in February 2015, and after being instructed by the Court that the overriding royalty interest burdened QEP’s lease, a jury rendered a verdict against QEP and awarded Rocky Mountain damages in the amount of $16.7 million, including interest. QEP believes that the Court’s ruling on summary judgment and the resulting jury instructions are in error and will appeal to the Wyoming Supreme Court. While the appeal is pending, post-judgment interest accrues at the statutory rate of 10%. QEP estimates that, notwithstanding the verdict, the range of reasonably possible losses is still zero to $20.0 million.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Yannick Gagné and others similarly situated v. QEP Resources, Inc., No. 480-06-1-132, </w:t>
      </w:r>
      <w:r>
        <w:rPr>
          <w:rFonts w:ascii="Times New Roman" w:cs="Times New Roman" w:eastAsia="Times New Roman" w:hAnsi="Times New Roman"/>
          <w:sz w:val="18"/>
          <w:szCs w:val="18"/>
          <w:color w:val="auto"/>
        </w:rPr>
        <w:t>Superior Court, Province of Quebec, Canada. Plaintiffs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 class of all persons who sustained damages as a result of the July 6, 2013 train derailment in Lac-Mégantic, Quebec, which resulted in substantial loss of life and property. The fourth amended motion to authorize the bringing of a class action was filed on February 19, 2014, and names numerous defendants, including the rail company that transported the crude oil (which filed for bankruptcy protection in August 2013). The plaintiffs contend that QEP, and other producer defendants, sold Bakken crude oil to third-party purchasers in North Dakota, who resold the oil and transported it on the derailed train. Plaintiffs alleged that QEP and the producer defendants, among other things, failed to ensure that the oil was adequately processed to remove volatile gases and vapors, knowingly added volatile light end petroleum liquids and/or vapors or blended the crude with condensate, failed to conduct adequate well site testing to determine the proper hazard classification of the oil, failed to properly classify the shipping requirements for the oil, failed to take reasonable care to ensure that the oil was properly labeled and shipped, failed to identify the risk of the train derailment and take action to prevent it, and failed to adopt, implement and enforce rules and procedures pertaining to the safe shipment of the oil. The plaintiffs seek damages, but specific monetary damages are not asserted. Class certification hearings took place in June 2014, and a court order regarding class certification is pending. Many of the defendants, including QEP, and their insurers have reached an agreement with Trustees in both Canadian and U.S. Bankruptcy Courts to resolve all of these claims. The terms of the agreement are confidential and are contingent upon the approval of the courts.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Share-Based Compensation</w:t>
      </w:r>
    </w:p>
    <w:p>
      <w:pPr>
        <w:spacing w:after="0" w:line="22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QEP issues stock options and restricted shares under its Long-Term Stock Incentive Plan (LTSIP) and awards performance share units under its Cash Incentive Plan (CIP) to certain officers, employees, and non-employee directors. QEP recognizes expense over the vesting periods for the stock options, restricted shares, and performance share units. Deferred share-based compensation is included in additional paid-in capital in the Condensed Consolidated Balance Sheets. There were 9.2 million shares available for future grants under the LTSIP at March 31, 2015. Share-based compensation expense related to continuing operations is recognized in “General and administrative” on the Condensed Consolidated Statements of Operations, and expenses related to discontinued operations (including compensation expense related to the QEP Midstream's Long Term Incentive Plan) are reflected in "Net income from discontinued operations, net of income tax". During the three months ended March 31, 2015, QEP recognized $9.1 million in total compensation expense related to share-based compensation for continuing operations, compared to $6.4 million during the three months ended March 31, 2014. During the three months ended March 31, 2014, QEP recognized $1.1 million in total compensation expense related to share-based compensation for discontinued operations.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80"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calculated fair value of options granted and major assumptions used in the model at the date of grant are listed below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Stock Option Assumptions</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grant-date fair value of awards granted during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6.82</w:t>
            </w:r>
          </w:p>
        </w:tc>
      </w:tr>
      <w:tr>
        <w:trPr>
          <w:trHeight w:val="243"/>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expected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r>
      <w:tr>
        <w:trPr>
          <w:trHeight w:val="243"/>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 at the date of grant</w:t>
            </w:r>
          </w:p>
        </w:tc>
        <w:tc>
          <w:tcPr>
            <w:tcW w:w="280" w:type="dxa"/>
            <w:vAlign w:val="bottom"/>
            <w:shd w:val="clear" w:color="auto" w:fill="CCEEFF"/>
          </w:tcPr>
          <w:p>
            <w:pPr>
              <w:spacing w:after="0"/>
              <w:rPr>
                <w:sz w:val="21"/>
                <w:szCs w:val="21"/>
                <w:color w:val="auto"/>
              </w:rPr>
            </w:pPr>
          </w:p>
        </w:tc>
        <w:tc>
          <w:tcPr>
            <w:tcW w:w="2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7"/>
        </w:trPr>
        <w:tc>
          <w:tcPr>
            <w:tcW w:w="8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Average 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Contractual Term</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Intrinsic Value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years)</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1,996,215</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March 31, 2015</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2,359,275</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 at March 31, 2015</w:t>
            </w: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28.24</w:t>
            </w:r>
          </w:p>
        </w:tc>
        <w:tc>
          <w:tcPr>
            <w:tcW w:w="1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1,673,563</w:t>
            </w:r>
          </w:p>
        </w:tc>
        <w:tc>
          <w:tcPr>
            <w:tcW w:w="3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Options at March 31, 2015</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685,712</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25.23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2015, there were no exercises of stock options. The total intrinsic value (the difference between the market price at the exercise date and the exercise price) of options exercised during the three months ended March 31, 2014 was $0.2 million. As of March 31, 2015, $4.0 million of unrecognized compensation cost related to stock options granted under the LTSIP is expected to be recognized over a weighted-average period of 2.57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three months ended March 31, 2015 and 2014, was $18.0 million and $15.1 million, respectively. The weighted average grant-date fair value of restricted stock was $21.67 per share and $31.69 per share for the three months ended March 31, 2015 and 2014, respectively. As of March 31, 2015, $39.7 million of unrecognized compensation cost related to restricted shares granted under the LTSIP is expected to be recognized over a weighted-average vesting period of 2.64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Restricted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Average Grant-</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1,426,453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1,359,488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21.67</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30.88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28.48</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balance at March 31, 2015</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2,140,686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25.19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share units' cash payouts are dependent upon the Company’s total shareholder return compared to a group of its peers over a three-year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awards are denominated in share units but have historically been delivered in cash at the end of the performance period. Beginning with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in 2015, the Company has the option to settle earned awards in cash or shares of common stock under the Company's LTSIP; however,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 the Company expects to settle all awards in cash. The weighted average grant-date fair value of the performance share units was $21.69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$31.69 per share for the three months ended March 31, 2015 and 2014, respectively. As of March 31, 2015, $3.1 million of unrecognized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 representing the fair market value of performance shares granted, is expected to be recognized over a weighted-average vesting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Performance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Date Fair Value</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552,209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234,085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and paid out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30.77</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25"/>
                <w:szCs w:val="25"/>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30.77</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balance at March 31, 2015</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633,225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8340" w:type="dxa"/>
            <w:vAlign w:val="bottom"/>
          </w:tcPr>
          <w:p>
            <w:pPr>
              <w:ind w:left="34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Represents units that were not paid out due to performance under the plan.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the QEP Resources, Inc. Retirement Plan, a closed, defined-benefit pension plan (the Pension Plan) and a postretirement medical plan. The Company's postretirement medical plan is unfunded and provides certain health care and life insurance benefits for certain retired employees. The Pension Plan includes a qualified and a nonqualified retirement plan. The nonqualified retirement plan is the Supplemental Executive Retirement Plan (SERP). During the three months ended March 31, 2015, the Company made contributions of $1.0 million to its funded qualified pension plan. Contributions to funded qualified plans increase plan assets. During the three months ended March 31, 2015, the Company made contributions of $0.4 million to its SERP. Payments to the SERP are used to fund current benefit payments. During the remainder of 2015, the Company expects to contribute $3.0 million to its funded qualified pension plan, $4.0 million to its SERP and $0.3 million for retiree health care and life insurance benefits. During the three months ended March 31, 2015, for continuing operations, QEP recognized $1.7 million in recurring employee benefit expense, compared to $2.0 million during the three months ended March 31, 2014. During the three months ended March 31, 2014, for discontinued operations, QEP recognized $0.5 million in recurring employee benefit expense.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pension and postretirement benefits net periodic benefit costs: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8"/>
              </w:rPr>
              <w:t>Pension</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2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6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March 31,</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prior service costs </w:t>
            </w:r>
            <w:r>
              <w:rPr>
                <w:rFonts w:ascii="Times New Roman" w:cs="Times New Roman" w:eastAsia="Times New Roman" w:hAnsi="Times New Roman"/>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actuarial losses </w:t>
            </w:r>
            <w:r>
              <w:rPr>
                <w:rFonts w:ascii="Times New Roman" w:cs="Times New Roman" w:eastAsia="Times New Roman" w:hAnsi="Times New Roman"/>
                <w:sz w:val="25"/>
                <w:szCs w:val="25"/>
                <w:color w:val="auto"/>
                <w:vertAlign w:val="superscript"/>
              </w:rPr>
              <w:t>(1)</w:t>
            </w: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Periodic expense</w:t>
            </w: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0" w:hanging="314"/>
        <w:spacing w:after="0" w:line="211"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Amortization of prior service costs and actuarial losses out of AOCI are recognized in the Condensed Consolidated Statements of Operations in "General and administrative."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22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rPr>
              <w:t>Postretirement Benefits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March 31,</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prior service costs </w:t>
            </w:r>
            <w:r>
              <w:rPr>
                <w:rFonts w:ascii="Times New Roman" w:cs="Times New Roman" w:eastAsia="Times New Roman" w:hAnsi="Times New Roman"/>
                <w:sz w:val="25"/>
                <w:szCs w:val="25"/>
                <w:color w:val="auto"/>
                <w:vertAlign w:val="superscript"/>
              </w:rPr>
              <w:t>(1)</w:t>
            </w:r>
          </w:p>
        </w:tc>
        <w:tc>
          <w:tcPr>
            <w:tcW w:w="84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8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Periodic expense</w:t>
            </w: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8800" w:type="dxa"/>
            <w:vAlign w:val="bottom"/>
            <w:vMerge w:val="restart"/>
          </w:tcPr>
          <w:p>
            <w:pPr>
              <w:jc w:val="right"/>
              <w:ind w:right="619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Amortization of prior service costs out of AOCI are recognized in the Condensed Consolidated Statements of Operations in "General and administrative."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9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13 – Operations by Line of Business</w:t>
      </w:r>
    </w:p>
    <w:p>
      <w:pPr>
        <w:spacing w:after="0" w:line="229"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QEP’s lines of business include oil and gas exploration and production (QEP Energy); and oil and gas marketing, operation of the Haynesville Gathering System and an underground storage facility, and corporate (QEP Marketing and Other). The lines of business are managed separately and therefore the financial information is presented separately due to the distinct differences in the nature of operations of each line of business, among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for the three months ended March 31, 2014, have been revised, in accordance with GAAP, to reflect the impact of the Midstream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 Discontinued Operations for detailed information on the Midstream Sale.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operating results for the three months ended March 31, 2015,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QEP</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QEP Energy</w:t>
            </w:r>
          </w:p>
        </w:tc>
        <w:tc>
          <w:tcPr>
            <w:tcW w:w="22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and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unaffiliated customers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491.6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affiliated customers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491.6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Purchased gas and oil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169.4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operating expense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oil and NGL transportation and other handling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Gathering and other expense</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and exploration expense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589.7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(loss) from asset sales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 on derivative contracts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is a summary of operating results for the three months ended March 31,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QEP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Discontinued</w:t>
            </w: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QEP</w:t>
            </w:r>
          </w:p>
        </w:tc>
      </w:t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QEP Energy</w:t>
            </w:r>
          </w:p>
        </w:tc>
        <w:tc>
          <w:tcPr>
            <w:tcW w:w="24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Operations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Consolidated</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unaffiliated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817.5</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affiliated customers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817.5</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Purchased gas and oil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237.9</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operating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oil and NGL transportation and other handling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Gathering and other expense</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and exploration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(loss) from assets sales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 on derivative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5"/>
        </w:trPr>
        <w:tc>
          <w:tcPr>
            <w:tcW w:w="412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5"/>
        </w:trPr>
        <w:tc>
          <w:tcPr>
            <w:tcW w:w="412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discontinued operations, net of</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w:t>
            </w: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total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9,004.1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10,535.6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information updates the discussion of QEP’s financial condition provided in its 2014 Annual Report on Form 10-K/A filing and analyzes the changes in the results of operations between the three months ended March 31, 2015 and 2014. For definitions of commonly used oil and gas terms found in this Quarterly Report on Form 10-Q, please refer to the “Glossary of Commonly Used Terms” provided in QEP’s 2014 Annual Report on Form 10-K/A.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MD&amp;A focuses on our continuing operations. Discontinued operations are excluded from our MD&amp;A except as indicated otherwise.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QEP Resources, Inc. (QEP or the Company) is a holding company with two principal subsidiaries, QEP Energy Company and QEP Marketing Company, which are engaged in two primary lines of business: (i) oil and gas exploration and production (QEP Energy) and (ii) oil and gas marketing, operation of the Haynesville Gathering System and an underground gas storage facility and corporate (QEP Marketing and Other).</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seek to create value for our shareholders through returns-focused growth, superior execution and a low-cost structure. To achieve these objectives we strive to:</w:t>
      </w:r>
    </w:p>
    <w:p>
      <w:pPr>
        <w:spacing w:after="0" w:line="16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in a safe and environmentally responsible manner;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capital to those projects that generate the highest returns;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businesses and assets that complement or expand our current business;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sustainable, diverse inventory of low-cost, high-margin resource plays;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the highest-potential areas of the resource plays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contiguous acreage positions that drive operating efficiencies;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operator of our assets, whenever possible;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low-cost driller and producer in each area where we operate;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market our production to maximize value;</w:t>
      </w:r>
    </w:p>
    <w:p>
      <w:pPr>
        <w:spacing w:after="0" w:line="9"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derivative contracts to mitigate the impact of gas, oil or NGL price volatility and fluctuating interest rates, while locking in acceptable cash flows required to support future capital expenditures;</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the best people; and</w:t>
      </w:r>
    </w:p>
    <w:p>
      <w:pPr>
        <w:spacing w:after="0" w:line="9" w:lineRule="exact"/>
        <w:rPr>
          <w:rFonts w:ascii="Times New Roman" w:cs="Times New Roman" w:eastAsia="Times New Roman" w:hAnsi="Times New Roman"/>
          <w:sz w:val="18"/>
          <w:szCs w:val="18"/>
          <w:color w:val="auto"/>
        </w:rPr>
      </w:pPr>
    </w:p>
    <w:p>
      <w:pPr>
        <w:ind w:left="340" w:right="96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capital structure that allows us the necessary financial flexibility with which to invest in organic growth and potential acquisition opportunities, as they may arise.</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December 2, 2014, QEP completed the sale of its midstream business; see "Discontinued Operations" below. QEP believes this transaction represents a significant milestone in the strategic repositioning of the Company, as it will be better positioned to deliver continued growth by focusing on its exploration and production assets.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response to the current commodity price environment, we are reducing drilling and completion activities, slowing production growth, and preserving liquidity. During the first quarter of 2015, we reduced QEP operated drilling rigs from 21 during 2014 to 11 at the end of the first quarter of 2015. We have reduced our capital expenditure budget for 2015 to approximately $975.0 million from $2,726.4 million in 2014 (which included $941.8 million for the Permian Basin Acquisition). We are highly focused on driving improved operating performance by optimizing reservoir development, enhancing well completion designs and aggressively pursuing cost reductions.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2014, the Company announced that its wholly owned subsidiary, QEP Field Services Company (QEP Field Services), had entered into a definitive agreement to sell substantially all of its midstream business, including the Company's ownership interest in QEP Midstream Partners, LP (QEP Midstream), to Tesoro Logistics LP (Tesoro). On December 2, 2014, QEP closed the sale of its midstream business to Tesoro (Midstream Sale) for total cash proceeds of approximately $2.5 billion, including $230.0 million to refinance debt at QEP Midstream, subject to post-closing adjustments, and QEP recorded a pre-tax gain of approximately $1.8 billion for the year ended December 31, 2014. QEP Marketing retained ownership of the Haynesville Gathering System. As a result of the Midstream Sale, the QEP Field Services reporting segment, excluding the retained ownership of the Haynesville Gathering System, has been classified as a discontinued operation on the Condensed Consolidated Statement of Operations and the Notes accompanying the Condensed Consolidated Financial Statements. For reporting purposes, the retained Haynesville Gathering System has been combined with QEP Marketing and Other.</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792"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On February 25, 2014, QEP Energy acquired oil and gas properties in the Permian Basin of Texas for an aggregate purchase price of $941.8 million (the Permian Basin Acquisition). The acquired properties consist of approximately 26,500 net acres of producing and undeveloped oil and gas properties and approximately 270 vertical producing wells in the Permian Basin, which creates a new core area of operation for QEP Energy. The acquisition was funded with $50.0 million of restricted cash, $300.0 million from the Company's expanded term loan and the remainder from QEP's revolving credit facility.</w:t>
      </w:r>
    </w:p>
    <w:p>
      <w:pPr>
        <w:spacing w:after="0" w:line="16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While QEP believes that it can grow production and reserves from its extensive inventory of identified drilling locations, the Company continues to evaluate acquisition opportunities that it believes will create significant long-term value. QEP believes that its experience, expertise, and presence in its core operating areas, combined with its low-cost operating model and financial strength, enhance its ability to pursue acquisition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may periodically divest select non-core portfolio assets to redirect capital towards higher-return projects. In December 2014, QEP sold its interest in certain non-core properties in southern Oklahoma for aggregate proceeds of approximately $96.3 million, subject to post-closing purchase price adjustments. In June 2014, QEP sold its interests in certain non-core properties in the Midcontinent area and other non-core assets in the Williston Basin for aggregate proceeds of approximately $692.9 million, subject to post-closing purchase price adjustments. The Company used the proceeds to repay borrowings on its revolving credit facility incurred to fund the Permian Basin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growth in organic production and reserves.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three months ended March 31, 2015, no shares were repurchased under this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Operating Results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QEP Energy reported total equivalent production of 75.2 Bcfe during the first quarter of 2015, an increase of 2% compared to the first quarter of 2014. Oil production increased 1,169.4 Mbbls in the first quarter of 2015, an increase of 35% from the first quarter of 2014. Contributing to this increase was continuing development of properties in the Williston Basin, which contributed oil production of 3,431.5 Mbbls in the first quarter of 2015 compared to 2,520.2 Mbbls in the first quarter of 2014. Additionally, QEP Energy completed the Permian Basin Acquisition on February 25, 2014, which contributed 571.8 Mbbls of oil production during the first quarter of 2015, compared to 140.0 Mbbls of oil production during the period from February 25, 2014 to March 31, 2014. These increases were partially offset by a decrease in gas production to 42.6 Bcf in the first quarter of 2015, a decrease of 4% from the first quarter of 2014, and a decrease in NGL production to 947.4 Mbbls in the first quarter of 2015, a decrease of 40% from the first quarter of 2014. These decreases were primarily driven by decreased production in the Midcontinent due to the divestitures of non-core properties during the second and fourth quarters of 2014. Additionally, Pinedale and Uinta NGL volumes decreased due to ethane rejection in the first quarter of 2015 compared to ethane recovery in the first quarter of 2014. Average realized prices (including the impact of settled commodity derivatives) decreased 24% to $5.61 per Mcfe during the first quarter of 2015 due primarily to decreases in commodity index pricing when compared to the first quarter of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and NGL Prices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Historically, field-level prices received for QEP's gas, oil and NGL production have been volatile and unpredictable, and that volatility is expected to continue. In recent years, domestic crude oil and natural gas supplies have grown dramatically, driven by advances in drilling and completion technologies, including horizontal drilling and multi-stage hydraulic fracturing. These changes have allowed producers to extract increased quantities of hydrocarbons from shale, tight sand formations, and other unconventional reservoirs. Increased natural gas supplies, particularly in the Marcellus Shale region, have resulted in downward pressure on U.S. natural gas prices and a high degree of pricing variability among different natural gas pricing hubs. High natural gas demand in 2014, driven primarily by unusually cold winter weather, resulted in improved natural gas prices in the first half of 2014 but continued growth in production and adequate storage levels led to natural gas price declines later in the year and into 2015. Similarly, growth in U.S. oil production in excess of demand and other factors, such as a strong U.S. dollar, have led to a dramatic weakening of global oil prices starting in late 2014 that have continued into 2015. NGL prices have also been affected by increased U.S. hydrocarbon production. Prices of heavier NGL components are typically correlated to crude oil prices, while ethane and propane prices have decreased as a result of oversupply. In addition, QEP's NGL prices are affected by ethane recovery. When ethane is recovered as an NGL instead of being sold as part of the natural gas stream, the average NGL barrel sales price decreases as the ethane price is generally lower than the prices of the remaining NGL components. QEP recovered ethane for the majority of 2014 but rejected ethane in the first quarter of 2015 and expects to continue to reject ethane throughout 2015 due to the recent decline in ethane and propane prices. Changes in the market prices for gas, oil, and NGL directly impact many aspects of QEP's business, including its financial condition, revenues, results of operations, planned drilling activity and related capital expenditures, liquidity, rate of growth, costs of goods and services required to drill and complete wells, and the carrying value of its oil and natural gas properties.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2014, the NYMEX-WTI oil monthly average spot price ranged from a high of $105.79 per bbl in June to a low of $59.29 per bbl in December, while the NYMEX-HH natural gas one-month future price ranged from a high of $5.15 per MMBtu in February to a low of $3.65 per MMBtu in November. Prices continue to be volatile in 2015 as the NYMEX-WTI oil monthly average spot price fell to a low of $43.39 per bbl in March 2015 and the NYMEX-HH natural gas one-month future price fell to a low of $2.58 per MMBtu in February 2015. Due to increased uncertainty around the global economic outlook and the volatility of commodity prices, QEP has built a strong liquidity position to ensure financial flexibility. In response to significantly lower commodity prices, QEP has reduced drilling and completion activity and decreased planned capital expenditures.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of its forecasted annual production by the end of the first quarter of each fiscal year. At March 31, 2015, assuming forecasted 2015 annual production of 301 Bcfe, QEP Energy had approximately 56% of its forecasted gas equivalent production covered with fixed-price swaps, including 65% of its forecasted gas production and 53% of its forecasted oil production. See Part 1, Item 3 “Quantitative and Qualitative Disclosures about Market Risk—Commodity Price Risk Management” for further details concerning QEP’s commodity derivatives transactions. QEP Energy has allocated approximately 96% of its forecasted 2015 drilling and completion capital expenditure budget to oil and liquids-rich gas projects in its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Geopolitical and Macroeconomic Factors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QEP continues to monitor the outlook of the global economy, including Europe's economic outlook; political unrest in Eastern Europe, the Middle East, and Africa; slowing growth in Asia; the United States' federal budget deficit; changes in regulatory oversight policy; commodity price volatility; and other factors. A dramatic decline in regional or global economic conditions, a major recession or depression, regional political instability, economic sanctions, war, or other factors beyond the control of QEP could have a significant impact on gas, oil and NGL supply, demand and prices, the Company's ability to continue its planned drilling programs on federal and Native American lands, and could materially impact the Company's financial position, results of operations and cash flow from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Demand and Other Market Risk Factors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the last five years, the U.S. natural gas directed drilling rig count has decreased as producers reduced drilling activity for dry natural gas in response to lower natural gas prices and directed investment toward oil and liquid-rich projects. Over the same period of time, U.S. natural gas production has continued to grow, particularly in the Marcellus Shale region, as efficiency gains have allowed more wells to be drilled and completed per operating rig, higher per-well natural gas production from horizontal wells as a result of investment focused on more prolific resources, and increased amounts of natural gas produced in association with crude oil. As a result, U.S. natural gas production continued to increase throughout 2013 and 2014, despite the gradually decreasing rig-count. Strong natural gas demand from electric power generation, cold winter weather during the 2013-2014 heating season, and other demand sources caused a general firming of natural gas prices during the last half of 2013 and into 2014. Natural gas prices weakened in the second half of 2014 and through the first quarter of 2015 due to more typical</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t>demand levels and continued increases in supply. QEP expects U.S. natural gas prices to remain range-bound over the near term. Relatively low natural gas prices in recent years have caused U.S. E&amp;P companies, including QEP, to shift capital investments away from predominantly dry gas areas toward plays that produce crude oil, condensate and liquids-rich gas. This shift in focus has caused domestic NGL production to increase dramatically. Increased NGL production and price dislocations from infrastructure bottlenecks in certain regions have all contributed to a weakening of domestic NGL prices, particularly ethane. QEP expects that ethane prices will continue to be range-bound until new ethylene crackers and export facilities are built. The prices of heavier components of the NGL barrel have weakened as a result of the decline in crude oil prices.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Increased oil production in the U.S. combined with various other factors has led to weaker oil prices. According to data from the EIA, U.S. oil production has increased by more than three million barrels per day, or more than 50%, since 2011. International oil supply disruptions in recent years have prevented oversupply and a corresponding negative price impact, but reduced supply disruptions in recent months combined with softening global demand, a stronger U.S. dollar, and other factors have led to substantially lower oil prices starting in late 2014 that have continued into 2015. As a result, many oil producers around the world are dramatically reducing activity. QEP anticipates global oil prices will improve in the coming years as supply growth moderates due to lower level of investment and modest demand increases. Disruption to the global oil supply system, political and/or economic instability, fluctuations in currency values, and/or other factors could trigger additional volatility in oil prices. In addition, transportation, refining, or other infrastructure constraints could introduce significant price differentials between regional markets where QEP sells its oil production and national (NYMEX HH at Henry Hub or NYMEX WTI at Cushing) and global (ICE Brent) markets. Because of the global and regional price volatility and the uncertainty around the natural gas, oil and NGL price environments, QEP continues to manage its capital spending program and liquidity accordingly and has scaled back its capital expenditure budget and drilling and completion activities for 2015.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for Future Asset Impairments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carrying value of the Company's properties is sensitive to declines in gas, oil and NGL prices. These assets are at risk of impairment if future prices for gas,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gas, oil or NGL prices alone could result in an impairment of properties. The Company recorded $20.0 million of impairment expense during the first quarter of 2015, of which $19.4 million was related to proved properties due to lower future prices and $0.6 million was related to expiring leaseholds on unproved properties. If commodity prices decline further during 2015, there could be additional impairment charges to our oil and gas assets or other investments.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Multi-Well Pad Drilling</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reduce the costs of well location construction and rig mobilization and demobilization and to obtain other efficiencies, QEP utilizes multi-well pad drilling where practical. In certain of our producing areas, wells drilled on a pad are not brought into production until all wells on the pad are drilled and completed and the drilling rig is moved from the location. As a result, multi-well pad drilling delays the commencement of production, which may cause volatility in QEP’s quarterly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QEP’s significant accounting policies are described in Item 8 of Part II of its 2014 Annual Report on Form 10-K/A.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oil and gas properties, asset retirement obligations, accounting for derivative contracts, revenue recognition, environmental obligations, litigation and other contingencies, benefit plan obligations, share-based compensation, income taxes, and purchase price allocations, among others, may involve a high degree of complexity and judgment on the part of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financial results for 2014 and for prior periods have been revised, in accordance with GAAP, to reflect the impact of the Midstream Sale. See Note 4 - Discontinued Operations, in Item I of Part I of this Quarterly Report on Form 10-Q for detailed information on the Midstream Sale.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580"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QEP generated a net loss from continuing operations during the first quarter of 2015 of $55.6 million, or $0.32 per diluted share, compared to 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continuing operations of $12.7 million, or $0.07 per diluted share, in the first quarter of 2014. The decrease in the first quarter of 2015 was due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$64.4 million decrease in QEP Energy’s net income and a $3.9 million decrease in QEP Marketing and Other's net income. QEP Energy's net income decrease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primarily due to decreases in average field-level prices for gas, oil and NGL. These decreases were partially offset by realized derivative instrument gains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2015 compared to realized losses in the first quarter of 2014 and lower operating expenses in the first quarter of 2015 compared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2014. QEP Marketing and Other's net income decreased in the first quarter of 2015 primarily due to a lower resale margin and a net loss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sales of $2.7 million during the first quarter of 2015 related to purchase price adjustments for the Midstream Sale.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net income by line of business: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7"/>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r>
      <w:tr>
        <w:trPr>
          <w:trHeight w:val="270"/>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QEP Energy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QEP Marketing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discontinued operations, net of income tax</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diluted shares</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believes Adjusted EBITDA (a non-GAAP measure) is an important measure of the Company's cash flow, liquidity, and ability to incur and service debt, fund capital expenditures and return capital to shareholders. The use of this measure allows investors to understand how management evaluates financial performance to make operating decisions and allocate resources.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Adjusted EBITDA by line of business: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QEP Energy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QEP Marketing and Other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from discontinued operations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from continuing operations decreased to $222.8 million in the first quarter of 2015 from $333.1 million in the first quarter of 2014, due to a 24% decrease in average net realized equivalent gas, oil and NGL prices as well as a 4% decrease in gas production and a 40% decrease in NGL production. These decreases were partially offset by a 35% increase in oil production and lower production and property taxes.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following tables are reconciliations of Adjusted EBITDA to net income, the most comparable GAAP financial measures: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QEP Marketing</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Continuing</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Discontinued</w:t>
            </w:r>
          </w:p>
        </w:tc>
        <w:tc>
          <w:tcPr>
            <w:tcW w:w="18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QEP</w:t>
            </w: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QEP Energy</w:t>
            </w:r>
          </w:p>
        </w:tc>
        <w:tc>
          <w:tcPr>
            <w:tcW w:w="160" w:type="dxa"/>
            <w:vAlign w:val="bottom"/>
          </w:tcPr>
          <w:p>
            <w:pPr>
              <w:spacing w:after="0"/>
              <w:rPr>
                <w:sz w:val="23"/>
                <w:szCs w:val="23"/>
                <w:color w:val="auto"/>
              </w:rPr>
            </w:pPr>
          </w:p>
        </w:tc>
        <w:tc>
          <w:tcPr>
            <w:tcW w:w="1300" w:type="dxa"/>
            <w:vAlign w:val="bottom"/>
            <w:gridSpan w:val="2"/>
          </w:tcPr>
          <w:p>
            <w:pPr>
              <w:jc w:val="center"/>
              <w:ind w:right="280"/>
              <w:spacing w:after="0" w:line="265" w:lineRule="exact"/>
              <w:rPr>
                <w:sz w:val="20"/>
                <w:szCs w:val="20"/>
                <w:color w:val="auto"/>
              </w:rPr>
            </w:pPr>
            <w:r>
              <w:rPr>
                <w:rFonts w:ascii="Times New Roman" w:cs="Times New Roman" w:eastAsia="Times New Roman" w:hAnsi="Times New Roman"/>
                <w:sz w:val="18"/>
                <w:szCs w:val="18"/>
                <w:b w:val="1"/>
                <w:bCs w:val="1"/>
                <w:color w:val="auto"/>
                <w:w w:val="94"/>
              </w:rPr>
              <w:t>and Other</w:t>
            </w:r>
            <w:r>
              <w:rPr>
                <w:rFonts w:ascii="Times New Roman" w:cs="Times New Roman" w:eastAsia="Times New Roman" w:hAnsi="Times New Roman"/>
                <w:sz w:val="25"/>
                <w:szCs w:val="25"/>
                <w:b w:val="1"/>
                <w:bCs w:val="1"/>
                <w:color w:val="auto"/>
                <w:w w:val="94"/>
                <w:vertAlign w:val="superscript"/>
              </w:rPr>
              <w:t>(1)</w:t>
            </w:r>
          </w:p>
        </w:tc>
        <w:tc>
          <w:tcPr>
            <w:tcW w:w="180" w:type="dxa"/>
            <w:vAlign w:val="bottom"/>
          </w:tcPr>
          <w:p>
            <w:pPr>
              <w:spacing w:after="0"/>
              <w:rPr>
                <w:sz w:val="23"/>
                <w:szCs w:val="2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8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2015</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millions)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losses on derivative contracts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(income)</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222.8</w:t>
            </w:r>
          </w:p>
        </w:tc>
        <w:tc>
          <w:tcPr>
            <w:tcW w:w="0" w:type="dxa"/>
            <w:vAlign w:val="bottom"/>
          </w:tcPr>
          <w:p>
            <w:pPr>
              <w:spacing w:after="0"/>
              <w:rPr>
                <w:sz w:val="1"/>
                <w:szCs w:val="1"/>
                <w:color w:val="auto"/>
              </w:rPr>
            </w:pPr>
          </w:p>
        </w:tc>
      </w:tr>
      <w:tr>
        <w:trPr>
          <w:trHeight w:val="311"/>
        </w:trPr>
        <w:tc>
          <w:tcPr>
            <w:tcW w:w="4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2014</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losses on derivative contracts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expense (income) </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Depreciation, depletion and amortization </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191" w:lineRule="auto"/>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intercompany eliminations.</w:t>
      </w:r>
    </w:p>
    <w:p>
      <w:pPr>
        <w:spacing w:after="0" w:line="2"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Excludes noncontrolling interest's share of $0.2 million during the three months ended March 31, 2014, of interest expense attributable to QEP Midstream.</w:t>
      </w:r>
    </w:p>
    <w:p>
      <w:pPr>
        <w:spacing w:after="0" w:line="2" w:lineRule="exact"/>
        <w:rPr>
          <w:rFonts w:ascii="Times New Roman" w:cs="Times New Roman" w:eastAsia="Times New Roman" w:hAnsi="Times New Roman"/>
          <w:sz w:val="24"/>
          <w:szCs w:val="24"/>
          <w:color w:val="auto"/>
          <w:vertAlign w:val="superscript"/>
        </w:rPr>
      </w:pPr>
    </w:p>
    <w:p>
      <w:pPr>
        <w:ind w:right="620" w:firstLine="8"/>
        <w:spacing w:after="0" w:line="262" w:lineRule="auto"/>
        <w:tabs>
          <w:tab w:leader="none" w:pos="17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Excludes noncontrolling interest's share of $3.7 million during the three months ended March 31, 2014, of depreciation, depletion and amortization attributable to Rendezvous Gas Services, L.L.C and QEP Midstream.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QEP ENERGY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QEP Energy’s financial and operating results</w:t>
      </w:r>
      <w:r>
        <w:rPr>
          <w:rFonts w:ascii="Times New Roman" w:cs="Times New Roman" w:eastAsia="Times New Roman" w:hAnsi="Times New Roman"/>
          <w:sz w:val="16"/>
          <w:szCs w:val="16"/>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7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Gas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sales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sales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Purchased gas sales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Purchased gas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Gas, oil and NGL transportation and other handling costs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Exploration expenses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 (loss) from asset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gains (losses)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Production volumes (Bcfe)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Northern Region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Williston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Uinta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Northern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Southern Region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6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Haynesville/Cotton Valley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production</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Total equivalent prices (per Mcfe)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equivalent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Commodity derivative impact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equivalent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Revenue, Volume and Price Variance Analysis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volume and price related changes for each of QEP Energy’s major revenue categories for the three months ended March 31, 2015, compared to the three months ended March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QEP Energy 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2014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Changes associated with volumes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Changes associated with prices </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(321.9)</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2015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14"/>
        <w:spacing w:after="0" w:line="211" w:lineRule="auto"/>
        <w:tabs>
          <w:tab w:leader="none" w:pos="6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revenue variance attributed to the change in volume is calculated by multiplying the change in volumes from the three months ended March 31, 2015, as compared to the three months ended March 31, 2014, by the average field-level price for the three months ended March 31, 2014.</w:t>
      </w:r>
    </w:p>
    <w:p>
      <w:pPr>
        <w:spacing w:after="0" w:line="1" w:lineRule="exact"/>
        <w:rPr>
          <w:rFonts w:ascii="Times New Roman" w:cs="Times New Roman" w:eastAsia="Times New Roman" w:hAnsi="Times New Roman"/>
          <w:sz w:val="25"/>
          <w:szCs w:val="25"/>
          <w:color w:val="auto"/>
          <w:vertAlign w:val="superscript"/>
        </w:rPr>
      </w:pPr>
    </w:p>
    <w:p>
      <w:pPr>
        <w:jc w:val="both"/>
        <w:ind w:left="660" w:right="320" w:hanging="314"/>
        <w:spacing w:after="0" w:line="221" w:lineRule="auto"/>
        <w:tabs>
          <w:tab w:leader="none" w:pos="6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revenue variance attributed to the change in price is calculated by multiplying the change in average field-level prices from the three months ended March 31, 2015, as compared to the three months ended March 31, 2014, by volumes for the three months ended March 31, 2015. Pricing changes are driven by changes in commodity field-level prices, excluding the impact from commodity derivatives.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Gas Volumes and Prices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7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Gas production volumes (Bcf)</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Pinedale</w:t>
            </w:r>
          </w:p>
        </w:tc>
        <w:tc>
          <w:tcPr>
            <w:tcW w:w="64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Uinta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3"/>
        </w:trPr>
        <w:tc>
          <w:tcPr>
            <w:tcW w:w="77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Southern Region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7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Gas prices (per Mcf)</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Northern Region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Region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Average field-level price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realized price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Gas revenues decreased $100.5 million, or 45%, in the first quarter of 2015 when compared to the first quarter of 2014 due to lower field-level prices and lower gas production. Average field-level gas prices decreased 43% in the first quarter of 2015 compared to the first quarter of 2014 driven by a decrease in average NYMEX-HH natural gas prices for the comparable periods. The decrease in production was primarily driven by the divestitures of non-core Midcontinent properties in the second and fourth quarters of 2014 and the production decrease in Haynesville/Cotton Valley due to the continued suspension of QEP's operated drilling program. These production decreases were partially offset by a production increase in Pinedale due to additional 2014 net well completions, and a production increase in the Williston Basin due to 2014 development.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7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Oil Volumes and Prices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7"/>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7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Oil production volumes (Mbbls)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Northern Region</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Pinedale</w:t>
            </w:r>
          </w:p>
        </w:tc>
        <w:tc>
          <w:tcPr>
            <w:tcW w:w="62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145.5</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Williston Basin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Uinta Basin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Northern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3"/>
        </w:trPr>
        <w:tc>
          <w:tcPr>
            <w:tcW w:w="75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Southern Region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Haynesville/Cotton Valley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5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production</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4,481.4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3,312.0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1,169.4</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Oil prices (per bbl)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Northern Region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Region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Average field-level price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 impact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realized price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Oil revenues decreased $109.9 million, or 38%, in the first quarter of 2015 when compared to the first quarter of 2014, due to lower average field-level prices partially offset by higher volumes. Average field-level oil prices decreased 54% in the first quarter of 2015 compared to the first quarter of 2014, driven by a decrease in average NYMEX-WTI and ICE Brent oil prices between the comparable periods. The increase in production volumes was primarily driven by increases in the Williston Basin due to continued development during 2014. The Company also had an increase in production of 431.8 Mbbls from the Permian Basin due to continued development combined with a full quarter of production in 2015 compared to one month of production in the first quarter of 2014. These production increases were partially offset by a production decrease in the Midcontinent due to the divestitures of non-core properties in the second and fourth quarters of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NGL Volumes and Prices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7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NGL production volumes (Mbbls)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Northern Region</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Pinedale</w:t>
            </w:r>
          </w:p>
        </w:tc>
        <w:tc>
          <w:tcPr>
            <w:tcW w:w="6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313.0</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Williston Basin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Uinta Basin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Northern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3"/>
        </w:trPr>
        <w:tc>
          <w:tcPr>
            <w:tcW w:w="74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Southern Region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Haynesville/Cotton Valley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production</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947.4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NGL prices (per bbl)</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Northern Region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Region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Average field-level price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 impact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realized price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76" w:right="239" w:bottom="1440" w:gutter="0" w:footer="0" w:header="0"/>
          <w:type w:val="continuous"/>
        </w:sectPr>
      </w:pPr>
    </w:p>
    <w:bookmarkStart w:id="31" w:name="page32"/>
    <w:bookmarkEnd w:id="31"/>
    <w:p>
      <w:pPr>
        <w:ind w:right="60"/>
        <w:spacing w:after="0" w:line="255" w:lineRule="auto"/>
        <w:rPr>
          <w:sz w:val="20"/>
          <w:szCs w:val="20"/>
          <w:color w:val="auto"/>
        </w:rPr>
      </w:pPr>
      <w:r>
        <w:rPr>
          <w:rFonts w:ascii="Times New Roman" w:cs="Times New Roman" w:eastAsia="Times New Roman" w:hAnsi="Times New Roman"/>
          <w:sz w:val="18"/>
          <w:szCs w:val="18"/>
          <w:color w:val="auto"/>
        </w:rPr>
        <w:t>NGL revenues decreased $44.1 million, or 70%, during the first quarter of 2015 when compared to the first quarter of 2014 due to decreased production volumes and a decreased average price per barrel. Midcontinent NGL volumes decreased due to divestitures of non-core properties in the second and fourth quarters of 2014. Additionally, Pinedale and Uinta Basin NGL volumes decreased due to ethane rejection in the first quarter of 2015 compared to ethane recovery in the first quarter of 2014. These decreases were partially offset by increases in NGL volumes in the Williston Basin as a result of increased development drilling and well completions. Additionally, the Permian Basin Acquisition contributed to the increased NGL production due to a full quarter of production in 2015 compared to one month of production in the first quarter of 2014. NGL prices decreased 50% during the first quarter of 2015 compared to the first quarter of 2014 driven by a decrease in index pricing for the NGL components.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QEP Energy Resale Margin</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QEP Energy purchases and resells gas in order to fulfill firm transportation contract commitments to partially mitigate losses on unutilized capacity. The difference between the price of the products purchased and sold, net of transportation costs, creates a resale margin that represents a gain or loss for the Company. The following table is a summary of QEP Energy's financial results from its gas resale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Resale Margin</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gas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Purchased gas expense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Resale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first quarter of 2015, QEP Energy recorded income on resale margin of $0.3 million compared to a $0.9 million loss in the first quarter of 2014 as a result of its activities to utilize pipeline transportation commitments in Louisiana.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QEP Energy Drilling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operated and non-operated well completions for the three months ended March 31,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Operated Completions</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Non-operated Completions</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Gross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Gross</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720" w:type="dxa"/>
            <w:vAlign w:val="bottom"/>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Northern Region</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Pinedale</w:t>
            </w:r>
          </w:p>
        </w:tc>
        <w:tc>
          <w:tcPr>
            <w:tcW w:w="6380" w:type="dxa"/>
            <w:vAlign w:val="bottom"/>
            <w:tcBorders>
              <w:top w:val="single" w:sz="8" w:color="CCEEFF"/>
            </w:tcBorders>
            <w:gridSpan w:val="2"/>
          </w:tcPr>
          <w:p>
            <w:pPr>
              <w:spacing w:after="0"/>
              <w:rPr>
                <w:sz w:val="21"/>
                <w:szCs w:val="21"/>
                <w:color w:val="auto"/>
              </w:rPr>
            </w:pPr>
          </w:p>
        </w:tc>
        <w:tc>
          <w:tcPr>
            <w:tcW w:w="3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20</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Williston Basin</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0" w:type="dxa"/>
            <w:vAlign w:val="bottom"/>
          </w:tcPr>
          <w:p>
            <w:pPr>
              <w:spacing w:after="0"/>
              <w:rPr>
                <w:sz w:val="21"/>
                <w:szCs w:val="21"/>
                <w:color w:val="auto"/>
              </w:rPr>
            </w:pPr>
          </w:p>
        </w:tc>
        <w:tc>
          <w:tcPr>
            <w:tcW w:w="7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Uinta Basin</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Northern</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772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Southern Region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Haynesville/Cotton Valley</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40" w:type="dxa"/>
            <w:vAlign w:val="bottom"/>
          </w:tcPr>
          <w:p>
            <w:pPr>
              <w:spacing w:after="0"/>
              <w:rPr>
                <w:sz w:val="23"/>
                <w:szCs w:val="23"/>
                <w:color w:val="auto"/>
              </w:rPr>
            </w:pPr>
          </w:p>
        </w:tc>
        <w:tc>
          <w:tcPr>
            <w:tcW w:w="7680" w:type="dxa"/>
            <w:vAlign w:val="bottom"/>
            <w:gridSpan w:val="3"/>
          </w:tcPr>
          <w:p>
            <w:pPr>
              <w:ind w:left="140"/>
              <w:spacing w:after="0" w:line="270" w:lineRule="exact"/>
              <w:rPr>
                <w:sz w:val="20"/>
                <w:szCs w:val="20"/>
                <w:color w:val="auto"/>
              </w:rPr>
            </w:pPr>
            <w:r>
              <w:rPr>
                <w:rFonts w:ascii="Times New Roman" w:cs="Times New Roman" w:eastAsia="Times New Roman" w:hAnsi="Times New Roman"/>
                <w:sz w:val="18"/>
                <w:szCs w:val="18"/>
                <w:color w:val="auto"/>
              </w:rPr>
              <w:t>Permian Basin</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40" w:type="dxa"/>
            <w:vAlign w:val="bottom"/>
            <w:shd w:val="clear" w:color="auto" w:fill="CCEEFF"/>
          </w:tcPr>
          <w:p>
            <w:pPr>
              <w:spacing w:after="0"/>
              <w:rPr>
                <w:sz w:val="21"/>
                <w:szCs w:val="21"/>
                <w:color w:val="auto"/>
              </w:rPr>
            </w:pPr>
          </w:p>
        </w:tc>
        <w:tc>
          <w:tcPr>
            <w:tcW w:w="7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ind w:left="340"/>
        <w:spacing w:after="0" w:line="187" w:lineRule="auto"/>
        <w:tabs>
          <w:tab w:leader="none" w:pos="640" w:val="left"/>
        </w:tabs>
        <w:rPr>
          <w:sz w:val="20"/>
          <w:szCs w:val="20"/>
          <w:color w:val="auto"/>
        </w:rPr>
      </w:pP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18"/>
          <w:szCs w:val="18"/>
          <w:color w:val="auto"/>
        </w:rPr>
        <w:t>Operated completions includes seven gross, 6.4 net, vertical wells.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operated and non-operated wells drilling or waiting on completion, at March 31, 2015: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9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6"/>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Drilling</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Waiting on completion</w:t>
            </w: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Drilling</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Gross</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1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Gross</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Gross</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Net</w:t>
            </w:r>
          </w:p>
        </w:tc>
      </w:tr>
      <w:tr>
        <w:trPr>
          <w:trHeight w:val="27"/>
        </w:trPr>
        <w:tc>
          <w:tcPr>
            <w:tcW w:w="40" w:type="dxa"/>
            <w:vAlign w:val="bottom"/>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23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Northern Region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23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Pinedale</w:t>
            </w:r>
            <w:r>
              <w:rPr>
                <w:rFonts w:ascii="Times New Roman" w:cs="Times New Roman" w:eastAsia="Times New Roman" w:hAnsi="Times New Roman"/>
                <w:sz w:val="25"/>
                <w:szCs w:val="25"/>
                <w:color w:val="auto"/>
                <w:vertAlign w:val="superscript"/>
              </w:rPr>
              <w:t>(1)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3"/>
                <w:szCs w:val="23"/>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 w:type="dxa"/>
            <w:vAlign w:val="bottom"/>
            <w:tcBorders>
              <w:right w:val="single" w:sz="8" w:color="CCEEFF"/>
            </w:tcBorders>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Williston Basin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4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Uinta Basin</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Northern</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0" w:type="dxa"/>
            <w:vAlign w:val="bottom"/>
          </w:tcPr>
          <w:p>
            <w:pPr>
              <w:spacing w:after="0"/>
              <w:rPr>
                <w:sz w:val="17"/>
                <w:szCs w:val="17"/>
                <w:color w:val="auto"/>
              </w:rPr>
            </w:pPr>
          </w:p>
        </w:tc>
        <w:tc>
          <w:tcPr>
            <w:tcW w:w="23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Haynesville/Cotton Valley</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0" w:type="dxa"/>
            <w:vAlign w:val="bottom"/>
          </w:tcPr>
          <w:p>
            <w:pPr>
              <w:spacing w:after="0"/>
              <w:rPr>
                <w:sz w:val="23"/>
                <w:szCs w:val="23"/>
                <w:color w:val="auto"/>
              </w:rPr>
            </w:pPr>
          </w:p>
        </w:tc>
        <w:tc>
          <w:tcPr>
            <w:tcW w:w="23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Permian Basin</w:t>
            </w:r>
            <w:r>
              <w:rPr>
                <w:rFonts w:ascii="Times New Roman" w:cs="Times New Roman" w:eastAsia="Times New Roman" w:hAnsi="Times New Roman"/>
                <w:sz w:val="25"/>
                <w:szCs w:val="25"/>
                <w:color w:val="auto"/>
                <w:vertAlign w:val="superscript"/>
              </w:rPr>
              <w:t>(2)</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40" w:type="dxa"/>
            <w:vAlign w:val="bottom"/>
            <w:tcBorders>
              <w:right w:val="single" w:sz="8" w:color="CCEEFF"/>
            </w:tcBorders>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0" w:type="dxa"/>
            <w:vAlign w:val="bottom"/>
          </w:tcPr>
          <w:p>
            <w:pPr>
              <w:spacing w:after="0"/>
              <w:rPr>
                <w:sz w:val="18"/>
                <w:szCs w:val="18"/>
                <w:color w:val="auto"/>
              </w:rPr>
            </w:pPr>
          </w:p>
        </w:tc>
        <w:tc>
          <w:tcPr>
            <w:tcW w:w="2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________________________</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left="660" w:hanging="328"/>
        <w:spacing w:after="0" w:line="183" w:lineRule="auto"/>
        <w:tabs>
          <w:tab w:leader="none" w:pos="66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QEP suspends Pinedale completions during the coldest months of the winter, usually from December to mid-March.</w:t>
      </w:r>
    </w:p>
    <w:p>
      <w:pPr>
        <w:spacing w:after="0" w:line="2" w:lineRule="exact"/>
        <w:rPr>
          <w:rFonts w:ascii="Times New Roman" w:cs="Times New Roman" w:eastAsia="Times New Roman" w:hAnsi="Times New Roman"/>
          <w:sz w:val="25"/>
          <w:szCs w:val="25"/>
          <w:color w:val="auto"/>
          <w:vertAlign w:val="superscript"/>
        </w:rPr>
      </w:pPr>
    </w:p>
    <w:p>
      <w:pPr>
        <w:ind w:left="660" w:hanging="328"/>
        <w:spacing w:after="0" w:line="186" w:lineRule="auto"/>
        <w:tabs>
          <w:tab w:leader="none" w:pos="66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Operated drilling includes one net vertical well.</w:t>
      </w:r>
    </w:p>
    <w:p>
      <w:pPr>
        <w:spacing w:after="0" w:line="19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utilizes multi-well pad drilling where practical. In certain of our producing areas, wells drilled are not brought into production until all wells on the pad are drilled and completed and the drilling rig is moved from the location. As a result, QEP had 97 gross operated wells waiting on completion as of March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certain QEP Energy operating expenses on a per unit of production basis: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7"/>
          </w:tcPr>
          <w:p>
            <w:pPr>
              <w:ind w:left="4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 Mcfe)</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operating expense</w:t>
            </w:r>
          </w:p>
        </w:tc>
        <w:tc>
          <w:tcPr>
            <w:tcW w:w="260" w:type="dxa"/>
            <w:vAlign w:val="bottom"/>
          </w:tcPr>
          <w:p>
            <w:pPr>
              <w:spacing w:after="0"/>
              <w:rPr>
                <w:sz w:val="21"/>
                <w:szCs w:val="21"/>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Gas, oil and NGL transportation and other handling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260" w:type="dxa"/>
            <w:vAlign w:val="bottom"/>
          </w:tcPr>
          <w:p>
            <w:pPr>
              <w:spacing w:after="0"/>
              <w:rPr>
                <w:sz w:val="21"/>
                <w:szCs w:val="21"/>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and amortization (DD&amp;A). </w:t>
      </w:r>
      <w:r>
        <w:rPr>
          <w:rFonts w:ascii="Times New Roman" w:cs="Times New Roman" w:eastAsia="Times New Roman" w:hAnsi="Times New Roman"/>
          <w:sz w:val="18"/>
          <w:szCs w:val="18"/>
          <w:color w:val="auto"/>
        </w:rPr>
        <w:t>DD&amp;A expense decreased $30.7 million, or $0.47 per Mcfe, in the first quarter of 2015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of 2014, due to decreases in the Haynesville/Cotton Valley and Midcontinent, partially offset by increases in the Permian and Williston basins. The decrease in the Midcontinent was a result of the second and fourth quarter 2014 property sales, while the decrease at Haynesville/Cotton Valley was a result of declining production and an impairment at year-end 2014. The increases in the Permian and Williston basins' DD&amp;A expense relates to increased production and Permian Basin operating for a full quarter in 2015 compared to a partial quarter of production in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 operating expense. </w:t>
      </w:r>
      <w:r>
        <w:rPr>
          <w:rFonts w:ascii="Times New Roman" w:cs="Times New Roman" w:eastAsia="Times New Roman" w:hAnsi="Times New Roman"/>
          <w:sz w:val="18"/>
          <w:szCs w:val="18"/>
          <w:color w:val="auto"/>
        </w:rPr>
        <w:t>The following table presents lease operating expenses (LOE) for QEP Energy by region on a unit of production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76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
        </w:trPr>
        <w:tc>
          <w:tcPr>
            <w:tcW w:w="4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Change</w:t>
            </w:r>
          </w:p>
        </w:tc>
      </w:tr>
      <w:tr>
        <w:trPr>
          <w:trHeight w:val="27"/>
        </w:trPr>
        <w:tc>
          <w:tcPr>
            <w:tcW w:w="4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(per Mcfe)</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Region</w:t>
            </w:r>
          </w:p>
        </w:tc>
        <w:tc>
          <w:tcPr>
            <w:tcW w:w="448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Southern Region</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r>
      <w:tr>
        <w:trPr>
          <w:trHeight w:val="27"/>
        </w:trPr>
        <w:tc>
          <w:tcPr>
            <w:tcW w:w="4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lease operating expense</w:t>
            </w:r>
          </w:p>
        </w:tc>
        <w:tc>
          <w:tcPr>
            <w:tcW w:w="3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675"/>
        </w:trPr>
        <w:tc>
          <w:tcPr>
            <w:tcW w:w="4000" w:type="dxa"/>
            <w:vAlign w:val="bottom"/>
          </w:tcPr>
          <w:p>
            <w:pPr>
              <w:spacing w:after="0"/>
              <w:rPr>
                <w:sz w:val="24"/>
                <w:szCs w:val="24"/>
                <w:color w:val="auto"/>
              </w:rPr>
            </w:pPr>
          </w:p>
        </w:tc>
        <w:tc>
          <w:tcPr>
            <w:tcW w:w="366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3" w:name="page34"/>
    <w:bookmarkEnd w:id="33"/>
    <w:p>
      <w:pPr>
        <w:ind w:right="120"/>
        <w:spacing w:after="0" w:line="258" w:lineRule="auto"/>
        <w:rPr>
          <w:sz w:val="20"/>
          <w:szCs w:val="20"/>
          <w:color w:val="auto"/>
        </w:rPr>
      </w:pPr>
      <w:r>
        <w:rPr>
          <w:rFonts w:ascii="Times New Roman" w:cs="Times New Roman" w:eastAsia="Times New Roman" w:hAnsi="Times New Roman"/>
          <w:sz w:val="18"/>
          <w:szCs w:val="18"/>
          <w:color w:val="auto"/>
        </w:rPr>
        <w:t>QEP Energy’s LOE increased $5.4 million, or $0.06 per Mcfe, during the first quarter of 2015 compared to the first quarter of 2014. The increase in the Southern Region's LOE during the first quarter of 2015 was primarily driven by the Permian Basin Acquisition late in the first quarter of 2014, which are oil properties that have higher operating costs than the historical gas properties in the Southern Region, and an increase on a per Mcfe basis in QEP's remaining Midcontinent properties that carry higher operating costs than the properties that were divested in 2014. The Northern Region per Mcfe decrease was driven primarily by new high-rate wells and cost reductions in the Williston Basin, offset by declining production on older wells in the Northern Region.</w:t>
      </w:r>
    </w:p>
    <w:p>
      <w:pPr>
        <w:spacing w:after="0" w:line="1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Gas, oil and NGL transportation and other handling costs. </w:t>
      </w:r>
      <w:r>
        <w:rPr>
          <w:rFonts w:ascii="Times New Roman" w:cs="Times New Roman" w:eastAsia="Times New Roman" w:hAnsi="Times New Roman"/>
          <w:sz w:val="18"/>
          <w:szCs w:val="18"/>
          <w:color w:val="auto"/>
        </w:rPr>
        <w:t>Gas, oil and NGL transportation and other handling costs increased $2.9 million, or $0.02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Mcfe, in the first quarter of 2015 when compared to the first quarter of 2014. The per Mcfe expense increase was primarily attributable to additional expenses incurred in the Permian Basin, partially offset by a decrease in the Williston Basin due to a reduction in the NGL processing and transportation costs.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property taxes. </w:t>
      </w:r>
      <w:r>
        <w:rPr>
          <w:rFonts w:ascii="Times New Roman" w:cs="Times New Roman" w:eastAsia="Times New Roman" w:hAnsi="Times New Roman"/>
          <w:sz w:val="18"/>
          <w:szCs w:val="18"/>
          <w:color w:val="auto"/>
        </w:rPr>
        <w:t>In most states in which QEP Energy operates, QEP pays production taxes based on a percentage of field-level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in Louisiana, where severance taxes are volume-based. Production taxes decreased $19.9 million, or $0.28 per Mcfe, during the first quarter of 2015 as a result of decreased gas, oil and NGL revenues due to decreased prices and lower gas and NGL production.</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Exploration expense. </w:t>
      </w:r>
      <w:r>
        <w:rPr>
          <w:rFonts w:ascii="Times New Roman" w:cs="Times New Roman" w:eastAsia="Times New Roman" w:hAnsi="Times New Roman"/>
          <w:sz w:val="18"/>
          <w:szCs w:val="18"/>
          <w:color w:val="auto"/>
        </w:rPr>
        <w:t>Exploration expenses decreased $1.1 million during the first quarter of 2015 compared to the first quarter of 2014. These decreases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related to lower exploration-related labor expenses.</w:t>
      </w:r>
    </w:p>
    <w:p>
      <w:pPr>
        <w:spacing w:after="0" w:line="15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expense. </w:t>
      </w:r>
      <w:r>
        <w:rPr>
          <w:rFonts w:ascii="Times New Roman" w:cs="Times New Roman" w:eastAsia="Times New Roman" w:hAnsi="Times New Roman"/>
          <w:sz w:val="18"/>
          <w:szCs w:val="18"/>
          <w:color w:val="auto"/>
        </w:rPr>
        <w:t>Impairment expense was $20.0 million during the first quarter of 2015, of which $19.4 million was related to proved properties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future prices and $0.6 million was related to expiring leaseholds on unproved properties. Of the $19.4 million impairment on proved properties, $14.5 million related to impairments on QEP's remaining Midcontinent properties and $4.9 million related to impairments in the Other Northern properties. Impairment expense was $2.0 million in the first quarter of 2014 due to unproved property impairments resulting from changes in drilling plans.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580"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QEP MARKETING AND OTHER</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QEP Marketing and Other includes the results of operations from QEP Marketing Company, including the retained interest in the Haynesville Gathering System, an underground storage facility, and corporate. The following table provides a summary of QEP Marketing and Other's financial and operating results: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9"/>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Purchased gas and oil sales</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Purchased gas and oil expense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Gathering and other expense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and property taxes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 (loss) from asset sales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gains (losses) on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Resale Margin</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summary of QEP Marketing’s financial results from resale activities: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9"/>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Resale Margin</w:t>
            </w: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gas and oil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Purchased gas and oil expense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gains (losses) on derivative 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7"/>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Resale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Purchased gas and oil sales decreased by $161.0 million, or 32%, during the first quarter of 2015 compared to the first quarter of 2014, due to a $84.4 million decrease in resale oil sales and a $76.6 million decrease in resale gas sales. Resale oil sales decreased due to a 55% decrease in resale price, partially offset by a 62% increase in resale volumes. Resale gas sales decreased due to a 45% decrease in resale price, partially offset by a 4% increase in resale volumes.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Purchased gas and oil expense, which includes transportation expense, decreased by $155.1 million, or 31%, in the first quarter of 2015 compared to the first quarter of 2014, due to an $83.8 million decrease in resale oil purchases and a $71.3 million decrease in resale gas purchases. Resale oil purchases expense decreased due to a 56% decrease in resale purchase price,</w:t>
      </w:r>
    </w:p>
    <w:p>
      <w:pPr>
        <w:sectPr>
          <w:pgSz w:w="11900" w:h="16838" w:orient="portrait"/>
          <w:cols w:equalWidth="0" w:num="1">
            <w:col w:w="11420"/>
          </w:cols>
          <w:pgMar w:left="240" w:top="57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76" w:right="239" w:bottom="1440" w:gutter="0" w:footer="0" w:header="0"/>
          <w:type w:val="continuous"/>
        </w:sectPr>
      </w:pPr>
    </w:p>
    <w:bookmarkStart w:id="35" w:name="page36"/>
    <w:bookmarkEnd w:id="35"/>
    <w:p>
      <w:pPr>
        <w:ind w:right="20"/>
        <w:spacing w:after="0" w:line="282" w:lineRule="auto"/>
        <w:rPr>
          <w:sz w:val="20"/>
          <w:szCs w:val="20"/>
          <w:color w:val="auto"/>
        </w:rPr>
      </w:pPr>
      <w:r>
        <w:rPr>
          <w:rFonts w:ascii="Times New Roman" w:cs="Times New Roman" w:eastAsia="Times New Roman" w:hAnsi="Times New Roman"/>
          <w:sz w:val="18"/>
          <w:szCs w:val="18"/>
          <w:color w:val="auto"/>
        </w:rPr>
        <w:t>partially offset by a 68% increase in resale purchase volumes. Resale gas purchases expense decreased due to a 34% decrease in the resale purchase price and a 5% decrease in resale purchase volumes.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QEP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Consolidated Expenses and Income from Continuing and Discontinued Operations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 </w:t>
      </w:r>
      <w:r>
        <w:rPr>
          <w:rFonts w:ascii="Times New Roman" w:cs="Times New Roman" w:eastAsia="Times New Roman" w:hAnsi="Times New Roman"/>
          <w:sz w:val="18"/>
          <w:szCs w:val="18"/>
          <w:color w:val="auto"/>
        </w:rPr>
        <w:t>During the first quarter of 2015, general and administrative (G&amp;A) expense increased $2.1 million, or 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quarter of 2014, primarily due to the following: $5.3 million increase in labor and benefits costs associated with an increase in the average number of employees and severance payments related to workforce reduction efforts in the first quarter of 2015 and $3.3 million increase in stock compensation related to grants made in 2015 and changes in QEP's stock price that impacted the mark-to-market value of the Deferred Compensation Wrap Plan and Cash Incentive Plan. These increases were partially offset by a $6.3 million decrease in professional and outside services mainly related to the 2014 Enterprise Resource Planning (ERP) system implementation and additional decreases in other employee expenses.</w:t>
      </w:r>
    </w:p>
    <w:p>
      <w:pPr>
        <w:spacing w:after="0" w:line="18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gain (loss) from asset sales. </w:t>
      </w:r>
      <w:r>
        <w:rPr>
          <w:rFonts w:ascii="Times New Roman" w:cs="Times New Roman" w:eastAsia="Times New Roman" w:hAnsi="Times New Roman"/>
          <w:sz w:val="18"/>
          <w:szCs w:val="18"/>
          <w:color w:val="auto"/>
        </w:rPr>
        <w:t>QEP recognized a loss on sale of assets of $30.5 million during the first quarter of 2015 compared to a gain on sale of $2.4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first quarter of 2014. The loss on sale of assets recognized during the first quarter of 2015 was primarily due to $28.6 million in post-closing adjustments related to QEP Energy's sale of its interest in non-core oil and gas properties in the Midcontinent area in 2014. The gain on sale recognized during the first quarter of 2014 related to QEP Energy's sale of its interest in other non-core oil and gas properties for a pre-tax gain on sale of $2.4 million.</w:t>
      </w:r>
    </w:p>
    <w:p>
      <w:pPr>
        <w:spacing w:after="0" w:line="17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Realized and unrealized gains (losses) on derivative contracts. </w:t>
      </w:r>
      <w:r>
        <w:rPr>
          <w:rFonts w:ascii="Times New Roman" w:cs="Times New Roman" w:eastAsia="Times New Roman" w:hAnsi="Times New Roman"/>
          <w:sz w:val="18"/>
          <w:szCs w:val="18"/>
          <w:color w:val="auto"/>
        </w:rPr>
        <w:t>Gains and losses on derivative instruments are comprised of both realized and unrealized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gains and losses on QEP’s commodity derivative contracts and interest rate swaps, which are marked-to-market each quarter. During the first quarter of 2015, gains on commodity derivative instruments were $80.9 million, of which $104.4 million were realized gains, partially offset by $23.5 million of unrealized losses. During the first quarter of 2014, losses on commodity derivative instruments were $80.2 million, of which $34.7 million were realized and $45.5 million were unrealized. Additionally, during the first quarter of 2014, losses from interest rate swaps were $0.7 million, all of which were realized. All of QEP's interest rate swaps were settled in the fourth quarter of 2014.</w:t>
      </w:r>
    </w:p>
    <w:p>
      <w:pPr>
        <w:spacing w:after="0" w:line="1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$5.1 million, or 12%, during the three months ended March 31, 2015, compared to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2014. The decrease was attributable to average debt levels in the first quarter of 2015 that were $1,240.1 million, or 36%, lower than average debt levels in the first quarter of 2014. The decrease in average debt levels is primarily related to repaying all outstanding borrowings under the revolving credit facility and repaying the $600.0 million term loan from the proceeds of the Midstream Sale in December 2014.</w:t>
      </w:r>
    </w:p>
    <w:p>
      <w:pPr>
        <w:spacing w:after="0" w:line="17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 benefit was $31.5 million during the first quarter of 2015 compared to an income tax provision of $8.2 million during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2014. The income tax rate was 36.2% during the first quarter of 2015 compared to a rate of 39.2% during the first quarter of 2014. The decrease in the effective tax rate is due primarily to a lower state tax rate and the incremental impact of permanent items.</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w:t>
      </w:r>
      <w:r>
        <w:rPr>
          <w:rFonts w:ascii="Times New Roman" w:cs="Times New Roman" w:eastAsia="Times New Roman" w:hAnsi="Times New Roman"/>
          <w:sz w:val="18"/>
          <w:szCs w:val="18"/>
          <w:color w:val="auto"/>
        </w:rPr>
        <w:t>Discontinued operations represent results of operations from QEP Field Services, excluding QEP’s retained Haynesville Gathering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During the first quarter of 2014, net income from discontinued operations was $27.0 million, primarily attributable to NGL sales revenue of $38.0 million and other revenue of $41.9 million, which primarily consists of gathering and processing revenue, partially offset by gathering, processing and other expense of $24.3 million, DD&amp;A of $14.3 million and G&amp;A of $11.3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QEP seeks to fund its development projects by employing a capital structure and financing strategy to provide sufficient liquidity to withstand commodity price volatility. QEP maintains a commodity price derivative strategy to reduce commodity price volatility and to provide some certainty to cash flows. QEP funds its operations, capital expenditures and working capital requirements with cash flow from its operating activities and borrowings under its credit facilities. Periodically, QEP accesses debt and equity capital markets and sells assets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or actual commodity prices differ from the Company’s assumptions, QEP's liquidity could be adversely affected.</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580"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6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 2014</w:t>
            </w:r>
          </w:p>
        </w:tc>
      </w:tr>
      <w:tr>
        <w:trPr>
          <w:trHeight w:val="27"/>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4"/>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60" w:type="dxa"/>
            <w:vAlign w:val="bottom"/>
            <w:gridSpan w:val="4"/>
          </w:tcPr>
          <w:p>
            <w:pPr>
              <w:jc w:val="right"/>
              <w:ind w:right="1370"/>
              <w:spacing w:after="0"/>
              <w:rPr>
                <w:sz w:val="20"/>
                <w:szCs w:val="20"/>
                <w:color w:val="auto"/>
              </w:rPr>
            </w:pPr>
            <w:r>
              <w:rPr>
                <w:rFonts w:ascii="Times New Roman" w:cs="Times New Roman" w:eastAsia="Times New Roman" w:hAnsi="Times New Roman"/>
                <w:sz w:val="18"/>
                <w:szCs w:val="18"/>
                <w:color w:val="auto"/>
              </w:rPr>
              <w:t>(in millions, except %)</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1,160.1</w:t>
            </w:r>
          </w:p>
        </w:tc>
      </w:tr>
      <w:tr>
        <w:trPr>
          <w:trHeight w:val="270"/>
        </w:trPr>
        <w:tc>
          <w:tcPr>
            <w:tcW w:w="68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Amount available under the QEP credit facility </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1,796.3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1,796.3</w:t>
            </w:r>
          </w:p>
        </w:tc>
      </w:tr>
      <w:tr>
        <w:trPr>
          <w:trHeight w:val="257"/>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liquidity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2,296.7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2,956.4</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2,218.3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2,218.1</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common shareholders'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4,075.3</w:t>
            </w:r>
          </w:p>
        </w:tc>
      </w:tr>
      <w:tr>
        <w:trPr>
          <w:trHeight w:val="248"/>
        </w:trPr>
        <w:tc>
          <w:tcPr>
            <w:tcW w:w="6840" w:type="dxa"/>
            <w:vAlign w:val="bottom"/>
          </w:tcPr>
          <w:p>
            <w:pPr>
              <w:ind w:left="40"/>
              <w:spacing w:after="0" w:line="247" w:lineRule="exact"/>
              <w:rPr>
                <w:sz w:val="20"/>
                <w:szCs w:val="20"/>
                <w:color w:val="auto"/>
              </w:rPr>
            </w:pPr>
            <w:r>
              <w:rPr>
                <w:rFonts w:ascii="Times New Roman" w:cs="Times New Roman" w:eastAsia="Times New Roman" w:hAnsi="Times New Roman"/>
                <w:sz w:val="18"/>
                <w:szCs w:val="18"/>
                <w:color w:val="auto"/>
              </w:rPr>
              <w:t xml:space="preserve">Ratio of debt to total capital </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ind w:left="660" w:right="60" w:hanging="314"/>
        <w:spacing w:after="0" w:line="211"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discussion of revolving credit facility below. Availability under QEP's credit facility is reduced by outstanding letters of credit of $3.7 million as of March 31, 2015 and December 31, 2014, respectively.</w:t>
      </w:r>
    </w:p>
    <w:p>
      <w:pPr>
        <w:spacing w:after="0" w:line="1" w:lineRule="exact"/>
        <w:rPr>
          <w:rFonts w:ascii="Times New Roman" w:cs="Times New Roman" w:eastAsia="Times New Roman" w:hAnsi="Times New Roman"/>
          <w:sz w:val="25"/>
          <w:szCs w:val="25"/>
          <w:color w:val="auto"/>
          <w:vertAlign w:val="superscript"/>
        </w:rPr>
      </w:pPr>
    </w:p>
    <w:p>
      <w:pPr>
        <w:ind w:left="660" w:hanging="314"/>
        <w:spacing w:after="0" w:line="180"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Defined as total debt divided by the sum of total debt plus common shareholders’ equity.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QEP's Credit Facility</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QEP’s weighted-average interest rate on borrowings from its credit facility was 2.19%. At March 31, 2015 and December 31, 2014, QEP had no borrowings outstanding, had $3.7 million in letters of credit outstanding under the credit facility and was in compliance with the covenants under the credit facility. At April 24, 2015, QEP had no borrowings outstanding and had $3.7 million of letters of credit outstanding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senior notes outstanding as of March 31, 2015, totaled $2,221.8 million principal amount and are comprised of six issuances as follows: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$176.8 million 6.05% Senior Notes due September 2016;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$134.0 million 6.80% Senior Notes due April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$136.0 million 6.80% Senior Notes due March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$625.0 million 6.875% Senior Notes due March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million 5.375% Senior Notes due October 2022;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 million 5.25% Senior Notes due May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flows from operations are primarily affected by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from operating activities decreased $595.1 million during the first quarter of 2015 compared to the first quarter of 2014, due to a decrease in changes in operating assets and liabilities, lower non-cash adjustments to net income and a net loss incurred during the first quarter of 2015. Changes in operating activities decreased $453.9 million, which was mainly due to a decrease in income taxes payable from the gain on the Midstream Sale, which were paid in the first quarter of 2015. Net cash from operating activities is presented below: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adjustments to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first quarter of 2015, net cash used in investing activities was $340.5 million, compared to $1,223.9 million in the first quarter of 2014. This decrease in investing activities was due to a 73% decrease in capital expenditures on a cash basis. Capital expenditures decreased primarily because of the Permian Basin Acquisition, which closed in the first quarter of 2014 for a total purchase price of $941.8 million, as well as a reduction in capital activity due to the current price environment. A comparison of capital expenditures for the first quarter of 2015 and 2014 and a forecast for calendar year 2015 are presented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Twelve Months</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30"/>
              <w:spacing w:after="0" w:line="265" w:lineRule="exact"/>
              <w:rPr>
                <w:sz w:val="20"/>
                <w:szCs w:val="20"/>
                <w:color w:val="auto"/>
              </w:rPr>
            </w:pPr>
            <w:r>
              <w:rPr>
                <w:rFonts w:ascii="Times New Roman" w:cs="Times New Roman" w:eastAsia="Times New Roman" w:hAnsi="Times New Roman"/>
                <w:sz w:val="18"/>
                <w:szCs w:val="18"/>
                <w:color w:val="auto"/>
                <w:w w:val="91"/>
              </w:rPr>
              <w:t xml:space="preserve">Ended </w:t>
            </w:r>
            <w:r>
              <w:rPr>
                <w:rFonts w:ascii="Times New Roman" w:cs="Times New Roman" w:eastAsia="Times New Roman" w:hAnsi="Times New Roman"/>
                <w:sz w:val="25"/>
                <w:szCs w:val="25"/>
                <w:color w:val="auto"/>
                <w:w w:val="91"/>
                <w:vertAlign w:val="superscript"/>
              </w:rPr>
              <w:t>(1)</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280.2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QEP Marketing and 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accruals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capital expenditures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Forecast as reported in the December 31, 2014, Form 10-K/A, filed on February 25, 2015.</w:t>
      </w:r>
    </w:p>
    <w:p>
      <w:pPr>
        <w:spacing w:after="0" w:line="1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first quarter of 2015, QEP Energy's capital expenditures, on an accrual basis, decreased $983.0 million over the first quarter of 2014 to a total of $280.2 million, which was primarily driven by the Permian Basin Acquisition. In addition, capital expenditures decreased $51.0 million in the Williston Basin and $23.4 million in Pinedale due to reductions in QEP's capital expenditures in response to the current pricing environment and $24.4 million in the Midcontinent due to 2014 divestitures. These decreases were partially offset by increases of $41.6 million in the Permian Basin and $13.8 million in Haynesville/Cotton Valley.</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March 31, 2015, the midpoint of our forecasted capital investment for 2015 is $975.0 million, comprised of $960.0 million allocated to QEP Energy and $15.0 million between QEP Marketing and Other. QEP intends to fund capital expenditures with cash flow from operating activities, and, if needed, borrowings under its revolving credit facility. As a result of the decline in oil and gas prices, forecasted capital investment in 2015 is expected to be significantly lower than in 2014. QEP plans minimal capital expenditures for the Haynesville Shale and other dry-gas development areas in 2015 and plans to focus investment during 2015 on higher return projects, including oil-directed horizontal drilling in the Williston Basin and the Permian Basin. QEP Energy has allocated approximately 96% of its forecasted 2015 drilling and completion capital expenditure budget to oil and liquids-rich gas plays. QEP plans to invest approximately $15.0 million in capital expenditures related to corporate activities. The aggregate levels of capital expenditures for 2015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42"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first quarter of 2015, net cash used in financing activities was $46.5 million compared to net cash provided by financing activities of $893.5 million in the first quarter of 2014. During the first quarter of 2015, QEP had checks outstanding in excess of cash balances of $38.9 million and $3.5 million of regular quarterly dividend payments. During the first quarter of 2014, QEP had borrowings from the credit facility of $1,643.0 million offset by repayments on the credit facility of $1,021.5 million as well as an additional issuance of $300.0 million under its term loan which were used to fund the Permian Basin Acquisition. These borrowings were offset by lower checks outstanding in excess of cash balances of $12.5 million and $3.6 million of regular quarterly dividends payment during the first quarter of 2014.</w:t>
      </w:r>
    </w:p>
    <w:p>
      <w:pPr>
        <w:spacing w:after="0" w:line="18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March 31, 2015, the Company did not have any borrowings outstanding under the credit facility and $2,221.8 million in senior notes (excluding $3.5 million of net original issue discount).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QEP’s primary market risk exposures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gas commodity prices experience a sustained, significant decline. Furthermore, the Company’s credit facility has a floating interest rate, which expose QEP to interest rate risk. To manage the Company’s exposure to these risks, QEP enters into commodity derivative contracts in the form of fixed-price swaps to manage commodity price risk and periodically interest rate swaps to manage 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 Management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QEP uses commodity price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swaps or collars. The volume of commodity derivative instruments utilized by the Company may vary from year-to-year based on QEP's forecasted production. The derivative instruments utilized by the Company do not have margin requirements or collateral provisions that would require payments prior to the scheduled cash settlement dates. As of March 31, 2015, QEP held commodity price derivative contracts totaling 145.5 million MMBtu of gas and 8.3 million barrels of oil.</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QEP's derivative positions as of April 24, 2015. See Note 8 - Derivative Contracts, under Part 1, Item 1 of this Quarterly Report on Form 10-Q for open derivative positions as of March 31, 2015.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9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49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QEP Energy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9"/>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Average Swap</w:t>
            </w:r>
          </w:p>
        </w:tc>
      </w:tr>
      <w:tr>
        <w:trPr>
          <w:trHeight w:val="234"/>
        </w:trPr>
        <w:tc>
          <w:tcPr>
            <w:tcW w:w="39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Type of Contract</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Index</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Volumes</w:t>
            </w: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price per unit</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Gas sales</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NYMEX HH</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390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HH</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43"/>
        </w:trPr>
        <w:tc>
          <w:tcPr>
            <w:tcW w:w="3900" w:type="dxa"/>
            <w:vAlign w:val="bottom"/>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rPr>
              <w:t>Oil Sales</w:t>
            </w: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83.93</w:t>
            </w:r>
          </w:p>
        </w:tc>
      </w:tr>
      <w:tr>
        <w:trPr>
          <w:trHeight w:val="243"/>
        </w:trPr>
        <w:tc>
          <w:tcPr>
            <w:tcW w:w="390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ICE Brent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104.95</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900" w:type="dxa"/>
            <w:vAlign w:val="bottom"/>
            <w:shd w:val="clear" w:color="auto" w:fill="CCEEFF"/>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WTI</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66.06</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QEP Energy Crude Oil Collars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Average Price</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Average Price</w:t>
            </w:r>
          </w:p>
        </w:tc>
      </w:tr>
      <w:tr>
        <w:trPr>
          <w:trHeight w:val="270"/>
        </w:trPr>
        <w:tc>
          <w:tcPr>
            <w:tcW w:w="3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Year</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Index</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Volume</w:t>
            </w: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Floor</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Ceiling</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($/bbl)</w:t>
            </w:r>
          </w:p>
        </w:tc>
        <w:tc>
          <w:tcPr>
            <w:tcW w:w="320" w:type="dxa"/>
            <w:vAlign w:val="bottom"/>
          </w:tcPr>
          <w:p>
            <w:pPr>
              <w:spacing w:after="0"/>
              <w:rPr>
                <w:sz w:val="20"/>
                <w:szCs w:val="20"/>
                <w:color w:val="auto"/>
              </w:rPr>
            </w:pPr>
          </w:p>
        </w:tc>
        <w:tc>
          <w:tcPr>
            <w:tcW w:w="17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($/bbl)</w:t>
            </w: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(bbls)</w:t>
            </w:r>
          </w:p>
        </w:tc>
        <w:tc>
          <w:tcPr>
            <w:tcW w:w="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880" w:type="dxa"/>
            <w:vAlign w:val="bottom"/>
            <w:shd w:val="clear" w:color="auto" w:fill="CCEEFF"/>
          </w:tcPr>
          <w:p>
            <w:pPr>
              <w:jc w:val="right"/>
              <w:ind w:right="23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NYMEX WTI</w:t>
            </w:r>
          </w:p>
        </w:tc>
        <w:tc>
          <w:tcPr>
            <w:tcW w:w="27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64.35</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QEP Energy Gas Basis Swaps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9"/>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34"/>
        </w:trPr>
        <w:tc>
          <w:tcPr>
            <w:tcW w:w="4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Year</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Index</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Index Less Differential</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($/MMBtu)</w:t>
            </w:r>
          </w:p>
        </w:tc>
      </w:tr>
      <w:tr>
        <w:trPr>
          <w:trHeight w:val="270"/>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Gas basis swaps</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jc w:val="right"/>
              <w:ind w:right="327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NYMEX HH</w:t>
            </w:r>
          </w:p>
        </w:tc>
        <w:tc>
          <w:tcPr>
            <w:tcW w:w="2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8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QEP Marketing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9"/>
        </w:trPr>
        <w:tc>
          <w:tcPr>
            <w:tcW w:w="2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Average Swap</w:t>
            </w:r>
          </w:p>
        </w:tc>
      </w:tr>
      <w:tr>
        <w:trPr>
          <w:trHeight w:val="216"/>
        </w:trPr>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price</w:t>
            </w:r>
          </w:p>
        </w:tc>
      </w:tr>
      <w:tr>
        <w:trPr>
          <w:trHeight w:val="234"/>
        </w:trPr>
        <w:tc>
          <w:tcPr>
            <w:tcW w:w="2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Year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Type of Contract</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Index</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per MMBtu</w:t>
            </w:r>
          </w:p>
        </w:tc>
      </w:tr>
      <w:tr>
        <w:trPr>
          <w:trHeight w:val="27"/>
        </w:trPr>
        <w:tc>
          <w:tcPr>
            <w:tcW w:w="2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Gas sales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2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Gas purchases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(MMBtu)</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675"/>
        </w:trPr>
        <w:tc>
          <w:tcPr>
            <w:tcW w:w="2980" w:type="dxa"/>
            <w:vAlign w:val="bottom"/>
          </w:tcPr>
          <w:p>
            <w:pPr>
              <w:spacing w:after="0"/>
              <w:rPr>
                <w:sz w:val="24"/>
                <w:szCs w:val="24"/>
                <w:color w:val="auto"/>
              </w:rPr>
            </w:pPr>
          </w:p>
        </w:tc>
        <w:tc>
          <w:tcPr>
            <w:tcW w:w="33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65"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derivative contracts from December 31, 2014 to March 31, 2015, are presented below:</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6"/>
        </w:trPr>
        <w:tc>
          <w:tcPr>
            <w:tcW w:w="9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Commodity</w:t>
            </w:r>
          </w:p>
        </w:tc>
      </w:tr>
      <w:tr>
        <w:trPr>
          <w:trHeight w:val="238"/>
        </w:trPr>
        <w:tc>
          <w:tcPr>
            <w:tcW w:w="97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derivative contracts</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fair value of oil and gas derivative contracts outstanding at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348.9</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 settled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oil and gas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 added</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fair value of oil and gas derivative contracts outstanding at March 31, 2015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325.4</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shows the sensitivity of the fair value of gas and oil derivative contracts to changes in the market price of gas, oil and NGL and basis differentials: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2015</w:t>
            </w:r>
          </w:p>
        </w:tc>
      </w:tr>
      <w:tr>
        <w:trPr>
          <w:trHeight w:val="27"/>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(in millions)</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fair value - asset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if market prices of oil and gas and basis differentials decline by 10%</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398.9</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if market prices of oil and gas and basis differentials increase by 10%</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250.9</w:t>
            </w:r>
          </w:p>
        </w:tc>
      </w:tr>
      <w:tr>
        <w:trPr>
          <w:trHeight w:val="27"/>
        </w:trPr>
        <w:tc>
          <w:tcPr>
            <w:tcW w:w="9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Utilizing the actual derivative volumes, a 10% increase in underlying commodity prices would reduce the fair value of these instruments by $74.5 million, while a 10% decrease in underlying commodity prices would increase the fair value of these instruments by $73.5 million as of March 31, 2015. However, a gain or loss eventually would be offset by the actual sales value of the physical production covered by the derivative instruments. For additional information regarding the Company’s commodity derivative transactions, see Note 8 – Derivative Contracts under Part I, Item 1 of this Quarterly Report on Form 10-Q.</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29"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The Company’s ability to borrow and the rates offered by lenders can be adversely affected by illiquid credit markets as described in the risk factors in Item 1A of Part I of the Company’s Annual Report on Form 10-K/A for the year ended December 31, 2014. The Company’s credit facility has a floating interest rate, which exposes QEP to interest rate risk. At March 31, 2015, the Company did not have any borrowings outstanding under its revolving credit facility.</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remaining $2,221.8 million of the Company’s debt is Senior Notes with fixed interest rates; therefore, it is not affected by interest rate movements. For additional information regarding the Company’s debt instruments, see Note 9 – Debt, in Item I of Part I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84" w:lineRule="exact"/>
        <w:rPr>
          <w:sz w:val="20"/>
          <w:szCs w:val="20"/>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sale of our midstream business;</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continued growth by focusing on exploration and production assets;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pursue acquisition opportunities;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liquidity position providing financial flexibility;</w:t>
      </w:r>
    </w:p>
    <w:p>
      <w:pPr>
        <w:spacing w:after="0" w:line="9" w:lineRule="exact"/>
        <w:rPr>
          <w:rFonts w:ascii="Times New Roman" w:cs="Times New Roman" w:eastAsia="Times New Roman" w:hAnsi="Times New Roman"/>
          <w:sz w:val="18"/>
          <w:szCs w:val="18"/>
          <w:color w:val="auto"/>
        </w:rPr>
      </w:pPr>
    </w:p>
    <w:p>
      <w:pPr>
        <w:ind w:left="740" w:right="560" w:hanging="327"/>
        <w:spacing w:after="0" w:line="250"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sufficiency of cash flow from operations, cash-on-hand and availability under our credit facility to fund our planned capital expenditures and operating expenses;</w:t>
      </w: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plans;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improving well design and reducing costs;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planned drilling operations and production operations;</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to recover or reject ethane from produced natural gas;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lower or higher commodity prices and interest rates;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oil, gas and NGL prices;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global geopolitical and macroeconomic events;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to enter into derivative contracts and manage counterparty risk;</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results for acquired properties;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to divest of non-core assets;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gain or loss on sale of assets;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and allocation of forecasted capital expenditures and plans for funding capital expenditures and operating expenses;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impact of proposed environmental legislation and studies;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regulations;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contingencies such as legal proceedings;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equity compensation;</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compensation costs related to equity compensation grants;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contributions to our pension plans;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Adjusted EBITDA (a non-GAAP financial measure) as a measure of performance;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transportation and refining capacity issues;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and critical accounting estimates;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future asset impairments and impact of impairments on financial statements; and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timing and amount of share repurchases.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4"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Part I, Item 1A of the Company’s Annual Report on Form 10-K/A for the year ended December 31, 2014;</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gas, oil and NGL prices;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performance of financial markets and interest rates;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results;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oilfield equipment, services and personnel;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pipeline, processing and refining capacity;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assets;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contingencies such as legal proceedings;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delays;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such as unexpected drilling conditions;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debt and equity financing;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regarding climate change and other initiatives related to drilling and completion techniques, including hydraulic fracturing;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activities;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commodity-futures market;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internal controls and procedures;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information technology infrastructure or applications;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federal income tax deductions for oil and gas exploration and development costs;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and compliance with contractual obligations;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inaction, by federal, state, local or tribal governments;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disruptions in, adequate and reliable transportation for our production;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levels;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levels;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most of which are beyond the Company’s control.</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20"/>
          </w:cols>
          <w:pgMar w:left="240" w:top="580"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correct or update the forward-looking statements in this Quarterly Report on Form 10-Q, in other documents, or on the website to reflect future events or circumstances. All such statements are expressly qualified by this cautionary statement.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March 31, 2015. Based on such evaluation, such officers have concluded that, as of March 31, 2015,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that occurred during the quarter ended March 31, 2015, that have materially affected, or are reasonably likely to materially affect, the Company's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2012, QEP completed a field audit of its operations in Northwest Louisiana, which identified 112 instances affecting approximately 90 acres where work may have discharged dredged or fill material into waters of the United States in violation of the Clean Water Act. QEP self-reported each of these instances to the Environmental Protection Agency (EPA) under the EPA's Audit Policy and to the U.S. Army Corps of Engineers (COE). In April 2015, QEP and the EPA executed Consent Agreements and Final Orders, under the terms of which QEP agreed to pay $0.2 million in civil penalties to resolve all violations. All of the impacts have been mitigated and permitted with COE.</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department prior to construction, modification, or operation. QEP has corrected and disclosed all instances of non-compliance to the LDEQ and is working with the department to resolve the NOPP. The LDEQ has assumed lead responsibility for enforcement of the NOPP, and may require the Company to pay a monetary penalty.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Risk factors relating to the Company are set forth in its Annual Report on Form 10-K/A for the year ended December 31, 2014. Below are material changes to such risk factors that have occurred during the three months ended March 31, 2015.</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QEP's ability to produce oil and gas economically and in commercial quantities could be impaired if it is unable to acquire adequate supplies of water for its drilling and completion operations or is unable to dispose of or recycle the water or other waste at a reasonable cost and in accordance with applicable environmental rules. </w:t>
      </w:r>
      <w:r>
        <w:rPr>
          <w:rFonts w:ascii="Times New Roman" w:cs="Times New Roman" w:eastAsia="Times New Roman" w:hAnsi="Times New Roman"/>
          <w:sz w:val="18"/>
          <w:szCs w:val="18"/>
          <w:color w:val="auto"/>
        </w:rPr>
        <w:t>The hydraulic fracture stimulation process on which QEP depends to produce commercial quantities of oil and gas requires the use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disposal of significant quantities of water. The availability of disposal wells with sufficient capacity to receive all of the water produced from QEP’s wells may affect QEP’s production. In some cases, QEP may need to obtain water from new sources and transport it to drilling sites, resulting in increased costs. QEP's inability to secure sufficient amounts of water, or to dispose of or recycle the water used in its operations, could adversely impact its operations. Moreover, the imposition of new environmental initiatives and regulations could include restrictions on QEP's ability to conduct certain operations such as hydraulic fracturing or disposal of waste, including, but not limited to, produced water, drilling fluids and other wastes associated with the exploration, development or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4" w:name="page45"/>
    <w:bookmarkEnd w:id="44"/>
    <w:p>
      <w:pPr>
        <w:ind w:right="80"/>
        <w:spacing w:after="0" w:line="254" w:lineRule="auto"/>
        <w:rPr>
          <w:sz w:val="20"/>
          <w:szCs w:val="20"/>
          <w:color w:val="auto"/>
        </w:rPr>
      </w:pPr>
      <w:r>
        <w:rPr>
          <w:rFonts w:ascii="Times New Roman" w:cs="Times New Roman" w:eastAsia="Times New Roman" w:hAnsi="Times New Roman"/>
          <w:sz w:val="18"/>
          <w:szCs w:val="18"/>
          <w:color w:val="auto"/>
        </w:rPr>
        <w:t>production of gas. Compliance with environmental regulations and permit requirements governing the withdrawal, storage and use of surface water or groundwater necessary for hydraulic fracturing of wells may increase QEP's operating costs or may cause QEP to delay, curtail or discontinue its exploration and development plans, which could have a material adverse effect on its business, financial condition, results of operations and cash flows. In addition, concerns have been raised about the potential for induced seismicity to occur from the use of underground injection wells, a predominant method for disposing of waste water (including hydraulic fracturing flowback water) from oil and gas activities. QEP operates injection wells and utilizes injection wells owned by third parties to dispose of waste water associated with its operations. New rules and regulations may be developed to address these concerns, possibly limiting or eliminating the ability to use disposal wells in certain locations and increasing the cost of disposal in others. Further, lawsuits against other companies have been filed by plaintiffs alleging they suffered damages from seismicity caused by injection of waste water into disposal wells, which may make it more expensive or difficult to conduct water disposal activities and to obtain insurance for such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hydraulic fracturing legislation or regulatory initiatives could increase QEP's costs and restrict its access to oil and gas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reserves. </w:t>
      </w:r>
      <w:r>
        <w:rPr>
          <w:rFonts w:ascii="Times New Roman" w:cs="Times New Roman" w:eastAsia="Times New Roman" w:hAnsi="Times New Roman"/>
          <w:sz w:val="18"/>
          <w:szCs w:val="18"/>
          <w:color w:val="auto"/>
        </w:rPr>
        <w:t>Currently, well construction activities, including hydraulic fracture stimulation, are regulated by state agencies that review and approve all aspects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gas well design and operation. The EPA recently asserted federal regulatory authority over certain hydraulic fracturing activities involving diesel fuel under the federal SDWA and issued guidance related to this newly asserted regulatory authority. The EPA appears to be considering its existing regulatory authorities for possible avenues to further regulate hydraulic fracturing fluids and/or the components of those fluids. Additionally, the BLM proposed in May 2012, new regulations regarding chemical disclosure requirements and other regulations specific to well stimulation activities, including hydraulic fracturing, on federal and tribal lands and proposed further revision to those regulations in May 2013. The BLM finalized those regulations in March 2015, to become effective in June 2015. The new regulations have the potential to increase the cost of drilling and completing any well requiring federal permits, and could result in further delays in getting such permits to authorize drilling and completion activities on federal and tribal lands. Several states, including some in which the Company operates, have filed suit against the Department of Interior over the final BLM hydraulic fracturing regulations, which could contribute to increased uncertainty regarding the Company’s compliance obligations on federal and tribal lands.</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Legislation has also been introduced before Congress to provide for federal regulation of hydraulic fracturing and to require disclosure of the chemicals used in the hydraulic fracturing process, notwithstanding the proposed and ongoing rulemaking proceedings noted above. At the state level, some states have adopted and other states are considering adopting regulations that could restrict hydraulic fracturing in certain circumstances. In the event that new or more stringent federal, state or local regulations,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EPA is also considering other potential regulation of hydraulic fracturing activities. For example, the EPA is considering regulation of wastewater discharges from hydraulic fracturing and other natural gas production under the federal Clean Water Act. The EPA is also collecting information as part of a nationwide study into the effects of hydraulic fracturing on drinking water. The EPA issued a progress report regarding the study in December 2012, which described generally the continuing focus of the study, but did not provide any data, findings, or conclusions regarding the safety of hydraulic fracturing operations. The EPA intends to issue a final draft report for peer review and comment at the completion of the study. The results of this study, which is still ongoing, could result in additional regulations, which could lead to operational burdens similar to those described above. The EPA has also issued an advance notice of proposed rulemaking and initiated a public participation process under the Toxic Substances Control Act (TSCA) to seek comment on the information that should be reported or disclosed for hydraulic fracturing chemical substances and mixtures and the mechanisms for obtaining this information. Additionally, on January 7, 2015, several national environmental advocacy groups filed a lawsuit requesting that the EPA add the oil and gas extraction industry to the list of industries required to report releases of certain "toxic chemicals" under EPCRA's Toxics Release Inventory (TRI) program.</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82" w:lineRule="auto"/>
        <w:rPr>
          <w:sz w:val="20"/>
          <w:szCs w:val="20"/>
          <w:color w:val="auto"/>
        </w:rPr>
      </w:pPr>
      <w:r>
        <w:rPr>
          <w:rFonts w:ascii="Times New Roman" w:cs="Times New Roman" w:eastAsia="Times New Roman" w:hAnsi="Times New Roman"/>
          <w:sz w:val="18"/>
          <w:szCs w:val="18"/>
          <w:color w:val="auto"/>
        </w:rPr>
        <w:t>The following repurchases of QEP shares were made by QEP in association with vested restricted stock awards withheld for taxes.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Total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Remaining dollar amount</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9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that may be</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19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publicly announced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65"/>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5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5"/>
                <w:szCs w:val="25"/>
                <w:b w:val="1"/>
                <w:bCs w:val="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00" w:type="dxa"/>
            <w:vAlign w:val="bottom"/>
            <w:tcBorders>
              <w:bottom w:val="single" w:sz="8" w:color="CCEEFF"/>
            </w:tcBorders>
          </w:tcPr>
          <w:p>
            <w:pPr>
              <w:spacing w:after="0"/>
              <w:rPr>
                <w:sz w:val="23"/>
                <w:szCs w:val="23"/>
                <w:color w:val="auto"/>
              </w:rPr>
            </w:pPr>
          </w:p>
        </w:tc>
        <w:tc>
          <w:tcPr>
            <w:tcW w:w="19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2015 - January 31, 2015</w:t>
            </w:r>
          </w:p>
        </w:tc>
        <w:tc>
          <w:tcPr>
            <w:tcW w:w="1760" w:type="dxa"/>
            <w:vAlign w:val="bottom"/>
            <w:tcBorders>
              <w:bottom w:val="single" w:sz="8" w:color="CCEEFF"/>
            </w:tcBorders>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400.3</w:t>
            </w:r>
          </w:p>
        </w:tc>
      </w:tr>
      <w:tr>
        <w:trPr>
          <w:trHeight w:val="243"/>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2015 - February 28, 2015</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400.3</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2015 - March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400.3</w:t>
            </w:r>
          </w:p>
        </w:tc>
      </w:tr>
      <w:tr>
        <w:trPr>
          <w:trHeight w:val="212"/>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ind w:left="660" w:right="200" w:hanging="314"/>
        <w:spacing w:after="0" w:line="223" w:lineRule="auto"/>
        <w:tabs>
          <w:tab w:leader="none" w:pos="66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All of the 204,100 shares purchased during the three-month period ended March 31, 2015, were acquired from employees in connection with the settlement of income tax and related benefit withholding obligations arising from vesting in restricted stock grants. These shares were not part of a publicly announced program to purchase common stock. Stock options that are net settled do not involve the acquisition of any shares.</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three months ended March 31, 2015, no shares were repurchased.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 No.</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18"/>
        </w:trPr>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of Performance Share Unit Award Agreement under the QEP Resources, Inc. Cash Incentive Plan, for awards to executive</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officers after 2014 (incorporated by reference to Exhibit 10.42 to the Company's Annual Report on Form 10-K for the year ended</w:t>
            </w:r>
          </w:p>
        </w:tc>
      </w:tr>
      <w:tr>
        <w:trPr>
          <w:trHeight w:val="241"/>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2014, filed with the Securities and Exchange Commission on February 24, 2015.)</w:t>
            </w:r>
          </w:p>
        </w:tc>
      </w:tr>
      <w:tr>
        <w:trPr>
          <w:trHeight w:val="225"/>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QEP Resources, Inc. Deferred Compensation Plan for Directors, Amended and Restated, effective as of August 1, 2014 (incorporated</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reference to Exhibit 10.1 to the Company's Quarterly Report on Form 10-Q for the quarter ended June 30, 2014, filed with the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and Exchange Commission on August 6, 2014), as amended and restated by the QEP Resources, Inc. Deferred</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Plan for Directors, Amended and Restated, effective as of February 23, 2015 (incorporated by reference to Exhibit</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 to the Company's Annual Report on Form 10-K for the year ended December 31, 2014, filed with the Securities and Exchange</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Commission on February 24, 2015.)</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5"/>
        </w:trPr>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QEP Resources, Inc. Amended Deferred Compensation Wrap Plan adopted January 28, 2013 (Incorporated by reference to Exhibit</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 to the Company's Current Report on Form 8-K filed with the Securities and Exchange Commission on January 1, 2013). As</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amended and restated by the QEP Resources, Inc. Amended Deferred Compensation Wrap Plan, effective as of February 23, 2015</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10.10 to the Company's Annual Report on Form 10-K for the year ended December 31, 2014,</w:t>
            </w:r>
          </w:p>
        </w:tc>
      </w:tr>
      <w:tr>
        <w:trPr>
          <w:trHeight w:val="241"/>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filed with the Securities and Exchange Commission on February 24, 2015.)</w:t>
            </w:r>
          </w:p>
        </w:tc>
      </w:tr>
      <w:tr>
        <w:trPr>
          <w:trHeight w:val="225"/>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signed by Charles B. Stanley, QEP Resources, Inc.’s Chief Executive Officer, pursuant to Section 302 of the Sarbanes-</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5"/>
        </w:trPr>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Certification signed by Richard J. Doleshek, QEP Resources, Inc.’s Chief Financial Officer, pursuant to Section 302 of the Sarbanes-</w:t>
            </w:r>
          </w:p>
        </w:tc>
      </w:tr>
      <w:tr>
        <w:trPr>
          <w:trHeight w:val="241"/>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25"/>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signed by Charles B. Stanley and Richard J. Doleshek, QEP Resources, Inc.’s Chief Executive Officer and Chief</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 respectively, pursuant to Section 906 of the Sarbanes-Oxley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43"/>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243"/>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702"/>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1">
            <w:col w:w="11080"/>
          </w:cols>
          <w:pgMar w:left="240" w:top="576" w:right="5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QEP RESOURCES, INC.</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29, 2015</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Charles B. Stanley</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B. Stanley,</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50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29, 2015</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J. Doleshek</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Doleshek,</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56"/>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QEP Resources,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2015</w:t>
      </w:r>
    </w:p>
    <w:p>
      <w:pPr>
        <w:spacing w:after="0" w:line="36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305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QEP Resources,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2015</w:t>
      </w:r>
    </w:p>
    <w:p>
      <w:pPr>
        <w:spacing w:after="0" w:line="38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this report of QEP Resources, Inc. (the Company) on Form 10-Q for the period ended March 31, 2015,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April 29, 2015</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April 29, 2015</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2019-12-29T17:16:20Z</dcterms:created>
  <dcterms:modified xsi:type="dcterms:W3CDTF">2019-12-29T17:16:20Z</dcterms:modified>
</cp:coreProperties>
</file>