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26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333" w:lineRule="exact"/>
        <w:rPr>
          <w:sz w:val="24"/>
          <w:szCs w:val="24"/>
          <w:color w:val="auto"/>
        </w:rPr>
      </w:pPr>
    </w:p>
    <w:p>
      <w:pPr>
        <w:ind w:left="700" w:right="224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980" w:type="dxa"/>
            <w:vAlign w:val="bottom"/>
          </w:tcPr>
          <w:p>
            <w:pPr>
              <w:spacing w:after="0"/>
              <w:rPr>
                <w:sz w:val="20"/>
                <w:szCs w:val="20"/>
                <w:color w:val="auto"/>
              </w:rPr>
            </w:pPr>
          </w:p>
        </w:tc>
      </w:tr>
      <w:tr>
        <w:trPr>
          <w:trHeight w:val="378"/>
        </w:trPr>
        <w:tc>
          <w:tcPr>
            <w:tcW w:w="264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STATE OF DELAWARE</w:t>
            </w:r>
          </w:p>
        </w:tc>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001-34778</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87-0287750</w:t>
            </w:r>
          </w:p>
        </w:tc>
      </w:tr>
      <w:tr>
        <w:trPr>
          <w:trHeight w:val="270"/>
        </w:trPr>
        <w:tc>
          <w:tcPr>
            <w:tcW w:w="26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26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640" w:type="dxa"/>
            <w:vAlign w:val="bottom"/>
          </w:tcPr>
          <w:p>
            <w:pPr>
              <w:spacing w:after="0"/>
              <w:rPr>
                <w:sz w:val="24"/>
                <w:szCs w:val="24"/>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1050 17</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Street, Suite 500, Denver, Colorado 80265</w:t>
            </w:r>
          </w:p>
        </w:tc>
        <w:tc>
          <w:tcPr>
            <w:tcW w:w="198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927" w:right="25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4860" w:space="720"/>
            <w:col w:w="2660" w:space="720"/>
            <w:col w:w="100"/>
          </w:cols>
          <w:pgMar w:left="240" w:top="92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620" w:space="720"/>
            <w:col w:w="4860" w:space="720"/>
            <w:col w:w="2660" w:space="720"/>
            <w:col w:w="100"/>
          </w:cols>
          <w:pgMar w:left="240" w:top="927" w:right="259" w:bottom="1440" w:gutter="0" w:footer="0" w:header="0"/>
          <w:type w:val="continuous"/>
        </w:sectPr>
      </w:pPr>
    </w:p>
    <w:p>
      <w:pPr>
        <w:spacing w:after="0" w:line="31" w:lineRule="exact"/>
        <w:rPr>
          <w:sz w:val="24"/>
          <w:szCs w:val="24"/>
          <w:color w:val="auto"/>
        </w:rPr>
      </w:pPr>
    </w:p>
    <w:p>
      <w:pPr>
        <w:spacing w:after="0" w:line="207" w:lineRule="exact"/>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March 31, 2013, there were 179,264,719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4"/>
              </w:rPr>
            </w:pPr>
            <w:hyperlink w:anchor="page3">
              <w:r>
                <w:rPr>
                  <w:rFonts w:ascii="Arial" w:cs="Arial" w:eastAsia="Arial" w:hAnsi="Arial"/>
                  <w:sz w:val="18"/>
                  <w:szCs w:val="18"/>
                  <w:color w:val="0000FF"/>
                  <w:w w:val="94"/>
                </w:rPr>
                <w:t>UNAUDITED CONDENSED CONSOLIDATED STATEMENTS OF OPERATIONS FOR THE THREE</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MONTHS ENDED MARCH 31,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CONDENSED CONSOLIDATED STATEMENTS OF COMPREHENSIVE INCOME FOR THE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THREE MONTHS ENDED MARCH 31,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BALANCE SHEETS AT MARCH 31, 2013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2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2012</w:t>
              </w:r>
            </w:hyperlink>
          </w:p>
        </w:tc>
        <w:tc>
          <w:tcPr>
            <w:tcW w:w="1140" w:type="dxa"/>
            <w:vAlign w:val="bottom"/>
            <w:tcBorders>
              <w:top w:val="single" w:sz="8" w:color="CCEEFF"/>
            </w:tcBorders>
            <w:gridSpan w:val="5"/>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5"/>
              </w:rPr>
            </w:pPr>
            <w:hyperlink w:anchor="page6">
              <w:r>
                <w:rPr>
                  <w:rFonts w:ascii="Arial" w:cs="Arial" w:eastAsia="Arial" w:hAnsi="Arial"/>
                  <w:sz w:val="18"/>
                  <w:szCs w:val="18"/>
                  <w:color w:val="0000FF"/>
                  <w:w w:val="95"/>
                </w:rPr>
                <w:t>UNAUDITED CONDENSED CONSOLIDATED STATEMENTS OF CASH FLOWS FOR THE THREE</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MONTHS ENDED MARCH 31,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NOTES ACCOMPANYING THE CONDENSED CONSOLIDATED FINANCIAL</w:t>
              </w:r>
            </w:hyperlink>
          </w:p>
        </w:tc>
        <w:tc>
          <w:tcPr>
            <w:tcW w:w="128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76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w:anchor="page24">
              <w:r>
                <w:rPr>
                  <w:rFonts w:ascii="Arial" w:cs="Arial" w:eastAsia="Arial" w:hAnsi="Arial"/>
                  <w:sz w:val="18"/>
                  <w:szCs w:val="18"/>
                  <w:color w:val="0000FF"/>
                </w:rPr>
                <w:t>OPERATIONS</w:t>
              </w:r>
            </w:hyperlink>
          </w:p>
        </w:tc>
        <w:tc>
          <w:tcPr>
            <w:tcW w:w="660" w:type="dxa"/>
            <w:vAlign w:val="bottom"/>
            <w:tcBorders>
              <w:top w:val="single" w:sz="8" w:color="CCEEFF"/>
            </w:tcBorders>
            <w:gridSpan w:val="2"/>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260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CONTROLS AND PROCEDURES</w:t>
              </w:r>
            </w:hyperlink>
          </w:p>
        </w:tc>
        <w:tc>
          <w:tcPr>
            <w:tcW w:w="5820" w:type="dxa"/>
            <w:vAlign w:val="bottom"/>
            <w:gridSpan w:val="12"/>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1A.</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5.</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6.</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88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Pr>
          <w:p>
            <w:pPr>
              <w:spacing w:after="0"/>
              <w:rPr>
                <w:sz w:val="23"/>
                <w:szCs w:val="23"/>
                <w:color w:val="auto"/>
              </w:rPr>
            </w:pPr>
          </w:p>
        </w:tc>
      </w:tr>
      <w:tr>
        <w:trPr>
          <w:trHeight w:val="34"/>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2012</w:t>
            </w:r>
          </w:p>
        </w:tc>
      </w:tr>
      <w:tr>
        <w:trPr>
          <w:trHeight w:val="34"/>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269"/>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(in millions, except per share</w:t>
            </w: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p>
        </w:tc>
        <w:tc>
          <w:tcPr>
            <w:tcW w:w="1560" w:type="dxa"/>
            <w:vAlign w:val="bottom"/>
            <w:gridSpan w:val="3"/>
          </w:tcPr>
          <w:p>
            <w:pPr>
              <w:jc w:val="center"/>
              <w:ind w:left="590"/>
              <w:spacing w:after="0"/>
              <w:rPr>
                <w:sz w:val="20"/>
                <w:szCs w:val="20"/>
                <w:color w:val="auto"/>
              </w:rPr>
            </w:pPr>
            <w:r>
              <w:rPr>
                <w:rFonts w:ascii="Arial" w:cs="Arial" w:eastAsia="Arial" w:hAnsi="Arial"/>
                <w:sz w:val="18"/>
                <w:szCs w:val="18"/>
                <w:color w:val="auto"/>
                <w:w w:val="90"/>
              </w:rPr>
              <w:t>amounts)</w:t>
            </w:r>
          </w:p>
        </w:tc>
        <w:tc>
          <w:tcPr>
            <w:tcW w:w="86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184.0</w:t>
            </w:r>
          </w:p>
        </w:tc>
      </w:tr>
      <w:tr>
        <w:trPr>
          <w:trHeight w:val="28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696.5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603.2</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Natural gas, oil and NGL transportation and other handling costs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199.3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84"/>
        </w:trPr>
        <w:tc>
          <w:tcPr>
            <w:tcW w:w="88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44"/>
        </w:trPr>
        <w:tc>
          <w:tcPr>
            <w:tcW w:w="88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555.2</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gain from asset sales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Realized and unrealized (losses) gains on derivative contracts (See Note 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INCOME ATTRIBUTABLE TO QEP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155.2</w:t>
            </w:r>
          </w:p>
        </w:tc>
      </w:tr>
      <w:tr>
        <w:trPr>
          <w:trHeight w:val="271"/>
        </w:trPr>
        <w:tc>
          <w:tcPr>
            <w:tcW w:w="8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 QEP</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Diluted 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basic calculation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Used in diluted calculation</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91"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$11.9 million and $27.8 million during the three months ended March 31, 2013 and 2012, respectively.</w:t>
      </w:r>
    </w:p>
    <w:p>
      <w:pPr>
        <w:spacing w:after="0" w:line="2" w:lineRule="exact"/>
        <w:rPr>
          <w:rFonts w:ascii="Arial" w:cs="Arial" w:eastAsia="Arial" w:hAnsi="Arial"/>
          <w:sz w:val="24"/>
          <w:szCs w:val="24"/>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$0.2 million and $0.1 million during the three months ended March 31, 2013 and 2012, respectively.</w:t>
      </w:r>
    </w:p>
    <w:p>
      <w:pPr>
        <w:spacing w:after="0" w:line="2" w:lineRule="exact"/>
        <w:rPr>
          <w:rFonts w:ascii="Arial" w:cs="Arial" w:eastAsia="Arial" w:hAnsi="Arial"/>
          <w:sz w:val="24"/>
          <w:szCs w:val="24"/>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$0.5 million and $0.5 million during the three months ended March 31, 2013 and 2012,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593.1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10,502.4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1,647.2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 and supplies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13,241.0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4,850.3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4,634.1</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8,390.7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9,143.9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4"/>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1"/>
        </w:trPr>
        <w:tc>
          <w:tcPr>
            <w:tcW w:w="8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3,367.5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179.6 million and 178.5 million shares issued,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- 0.3 million and 0.1 million shares,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2,765.2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3,241.0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3,287.8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3,313.7</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accompanying the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557"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tcPr>
          <w:p>
            <w:pPr>
              <w:spacing w:after="0"/>
              <w:rPr>
                <w:sz w:val="23"/>
                <w:szCs w:val="23"/>
                <w:color w:val="auto"/>
              </w:rPr>
            </w:pP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2012</w:t>
            </w: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96"/>
              </w:rPr>
              <w:t>(in millions)</w:t>
            </w:r>
          </w:p>
        </w:tc>
        <w:tc>
          <w:tcPr>
            <w:tcW w:w="820" w:type="dxa"/>
            <w:vAlign w:val="bottom"/>
          </w:tcPr>
          <w:p>
            <w:pPr>
              <w:spacing w:after="0"/>
              <w:rPr>
                <w:sz w:val="21"/>
                <w:szCs w:val="2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199.3</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Dry exploratory well expense</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Unrealized loss (gain) on derivative contracts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85.3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r>
      <w:tr>
        <w:trPr>
          <w:trHeight w:val="284"/>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328.5</w:t>
            </w: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r>
      <w:tr>
        <w:trPr>
          <w:trHeight w:val="28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r>
      <w:tr>
        <w:trPr>
          <w:trHeight w:val="277"/>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545.5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120.0</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on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8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1"/>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4"/>
        </w:trPr>
        <w:tc>
          <w:tcPr>
            <w:tcW w:w="8620" w:type="dxa"/>
            <w:vAlign w:val="bottom"/>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1"/>
        </w:trPr>
        <w:tc>
          <w:tcPr>
            <w:tcW w:w="86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Cash paid (received) for income taxes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200"/>
          </w:cols>
          <w:pgMar w:left="240" w:top="580" w:right="459" w:bottom="1440"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240" w:top="580"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2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w:t>
      </w: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gas-storage reservoir.</w:t>
      </w:r>
    </w:p>
    <w:p>
      <w:pPr>
        <w:spacing w:after="0" w:line="18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Operations are focused in two major regions: the Northern Region (primarily in North Dakota, Wyoming and Utah) and the Southern Region (primarily Oklahoma, Louisiana, and the Texas Panhandle) of the United States. QEP’s corporate headquarters are located in Denver, Colorado.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Shares of QEP Resources’ common stock trade on the New York Stock Exchange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2012.</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2013, are not necessarily indicative of the results that may be expected for the year ending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February of 2013, the FASB issued ASU 2013-02, </w:t>
      </w:r>
      <w:r>
        <w:rPr>
          <w:rFonts w:ascii="Arial" w:cs="Arial" w:eastAsia="Arial" w:hAnsi="Arial"/>
          <w:sz w:val="17"/>
          <w:szCs w:val="17"/>
          <w:i w:val="1"/>
          <w:iCs w:val="1"/>
          <w:color w:val="auto"/>
        </w:rPr>
        <w:t>Other Comprehensive Income (Topic 220: 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which seeks to improve the reporting of entities by requiring an entity to report the effect of significant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The amendments are effective prospectively for reporting periods beginning on or after December 15, 2012. The Company adopted this standard noting it did not have a significant impact on the Company's consolidated financial statements.</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December of 2011, the FASB issued ASU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Additionally, the FASB issued ASU 2013-01, </w:t>
      </w:r>
      <w:r>
        <w:rPr>
          <w:rFonts w:ascii="Arial" w:cs="Arial" w:eastAsia="Arial" w:hAnsi="Arial"/>
          <w:sz w:val="16"/>
          <w:szCs w:val="16"/>
          <w:i w:val="1"/>
          <w:iCs w:val="1"/>
          <w:color w:val="auto"/>
        </w:rPr>
        <w:t>Clarifying the Scope of 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which clarifies the implementation of ASU 2011-01. The amendments are required for annual reporting periods beginning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January 1, 2013, and interim periods within those annual periods. The Company adopted this standard effective January 1, 2013. It did not have a significant impact on the Company's consolidated financial statements.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of 2012, the FASB issued ASU 2012-02, </w:t>
      </w:r>
      <w:r>
        <w:rPr>
          <w:rFonts w:ascii="Arial" w:cs="Arial" w:eastAsia="Arial" w:hAnsi="Arial"/>
          <w:sz w:val="17"/>
          <w:szCs w:val="17"/>
          <w:i w:val="1"/>
          <w:iCs w:val="1"/>
          <w:color w:val="auto"/>
        </w:rPr>
        <w:t>Intangibles - Goodwill and Other: Testing Indefinite-Lived Intangible Assets for Impairment</w:t>
      </w:r>
      <w:r>
        <w:rPr>
          <w:rFonts w:ascii="Arial" w:cs="Arial" w:eastAsia="Arial" w:hAnsi="Arial"/>
          <w:sz w:val="17"/>
          <w:szCs w:val="17"/>
          <w:color w:val="auto"/>
        </w:rPr>
        <w:t>,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to performing the quantitative impairment test, while retaining the ability to resume performing the qualitative assessment in any subsequent period. The amendments are effective for annual and interim impairment tests performed for fiscal years beginning after September 15, 2012. The adoption of this standard has allowed the Company to more efficiently complete the annual goodwill impairment test but has not had a significant impact on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September 27, 2012, QEP Energy completed an acquisition of oil and gas properties in the Williston Basin for an aggregate purchase price of approximately $1.4 billion, subject to post-closing adjustments (the 2012 Acquisition). The properties are located in Williams and McKenzie counties of North Dakota, approximately 12 miles west of QEP's existing core acreage in the Williston Basin.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2012 Acquisition meets the definition of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 it included proved properties. QEP allocated the cost of the 2012 Acquisition to assets acquired and liabilities assumed based on fair values as of the acquisition date. Revenues of $57.6 million and net income of $13.1 million generated from the acquired properties during the first quarter of 2013 are included in QEP's Condensed Consolidated Statements of Operations.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QEP Energy recorded the 2012 Acquisition on its Condensed Consolidated Balance Sheet; however, the final purchase price is subject to revision based on the settlement of post-closing adjustments. The following table presents a summary of the Company's preliminary purchase accounting entries:</w:t>
      </w:r>
    </w:p>
    <w:p>
      <w:pPr>
        <w:spacing w:after="0" w:line="66" w:lineRule="exact"/>
        <w:rPr>
          <w:sz w:val="20"/>
          <w:szCs w:val="20"/>
          <w:color w:val="auto"/>
        </w:rPr>
      </w:pPr>
    </w:p>
    <w:p>
      <w:pPr>
        <w:jc w:val="center"/>
        <w:ind w:left="8900"/>
        <w:spacing w:after="0"/>
        <w:rPr>
          <w:sz w:val="20"/>
          <w:szCs w:val="20"/>
          <w:color w:val="auto"/>
        </w:rPr>
      </w:pPr>
      <w:r>
        <w:rPr>
          <w:rFonts w:ascii="Arial" w:cs="Arial" w:eastAsia="Arial" w:hAnsi="Arial"/>
          <w:sz w:val="18"/>
          <w:szCs w:val="18"/>
          <w:b w:val="1"/>
          <w:bCs w:val="1"/>
          <w:color w:val="auto"/>
        </w:rPr>
        <w:t>As of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34290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1" w:lineRule="exact"/>
        <w:rPr>
          <w:sz w:val="20"/>
          <w:szCs w:val="20"/>
          <w:color w:val="auto"/>
        </w:rPr>
      </w:pPr>
    </w:p>
    <w:p>
      <w:pPr>
        <w:jc w:val="center"/>
        <w:ind w:left="8900"/>
        <w:spacing w:after="0"/>
        <w:rPr>
          <w:sz w:val="20"/>
          <w:szCs w:val="20"/>
          <w:color w:val="auto"/>
        </w:rPr>
      </w:pPr>
      <w:r>
        <w:rPr>
          <w:rFonts w:ascii="Arial" w:cs="Arial" w:eastAsia="Arial" w:hAnsi="Arial"/>
          <w:sz w:val="18"/>
          <w:szCs w:val="18"/>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8920" w:val="left"/>
          <w:tab w:leader="none" w:pos="10760" w:val="left"/>
        </w:tabs>
        <w:rPr>
          <w:sz w:val="20"/>
          <w:szCs w:val="20"/>
          <w:color w:val="auto"/>
        </w:rPr>
      </w:pPr>
      <w:r>
        <w:rPr>
          <w:rFonts w:ascii="Arial" w:cs="Arial" w:eastAsia="Arial" w:hAnsi="Arial"/>
          <w:sz w:val="18"/>
          <w:szCs w:val="18"/>
          <w:color w:val="auto"/>
        </w:rPr>
        <w:t>Cash consideration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1,394.2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Amounts recognized for preliminary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retirement obligations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assumed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fair value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713.8</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684.9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(0.9)</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95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1,394.2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1595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1595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8220" w:space="720"/>
            <w:col w:w="2460"/>
          </w:cols>
          <w:pgMar w:left="240" w:top="584" w:right="259" w:bottom="1440" w:gutter="0" w:footer="0" w:header="0"/>
          <w:type w:val="continuous"/>
        </w:sectPr>
      </w:pP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unaudited, pro forma results of operations are provided for the three months ended March 31, 2012. These supplemental pro forma results of operations are provided for illustrative purposes only and may not be indicative of the actual results that would have been achieved by the properties for the period presented or that may be achieved by the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months ended March 31, 2012, on the acquired properties' historical results of operations and on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2012 Acquisition or any estimated costs that have been or will be incurred by the Company to integrate the properties.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type w:val="continuous"/>
        </w:sectPr>
      </w:pPr>
    </w:p>
    <w:bookmarkStart w:id="9" w:name="page10"/>
    <w:bookmarkEnd w:id="9"/>
    <w:tbl>
      <w:tblPr>
        <w:tblLayout w:type="fixed"/>
        <w:tblInd w:w="26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3100" w:type="dxa"/>
            <w:vAlign w:val="bottom"/>
            <w:gridSpan w:val="3"/>
          </w:tcPr>
          <w:p>
            <w:pPr>
              <w:jc w:val="center"/>
              <w:ind w:left="45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gridSpan w:val="2"/>
          </w:tcPr>
          <w:p>
            <w:pPr>
              <w:jc w:val="center"/>
              <w:ind w:right="570"/>
              <w:spacing w:after="0"/>
              <w:rPr>
                <w:sz w:val="20"/>
                <w:szCs w:val="20"/>
                <w:color w:val="auto"/>
              </w:rPr>
            </w:pPr>
            <w:r>
              <w:rPr>
                <w:rFonts w:ascii="Arial" w:cs="Arial" w:eastAsia="Arial" w:hAnsi="Arial"/>
                <w:sz w:val="18"/>
                <w:szCs w:val="18"/>
                <w:color w:val="auto"/>
                <w:w w:val="91"/>
              </w:rPr>
              <w:t>March 31, 2012</w:t>
            </w:r>
          </w:p>
        </w:tc>
        <w:tc>
          <w:tcPr>
            <w:tcW w:w="5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Actual</w:t>
            </w: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Pro forma</w:t>
            </w:r>
          </w:p>
        </w:tc>
        <w:tc>
          <w:tcPr>
            <w:tcW w:w="5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310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(in millions, except per share data)</w:t>
            </w:r>
          </w:p>
        </w:tc>
        <w:tc>
          <w:tcPr>
            <w:tcW w:w="520" w:type="dxa"/>
            <w:vAlign w:val="bottom"/>
          </w:tcPr>
          <w:p>
            <w:pPr>
              <w:spacing w:after="0"/>
              <w:rPr>
                <w:sz w:val="20"/>
                <w:szCs w:val="20"/>
                <w:color w:val="auto"/>
              </w:rPr>
            </w:pPr>
          </w:p>
        </w:tc>
      </w:tr>
      <w:tr>
        <w:trPr>
          <w:trHeight w:val="351"/>
        </w:trPr>
        <w:tc>
          <w:tcPr>
            <w:tcW w:w="7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603.2</w:t>
            </w:r>
          </w:p>
        </w:tc>
        <w:tc>
          <w:tcPr>
            <w:tcW w:w="13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637.9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income attributable to QEP</w:t>
            </w:r>
          </w:p>
        </w:tc>
        <w:tc>
          <w:tcPr>
            <w:tcW w:w="11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155.2</w:t>
            </w:r>
          </w:p>
        </w:tc>
        <w:tc>
          <w:tcPr>
            <w:tcW w:w="13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173.0</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QEP</w:t>
            </w: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Basic</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134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0.97</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0.87</w:t>
            </w:r>
          </w:p>
        </w:tc>
        <w:tc>
          <w:tcPr>
            <w:tcW w:w="13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r>
      <w:tr>
        <w:trPr>
          <w:trHeight w:val="27"/>
        </w:trPr>
        <w:tc>
          <w:tcPr>
            <w:tcW w:w="7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months ended March 31, 2013, 0.3 million shares were not included in diluted common shares outstanding as they were anti-dilutive due to QEP's net loss. There were no anti-dilutive shares during the three months ended March 31,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0" w:lineRule="exact"/>
        <w:rPr>
          <w:sz w:val="20"/>
          <w:szCs w:val="20"/>
          <w:color w:val="auto"/>
        </w:rPr>
      </w:pPr>
    </w:p>
    <w:p>
      <w:pPr>
        <w:ind w:left="9260"/>
        <w:spacing w:after="0"/>
        <w:tabs>
          <w:tab w:leader="none" w:pos="1060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jc w:val="right"/>
              <w:ind w:right="70"/>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406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177.0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r>
      <w:tr>
        <w:trPr>
          <w:trHeight w:val="27"/>
        </w:trPr>
        <w:tc>
          <w:tcPr>
            <w:tcW w:w="66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746" w:right="239" w:bottom="1440" w:gutter="0" w:footer="0" w:header="0"/>
        </w:sectPr>
      </w:pPr>
    </w:p>
    <w:p>
      <w:pPr>
        <w:ind w:right="140" w:firstLine="162"/>
        <w:spacing w:after="0" w:line="277" w:lineRule="auto"/>
        <w:rPr>
          <w:sz w:val="20"/>
          <w:szCs w:val="20"/>
          <w:color w:val="auto"/>
        </w:rPr>
      </w:pPr>
      <w:r>
        <w:rPr>
          <w:rFonts w:ascii="Arial" w:cs="Arial" w:eastAsia="Arial" w:hAnsi="Arial"/>
          <w:sz w:val="18"/>
          <w:szCs w:val="18"/>
          <w:color w:val="auto"/>
        </w:rPr>
        <w:t>Potential number of shares issuable upon exercise of in-the-money stock options under the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diluted common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jc w:val="right"/>
        <w:ind w:right="240"/>
        <w:spacing w:after="0"/>
        <w:rPr>
          <w:sz w:val="20"/>
          <w:szCs w:val="20"/>
          <w:color w:val="auto"/>
        </w:rPr>
      </w:pPr>
      <w:r>
        <w:rPr>
          <w:rFonts w:ascii="Arial" w:cs="Arial" w:eastAsia="Arial" w:hAnsi="Arial"/>
          <w:sz w:val="15"/>
          <w:szCs w:val="15"/>
          <w:b w:val="1"/>
          <w:bCs w:val="1"/>
          <w:color w:val="auto"/>
        </w:rPr>
        <w:t>177.0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73660</wp:posOffset>
            </wp:positionV>
            <wp:extent cx="805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w:t>
      </w:r>
    </w:p>
    <w:p>
      <w:pPr>
        <w:spacing w:after="0" w:line="9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63500</wp:posOffset>
            </wp:positionV>
            <wp:extent cx="788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718" w:lineRule="exact"/>
        <w:rPr>
          <w:sz w:val="20"/>
          <w:szCs w:val="20"/>
          <w:color w:val="auto"/>
        </w:rPr>
      </w:pPr>
    </w:p>
    <w:p>
      <w:pPr>
        <w:sectPr>
          <w:pgSz w:w="11900" w:h="16838" w:orient="portrait"/>
          <w:cols w:equalWidth="0" w:num="3">
            <w:col w:w="8820" w:space="720"/>
            <w:col w:w="640" w:space="720"/>
            <w:col w:w="520"/>
          </w:cols>
          <w:pgMar w:left="240" w:top="746" w:right="239" w:bottom="1440" w:gutter="0" w:footer="0" w:header="0"/>
          <w:type w:val="continuous"/>
        </w:sectPr>
      </w:pPr>
    </w:p>
    <w:p>
      <w:pPr>
        <w:spacing w:after="0" w:line="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The following is a reconciliation of the changes in the Company's asset retirement obligation from January 1, 2013, to March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r>
      <w:tr>
        <w:trPr>
          <w:trHeight w:val="34"/>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r>
      <w:tr>
        <w:trPr>
          <w:trHeight w:val="34"/>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incurred</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140" w:type="dxa"/>
            <w:vAlign w:val="bottom"/>
            <w:tcBorders>
              <w:bottom w:val="single" w:sz="8" w:color="auto"/>
            </w:tcBorders>
            <w:shd w:val="clear" w:color="auto" w:fill="CCEEFF"/>
          </w:tcPr>
          <w:p>
            <w:pPr>
              <w:spacing w:after="0"/>
              <w:rPr>
                <w:sz w:val="24"/>
                <w:szCs w:val="24"/>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r>
      <w:tr>
        <w:trPr>
          <w:trHeight w:val="264"/>
        </w:trPr>
        <w:tc>
          <w:tcPr>
            <w:tcW w:w="8800" w:type="dxa"/>
            <w:vAlign w:val="bottom"/>
          </w:tcPr>
          <w:p>
            <w:pPr>
              <w:ind w:left="40"/>
              <w:spacing w:after="0"/>
              <w:rPr>
                <w:sz w:val="20"/>
                <w:szCs w:val="20"/>
                <w:color w:val="auto"/>
              </w:rPr>
            </w:pPr>
            <w:r>
              <w:rPr>
                <w:rFonts w:ascii="Arial" w:cs="Arial" w:eastAsia="Arial" w:hAnsi="Arial"/>
                <w:sz w:val="18"/>
                <w:szCs w:val="18"/>
                <w:color w:val="auto"/>
              </w:rPr>
              <w:t>ARO liability at March 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QEP has determined its commodity derivative instruments are Level 2. The Level 2 fair value of commodity derivative contracts (see Note 7 - Derivative Contracts) is based on market prices posted on the NYMEX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However, 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fair value of financial assets and liabilities at March 31, 2013,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3"/>
              </w:rPr>
              <w:t>March 31, 2013</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460" w:type="dxa"/>
            <w:vAlign w:val="bottom"/>
          </w:tcPr>
          <w:p>
            <w:pPr>
              <w:spacing w:after="0"/>
              <w:rPr>
                <w:sz w:val="18"/>
                <w:szCs w:val="18"/>
                <w:color w:val="auto"/>
              </w:rPr>
            </w:pP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3780" w:type="dxa"/>
            <w:vAlign w:val="bottom"/>
            <w:gridSpan w:val="9"/>
            <w:vMerge w:val="continue"/>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76"/>
        </w:trPr>
        <w:tc>
          <w:tcPr>
            <w:tcW w:w="424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3"/>
            <w:vMerge w:val="restart"/>
          </w:tcPr>
          <w:p>
            <w:pPr>
              <w:jc w:val="center"/>
              <w:ind w:right="100"/>
              <w:spacing w:after="0" w:line="257"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36"/>
        </w:trPr>
        <w:tc>
          <w:tcPr>
            <w:tcW w:w="4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Balance Sheet</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center"/>
              <w:ind w:left="130"/>
              <w:spacing w:after="0"/>
              <w:rPr>
                <w:sz w:val="20"/>
                <w:szCs w:val="20"/>
                <w:color w:val="auto"/>
              </w:rPr>
            </w:pPr>
            <w:r>
              <w:rPr>
                <w:rFonts w:ascii="Arial" w:cs="Arial" w:eastAsia="Arial" w:hAnsi="Arial"/>
                <w:sz w:val="18"/>
                <w:szCs w:val="18"/>
                <w:color w:val="auto"/>
                <w:w w:val="96"/>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85.6</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7 - Derivative Contracts, for additional information regarding the Company's derivative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2012,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2012</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4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Sheet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7 - Derivative Contracts, for additional information regarding the Company's derivative contracts.</w:t>
      </w:r>
    </w:p>
    <w:p>
      <w:pPr>
        <w:sectPr>
          <w:pgSz w:w="11900" w:h="16838" w:orient="portrait"/>
          <w:cols w:equalWidth="0" w:num="1">
            <w:col w:w="11420"/>
          </w:cols>
          <w:pgMar w:left="240" w:top="584"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4"/>
          </w:tcPr>
          <w:p>
            <w:pPr>
              <w:ind w:left="540"/>
              <w:spacing w:after="0"/>
              <w:rPr>
                <w:sz w:val="20"/>
                <w:szCs w:val="20"/>
                <w:color w:val="auto"/>
              </w:rPr>
            </w:pPr>
            <w:r>
              <w:rPr>
                <w:rFonts w:ascii="Arial" w:cs="Arial" w:eastAsia="Arial" w:hAnsi="Arial"/>
                <w:sz w:val="18"/>
                <w:szCs w:val="18"/>
                <w:b w:val="1"/>
                <w:bCs w:val="1"/>
                <w:color w:val="auto"/>
              </w:rPr>
              <w:t>March 31, 2013</w:t>
            </w:r>
          </w:p>
        </w:tc>
        <w:tc>
          <w:tcPr>
            <w:tcW w:w="220" w:type="dxa"/>
            <w:vAlign w:val="bottom"/>
          </w:tcPr>
          <w:p>
            <w:pPr>
              <w:spacing w:after="0"/>
              <w:rPr>
                <w:sz w:val="21"/>
                <w:szCs w:val="21"/>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2012</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3,367.5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3,535.7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3,420.7</w:t>
            </w: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carrying amount of checks outstanding in excess of cash balances approximates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asset retirement obligations is presented in Note 5 – Asset Retirement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natural gas sales and purchases for marketing transactions. QEP does not enter into commodity derivative instruments for speculative purposes.</w:t>
      </w:r>
    </w:p>
    <w:p>
      <w:pPr>
        <w:spacing w:after="0" w:line="16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QEP uses commodity derivative instruments known as fixed-price swaps to realize a known price for a specific volume of production delivered into a regional sales point. QEP’s commodity derivative instruments do not require the physical delivery of natural gas, crude oil, or NGL between the parties at settlement. Swap transactions are settled in cash with one party paying the other for the net difference in prices, multiplied by the contract volume, for the settlement periods. Natural gas price derivative instruments are typically structured as fixed-price swaps at regional price indices. Oil price derivative instruments are typically structured as NYMEX fixed-price swaps based at Cushing, Oklahoma. QEP also has oil price derivative fixed-price swaps that use Brent crude oil prices as the reference price. Brent crude oil contracts are traded on the IntercontinentalExchange, Inc. (ICE). NGL price derivative instruments are typically structured as Mont Belvieu, Texas fixed-price swaps.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 of Operations as the transactions settle and affect earnings. At March 31, 2013, AOCI consisted of $91.4 million ($57.4 million after tax) of unrealized gains. During the three months ended March 31, 2013 and 2012, $20.1 million and $47.0 million, respectively, of unrealized gains, after tax, were reclassified from AOCI into the Condensed Consolidated Statement of Operations in "Realized and unrealized (losses) gains on derivative contracts" as the transactions settled. QEP expects to reclassify into earnings from AOCI the fixed value related to de-designated natural gas, oil and NGL hedges over the remainder of 2013. Currently, QEP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jc w:val="both"/>
        <w:ind w:right="140"/>
        <w:spacing w:after="0" w:line="302" w:lineRule="auto"/>
        <w:rPr>
          <w:sz w:val="20"/>
          <w:szCs w:val="20"/>
          <w:color w:val="auto"/>
        </w:rPr>
      </w:pPr>
      <w:r>
        <w:rPr>
          <w:rFonts w:ascii="Arial" w:cs="Arial" w:eastAsia="Arial" w:hAnsi="Arial"/>
          <w:sz w:val="16"/>
          <w:szCs w:val="16"/>
          <w:color w:val="auto"/>
        </w:rPr>
        <w:t>recognizes all gains and losses from changes in the fair value of natural gas, oil and NGL derivative contracts immediately in earnings rather than deferring any such amounts in AOCI. All commodity derivative instruments are recorded on the Condensed Consolidated Balance Sheets as either assets or liabilities measured at their fair values and all realized and unrealized gains and losses from derivative instruments incurred after January 1, 2012, are presented in the Condensed Consolidated Statement of Operations in “Realized and unrealized gains on derivative contracts” below operating income.</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senior, unsecured term loan. QEP locked in a fixed interest rate of 1.07% in exchange for a variable interest rate indexed to the one-month LIBOR rate. The interest rate swaps settle monthly and will mature in March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March 31,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Swaps</w:t>
            </w:r>
          </w:p>
        </w:tc>
      </w:tr>
      <w:tr>
        <w:trPr>
          <w:trHeight w:val="34"/>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5"/>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Average price per</w:t>
            </w:r>
          </w:p>
        </w:tc>
      </w:tr>
      <w:tr>
        <w:trPr>
          <w:trHeight w:val="234"/>
        </w:trPr>
        <w:tc>
          <w:tcPr>
            <w:tcW w:w="2580" w:type="dxa"/>
            <w:vAlign w:val="bottom"/>
            <w:gridSpan w:val="3"/>
          </w:tcPr>
          <w:p>
            <w:pPr>
              <w:ind w:left="800"/>
              <w:spacing w:after="0"/>
              <w:rPr>
                <w:sz w:val="20"/>
                <w:szCs w:val="20"/>
                <w:color w:val="auto"/>
              </w:rPr>
            </w:pPr>
            <w:r>
              <w:rPr>
                <w:rFonts w:ascii="Arial" w:cs="Arial" w:eastAsia="Arial" w:hAnsi="Arial"/>
                <w:sz w:val="18"/>
                <w:szCs w:val="18"/>
                <w:b w:val="1"/>
                <w:bCs w:val="1"/>
                <w:color w:val="auto"/>
              </w:rPr>
              <w:t>Year</w:t>
            </w:r>
          </w:p>
        </w:tc>
        <w:tc>
          <w:tcPr>
            <w:tcW w:w="20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Type of Contract</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Index</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Volumes</w:t>
            </w:r>
          </w:p>
        </w:tc>
        <w:tc>
          <w:tcPr>
            <w:tcW w:w="14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unit</w:t>
            </w:r>
          </w:p>
        </w:tc>
      </w:tr>
      <w:tr>
        <w:trPr>
          <w:trHeight w:val="34"/>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2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 sales</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6"/>
              </w:rPr>
              <w:t xml:space="preserve">IFNPCR </w:t>
            </w:r>
            <w:r>
              <w:rPr>
                <w:rFonts w:ascii="Arial" w:cs="Arial" w:eastAsia="Arial" w:hAnsi="Arial"/>
                <w:sz w:val="25"/>
                <w:szCs w:val="25"/>
                <w:color w:val="auto"/>
                <w:w w:val="86"/>
                <w:vertAlign w:val="superscript"/>
              </w:rPr>
              <w:t>(1)</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NYMEX</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9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(1)</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NYMEX</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3"/>
            <w:shd w:val="clear" w:color="auto" w:fill="CCEEFF"/>
          </w:tcPr>
          <w:p>
            <w:pPr>
              <w:jc w:val="center"/>
              <w:ind w:right="1860"/>
              <w:spacing w:after="0"/>
              <w:rPr>
                <w:sz w:val="20"/>
                <w:szCs w:val="20"/>
                <w:color w:val="auto"/>
              </w:rPr>
            </w:pPr>
            <w:r>
              <w:rPr>
                <w:rFonts w:ascii="Arial" w:cs="Arial" w:eastAsia="Arial" w:hAnsi="Arial"/>
                <w:sz w:val="18"/>
                <w:szCs w:val="18"/>
                <w:b w:val="1"/>
                <w:bCs w:val="1"/>
                <w:color w:val="auto"/>
                <w:w w:val="86"/>
              </w:rPr>
              <w:t>Oil sales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98.33</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center"/>
              <w:ind w:right="1150"/>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BRENT ICE</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107.80</w:t>
            </w:r>
          </w:p>
        </w:tc>
      </w:tr>
      <w:tr>
        <w:trPr>
          <w:trHeight w:val="243"/>
        </w:trPr>
        <w:tc>
          <w:tcPr>
            <w:tcW w:w="1960" w:type="dxa"/>
            <w:vAlign w:val="bottom"/>
          </w:tcPr>
          <w:p>
            <w:pPr>
              <w:jc w:val="center"/>
              <w:ind w:right="115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92.99</w:t>
            </w:r>
          </w:p>
        </w:tc>
      </w:tr>
      <w:tr>
        <w:trPr>
          <w:trHeight w:val="23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w w:val="91"/>
              </w:rPr>
              <w:t>____________________________</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ind w:left="500" w:hanging="316"/>
        <w:spacing w:after="0" w:line="183" w:lineRule="auto"/>
        <w:tabs>
          <w:tab w:leader="none" w:pos="50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Northwest Pipeline Corp. Rocky Mountains.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and for marketing transactions in which QEP Marketing sells gas volumes at a fixed price. The following table sets forth QEP Marketing’s volumes and swap prices for its commodity derivative contracts as of March 31,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price</w:t>
            </w: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Volumes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rPr>
              <w:t>per MMBtu</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67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QEP Resources Derivative Contracts</w:t>
      </w:r>
    </w:p>
    <w:p>
      <w:pPr>
        <w:spacing w:after="0" w:line="23" w:lineRule="exact"/>
        <w:rPr>
          <w:sz w:val="20"/>
          <w:szCs w:val="20"/>
          <w:color w:val="auto"/>
        </w:rPr>
      </w:pPr>
    </w:p>
    <w:p>
      <w:pPr>
        <w:jc w:val="both"/>
        <w:ind w:right="120"/>
        <w:spacing w:after="0" w:line="323" w:lineRule="auto"/>
        <w:rPr>
          <w:sz w:val="20"/>
          <w:szCs w:val="20"/>
          <w:color w:val="auto"/>
        </w:rPr>
      </w:pPr>
      <w:r>
        <w:rPr>
          <w:rFonts w:ascii="Arial" w:cs="Arial" w:eastAsia="Arial" w:hAnsi="Arial"/>
          <w:sz w:val="16"/>
          <w:szCs w:val="16"/>
          <w:color w:val="auto"/>
        </w:rPr>
        <w:t>In the second quarter of 2012, QEP Resources entered into interest rate swap agreements to effectively lock in a fixed interest rate on debt outstanding under its term loan. The following table sets forth QEP Resources’ notional amounts and interest rates for its interest rate swaps outstanding as of March 31, 2013: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Fixed Rate</w:t>
            </w:r>
          </w:p>
        </w:tc>
        <w:tc>
          <w:tcPr>
            <w:tcW w:w="2060" w:type="dxa"/>
            <w:vAlign w:val="bottom"/>
          </w:tcPr>
          <w:p>
            <w:pPr>
              <w:spacing w:after="0"/>
              <w:rPr>
                <w:sz w:val="18"/>
                <w:szCs w:val="18"/>
                <w:color w:val="auto"/>
              </w:rPr>
            </w:pPr>
          </w:p>
        </w:tc>
      </w:tr>
      <w:tr>
        <w:trPr>
          <w:trHeight w:val="234"/>
        </w:trPr>
        <w:tc>
          <w:tcPr>
            <w:tcW w:w="3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Notional amount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Variable Rate Received</w:t>
            </w:r>
          </w:p>
        </w:tc>
      </w:tr>
      <w:tr>
        <w:trPr>
          <w:trHeight w:val="34"/>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 month LIBOR</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balance sheet location of QEP’s outstanding derivative contracts on a gross contract basis as opposed to the net contract basis presentation in the Condensed Consolidated Balance Sheets and the related fair values at the balance sheet dates: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instruments fair value</w:t>
            </w:r>
          </w:p>
        </w:tc>
        <w:tc>
          <w:tcPr>
            <w:tcW w:w="500" w:type="dxa"/>
            <w:vAlign w:val="bottom"/>
          </w:tcPr>
          <w:p>
            <w:pPr>
              <w:spacing w:after="0"/>
              <w:rPr>
                <w:sz w:val="20"/>
                <w:szCs w:val="20"/>
                <w:color w:val="auto"/>
              </w:rPr>
            </w:pPr>
          </w:p>
        </w:tc>
      </w:tr>
      <w:tr>
        <w:trPr>
          <w:trHeight w:val="34"/>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5"/>
        </w:trPr>
        <w:tc>
          <w:tcPr>
            <w:tcW w:w="1840" w:type="dxa"/>
            <w:vAlign w:val="bottom"/>
          </w:tcPr>
          <w:p>
            <w:pPr>
              <w:spacing w:after="0"/>
              <w:rPr>
                <w:sz w:val="19"/>
                <w:szCs w:val="19"/>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2012</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2012</w:t>
            </w:r>
          </w:p>
        </w:tc>
      </w:tr>
      <w:tr>
        <w:trPr>
          <w:trHeight w:val="34"/>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1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1"/>
                <w:szCs w:val="2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64"/>
        </w:trPr>
        <w:tc>
          <w:tcPr>
            <w:tcW w:w="47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193.9</w:t>
            </w: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ind w:right="72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(losses) gains on derivative contracts" on the Condensed Consolidated Statements of Operations are summarized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1"/>
        </w:trPr>
        <w:tc>
          <w:tcPr>
            <w:tcW w:w="7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4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440" w:type="dxa"/>
            <w:vAlign w:val="bottom"/>
          </w:tcPr>
          <w:p>
            <w:pPr>
              <w:spacing w:after="0"/>
              <w:rPr>
                <w:sz w:val="21"/>
                <w:szCs w:val="21"/>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(in millions)</w:t>
            </w:r>
          </w:p>
        </w:tc>
        <w:tc>
          <w:tcPr>
            <w:tcW w:w="1320" w:type="dxa"/>
            <w:vAlign w:val="bottom"/>
          </w:tcPr>
          <w:p>
            <w:pPr>
              <w:spacing w:after="0"/>
              <w:rPr>
                <w:sz w:val="21"/>
                <w:szCs w:val="2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Energy</w:t>
            </w: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Oil derivative contracts</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Marketing</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4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84"/>
        </w:trPr>
        <w:tc>
          <w:tcPr>
            <w:tcW w:w="7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realized gains on commodity derivative contracts</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51.3</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w:t>
            </w:r>
          </w:p>
        </w:tc>
      </w:tr>
      <w:tr>
        <w:trPr>
          <w:trHeight w:val="23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Energy</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Oil derivative contracts</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b w:val="1"/>
                <w:bCs w:val="1"/>
                <w:color w:val="auto"/>
              </w:rPr>
              <w:t>QEP Marketing</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4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84"/>
        </w:trPr>
        <w:tc>
          <w:tcPr>
            <w:tcW w:w="7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unrealized (losses) gains on commodity derivative contracts</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128.3</w:t>
            </w: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realized and unrealized (losses) gains on commodity derivative contracts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7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84"/>
        </w:trPr>
        <w:tc>
          <w:tcPr>
            <w:tcW w:w="7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Unrealized gains on interest rate swaps</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losses on interest rate swaps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7400" w:type="dxa"/>
            <w:vAlign w:val="bottom"/>
          </w:tcPr>
          <w:p>
            <w:pPr>
              <w:ind w:left="280"/>
              <w:spacing w:after="0"/>
              <w:rPr>
                <w:sz w:val="20"/>
                <w:szCs w:val="20"/>
                <w:color w:val="auto"/>
              </w:rPr>
            </w:pPr>
            <w:r>
              <w:rPr>
                <w:rFonts w:ascii="Arial" w:cs="Arial" w:eastAsia="Arial" w:hAnsi="Arial"/>
                <w:sz w:val="18"/>
                <w:szCs w:val="18"/>
                <w:color w:val="auto"/>
              </w:rPr>
              <w:t>Total net realized gains on derivative contracts</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88.0</w:t>
            </w:r>
          </w:p>
        </w:tc>
      </w:tr>
      <w:tr>
        <w:trPr>
          <w:trHeight w:val="27"/>
        </w:trPr>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unrealized (losses) gains on derivative contracts</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Grand Total</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216.3</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estimates that the remaining derivative contracts that were outstanding in AOCI at March 31, 2013, having a fixed fair value of $57.4 million after tax, will be settled and reclassified from AOCI to the Condensed Consolidated Statements of Operations during the remainder of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quarter of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is intended to increase efficiency, team-based collaboration and organizational productivity over the long term. As part of the reorganization, QEP incurred and will continue to incur costs associated with the severance, retention and relocation of employees, additional pension expenses, exit costs associated with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6" w:name="page17"/>
    <w:bookmarkEnd w:id="16"/>
    <w:p>
      <w:pPr>
        <w:ind w:right="460"/>
        <w:spacing w:after="0" w:line="277" w:lineRule="auto"/>
        <w:rPr>
          <w:sz w:val="20"/>
          <w:szCs w:val="20"/>
          <w:color w:val="auto"/>
        </w:rPr>
      </w:pPr>
      <w:r>
        <w:rPr>
          <w:rFonts w:ascii="Arial" w:cs="Arial" w:eastAsia="Arial" w:hAnsi="Arial"/>
          <w:sz w:val="18"/>
          <w:szCs w:val="18"/>
          <w:color w:val="auto"/>
        </w:rPr>
        <w:t>the termination of operating leases arising from office space that will no longer be utilized by the Company and other expenses. The Company currently estimates that the remaining restructuring costs will be incurred during the remainder of 2013.</w:t>
      </w:r>
    </w:p>
    <w:p>
      <w:pPr>
        <w:spacing w:after="0" w:line="17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tables summarize, by line of business, each major type of cost expected to be incurred and the total amounts recorded in "General and administrative" expense on the Condensed Consolidated Statement of Operations for the respective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Total Restructuring Costs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Recognized in Income</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Period from</w:t>
            </w:r>
          </w:p>
        </w:tc>
        <w:tc>
          <w:tcPr>
            <w:tcW w:w="940" w:type="dxa"/>
            <w:vAlign w:val="bottom"/>
          </w:tcPr>
          <w:p>
            <w:pPr>
              <w:spacing w:after="0"/>
              <w:rPr>
                <w:sz w:val="19"/>
                <w:szCs w:val="19"/>
                <w:color w:val="auto"/>
              </w:rPr>
            </w:pPr>
          </w:p>
        </w:tc>
        <w:tc>
          <w:tcPr>
            <w:tcW w:w="2580" w:type="dxa"/>
            <w:vAlign w:val="bottom"/>
            <w:gridSpan w:val="4"/>
            <w:vMerge w:val="restart"/>
          </w:tcPr>
          <w:p>
            <w:pPr>
              <w:jc w:val="right"/>
              <w:ind w:right="8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18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Total Expected to be</w:t>
            </w: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3"/>
              </w:rPr>
              <w:t>Inception to March</w:t>
            </w:r>
          </w:p>
        </w:tc>
        <w:tc>
          <w:tcPr>
            <w:tcW w:w="9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60" w:type="dxa"/>
            <w:vAlign w:val="bottom"/>
            <w:gridSpan w:val="3"/>
            <w:vMerge w:val="continue"/>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Incurred</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31, 2013</w:t>
            </w:r>
          </w:p>
        </w:tc>
        <w:tc>
          <w:tcPr>
            <w:tcW w:w="100" w:type="dxa"/>
            <w:vAlign w:val="bottom"/>
          </w:tcPr>
          <w:p>
            <w:pPr>
              <w:spacing w:after="0"/>
              <w:rPr>
                <w:sz w:val="20"/>
                <w:szCs w:val="20"/>
                <w:color w:val="auto"/>
              </w:rPr>
            </w:pPr>
          </w:p>
        </w:tc>
        <w:tc>
          <w:tcPr>
            <w:tcW w:w="1820" w:type="dxa"/>
            <w:vAlign w:val="bottom"/>
            <w:gridSpan w:val="3"/>
          </w:tcPr>
          <w:p>
            <w:pPr>
              <w:ind w:left="26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2012</w:t>
            </w:r>
          </w:p>
        </w:tc>
        <w:tc>
          <w:tcPr>
            <w:tcW w:w="0" w:type="dxa"/>
            <w:vAlign w:val="bottom"/>
          </w:tcPr>
          <w:p>
            <w:pPr>
              <w:spacing w:after="0"/>
              <w:rPr>
                <w:sz w:val="1"/>
                <w:szCs w:val="1"/>
                <w:color w:val="auto"/>
              </w:rPr>
            </w:pPr>
          </w:p>
        </w:tc>
      </w:tr>
      <w:tr>
        <w:trPr>
          <w:trHeight w:val="34"/>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96"/>
              </w:rPr>
              <w:t>(in millions)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One-time termination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&amp; relocation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Lease termination costs</w:t>
            </w:r>
          </w:p>
        </w:tc>
        <w:tc>
          <w:tcPr>
            <w:tcW w:w="3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Total restructuring costs attributable to QEP</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Energy</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Field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One-time termination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&amp; relocation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Lease termination costs</w:t>
            </w:r>
          </w:p>
        </w:tc>
        <w:tc>
          <w:tcPr>
            <w:tcW w:w="32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w w:val="92"/>
              </w:rPr>
              <w:t>Total restructuring costs attributable to QEP Field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Services</w:t>
            </w:r>
          </w:p>
        </w:tc>
        <w:tc>
          <w:tcPr>
            <w:tcW w:w="32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One-time termination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&amp; relocation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Lease termination costs</w:t>
            </w:r>
          </w:p>
        </w:tc>
        <w:tc>
          <w:tcPr>
            <w:tcW w:w="32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Total restructuring costs attributable to QEP</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Marketing</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QEP Resources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One-time termination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&amp; relocation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Lease termination costs</w:t>
            </w:r>
          </w:p>
        </w:tc>
        <w:tc>
          <w:tcPr>
            <w:tcW w:w="3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Total restructuring costs attributable to QEP</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Resources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QEP Field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QEP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QEP Energy</w:t>
            </w:r>
          </w:p>
        </w:tc>
        <w:tc>
          <w:tcPr>
            <w:tcW w:w="160" w:type="dxa"/>
            <w:vAlign w:val="bottom"/>
          </w:tcPr>
          <w:p>
            <w:pPr>
              <w:spacing w:after="0"/>
              <w:rPr>
                <w:sz w:val="20"/>
                <w:szCs w:val="20"/>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Services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Marketing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ind w:left="8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r>
      <w:tr>
        <w:trPr>
          <w:trHeight w:val="264"/>
        </w:trPr>
        <w:tc>
          <w:tcPr>
            <w:tcW w:w="606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ind w:left="8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its revolving credit facility, term loan and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2012</w:t>
            </w:r>
          </w:p>
        </w:tc>
      </w:tr>
      <w:tr>
        <w:trPr>
          <w:trHeight w:val="34"/>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Term loan due 2017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6.05% Senior Notes due 2016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6.875% Senior Notes due 2021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5.25% Senior Notes due 2023</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w:t>
            </w: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amount of debt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3,211.8</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unamortized discount</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3,206.9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the total debt outstanding on March 31, 2013, amounts outstanding under the revolving credit facility due August 25, 2016, and the term loan due April 18, 2017, as well as the 6.05% Senior Notes due September 1, 2016, will mature within the next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QEP’s revolving credit facility agreement, which matures in August 2016, provides for loan commitments of $1.5 billion from a group of financial institutions. The credit facility provides for borrowing at short-term interest rates and contains customary covenants and restrictions. The credit facility agreement also contains an accordion provision that would allow for the amount of the facility to be increased to $2.0 billion and for the maturity to be extended for up to two additional one-year periods, with the agreement of the lenders.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March 31, 2013 and 2012, QEP’s weighted-average interest rate on borrowings from its credit facility was 2.35% and 2.06%, respectively. At March 31, 2013 and December 31, 2012, QEP was in compliance with the covenants under the credit agreement. At March 31, 2013, there was $850.5 million outstanding and $3.7 million of letters of credit issued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QEP's $300.0 million senior, unsecured term loan agreement provides for borrowings at short-term interest rates and contains covenants, restrictions and interest rates that are substantially the same as the Company’s credit facility. The term loan matures in April 2017, and the maturity date may be extended one year with the agreement of the lenders. The proceeds from the term loan were used to pay down the credit facility and for general corporate purposes. During the three months ended March 31, 2013, QEP’s weighted-average interest rate on borrowings from the term loan was 2.26%. At March 31, 2013, and December 31, 2012, QEP was in compliance with the covenants under the term loan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At March 31, 2013,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matters. QEP's litigation loss contingencies are discussed below. QEP is unable to estimate reasonably possible losses in excess of recorded accruals for these contingencies for the reasons set forth above. QEP believes, however, that the resolution of pending proceedings will not have a material effect on the Company's consolidated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October 2009, the Company received a cease and desist order from the U.S. Army Corps of Engineers (COE) to refrain from unpermitted work resulting in the discharge of dredged and/or fill material into waters of the United States at three sites located in Caddo and Red River Parishes, Louisiana. EPA Region 6 has assumed lead responsibility for enforcement of the cease and desist order and any possible future orders for the removal of unauthorized fills and/or civil penalties under the Clean Water Act. In 2012, the Company completed a field audit, which identified 112 additional instances affecting approximately 90 acres where work may have been conducted in violation of the Clean Water Act. The Company has disclosed each of these instances to the EPA under the EPA's Audit Policy (to reduce penalties) and to the COE. The Company is working with the EPA and the COE to resolve these matters, which will require the Company to undertake certain mitigation and permitting activities, and may require the Company to pay a monetary penalty.</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July 2010, the Company received a Notice of Potential Penalty (NOPP) from the Louisiana Department of Environmental Quality (LDEQ) regarding the assumption of ownership and operatorship of a single facility in Louisiana prior to transferring the facility's air quality permit. In 2011, the Company completed an internal audit, which identified 424 facilities in Louisiana for which the Company both failed to submit a complete permit application and to receive approval from the department prior to construction, modification, or operation. The Company has corrected and disclosed all instances of non-compliance to the LDEQ and is working with the department to resolve the NOPP.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i w:val="1"/>
          <w:iCs w:val="1"/>
          <w:color w:val="auto"/>
        </w:rPr>
        <w:t>Chieftain Royalty Company v. QEP Energy Company</w:t>
      </w:r>
      <w:r>
        <w:rPr>
          <w:rFonts w:ascii="Arial" w:cs="Arial" w:eastAsia="Arial" w:hAnsi="Arial"/>
          <w:sz w:val="17"/>
          <w:szCs w:val="17"/>
          <w:color w:val="auto"/>
        </w:rPr>
        <w:t>, Case No CIV-11-0212-R, U. S. District Court for the Western District of Oklahoma. This statewide</w:t>
      </w:r>
      <w:r>
        <w:rPr>
          <w:rFonts w:ascii="Arial" w:cs="Arial" w:eastAsia="Arial" w:hAnsi="Arial"/>
          <w:sz w:val="17"/>
          <w:szCs w:val="17"/>
          <w:i w:val="1"/>
          <w:iCs w:val="1"/>
          <w:color w:val="auto"/>
        </w:rPr>
        <w:t xml:space="preserve"> </w:t>
      </w:r>
      <w:r>
        <w:rPr>
          <w:rFonts w:ascii="Arial" w:cs="Arial" w:eastAsia="Arial" w:hAnsi="Arial"/>
          <w:sz w:val="17"/>
          <w:szCs w:val="17"/>
          <w:color w:val="auto"/>
        </w:rPr>
        <w:t>class action was filed in January 2011 on behalf of QEP's Oklahoma royalty owners asserting various claims for damages related to royalty valuation on all of QEP's Oklahoma wells operated by QEP or from which QEP marketed gas. These claims include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In consideration for the settlement payment, QEP will receive a full release of all claims regarding the calculation, reporting and payment of royalties from the sale of natural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On February 20, 2013, the Court entered a Preliminary Order Approving Class Action Settlement. In accordance with the terms of the Settlement Agreement, QEP paid the $115.0 million into an escrow account in February 2013 pending the Court's final approval of the settlement at the Fairness Hearing scheduled for May 2013. The $115.0 million was included in "Accounts payable and accrued expenses" on the Consolidated Balance Sheet as of December 31, 2012.</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Questar Gas Company v. QEP Field Services Company</w:t>
      </w:r>
      <w:r>
        <w:rPr>
          <w:rFonts w:ascii="Arial" w:cs="Arial" w:eastAsia="Arial" w:hAnsi="Arial"/>
          <w:sz w:val="18"/>
          <w:szCs w:val="18"/>
          <w:color w:val="auto"/>
        </w:rPr>
        <w:t>, Civil No. 120902969, Third Judicial District Court, State of Utah. QEP Field Services'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Questar Gas Company (QGC) filed this complaint in state court in Utah on May 1, 2012, asserting claims for breach of contract, breach of implied covenant of good faith and fair dealing, for an accounting and declaratory judgment related to a 1993 gathering agreement (1993 Agreement) entered when the parties were affiliates. Under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ind w:right="40"/>
        <w:spacing w:after="0" w:line="254" w:lineRule="auto"/>
        <w:rPr>
          <w:sz w:val="20"/>
          <w:szCs w:val="20"/>
          <w:color w:val="auto"/>
        </w:rPr>
      </w:pPr>
      <w:r>
        <w:rPr>
          <w:rFonts w:ascii="Arial" w:cs="Arial" w:eastAsia="Arial" w:hAnsi="Arial"/>
          <w:sz w:val="18"/>
          <w:szCs w:val="18"/>
          <w:color w:val="auto"/>
        </w:rPr>
        <w:t xml:space="preserve">the 1993 Agreement, QEP Field Services provides gathering services for producing properties developed by former affiliate Wexpro Company on behalf of QGC's utility ratepayers. QGC is disputing the annual calculation of the gathering rate, which is based on a cost of service concept expressed in the 1993 Agreement and in a 1998 amendment, and is netting this disputed amount from its monthly payments of the gathering fees to QEP Field Services. The annual gathering rate has been calculated in the same manner under the contract since it was amended in 1998, without any prior objection or challenge by QGC. Specific monetary damages are not asserted. Also, on May 1, 2012, QEP Field Services Company filed a legal action against QGC entitled </w:t>
      </w:r>
      <w:r>
        <w:rPr>
          <w:rFonts w:ascii="Arial" w:cs="Arial" w:eastAsia="Arial" w:hAnsi="Arial"/>
          <w:sz w:val="18"/>
          <w:szCs w:val="18"/>
          <w:i w:val="1"/>
          <w:iCs w:val="1"/>
          <w:color w:val="auto"/>
        </w:rPr>
        <w:t>QEP Field</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Company v. Questar Gas Company</w:t>
      </w:r>
      <w:r>
        <w:rPr>
          <w:rFonts w:ascii="Arial" w:cs="Arial" w:eastAsia="Arial" w:hAnsi="Arial"/>
          <w:sz w:val="18"/>
          <w:szCs w:val="18"/>
          <w:color w:val="auto"/>
        </w:rPr>
        <w:t>, in the Second District Court in Denver County, Colorado, seeking declaratory judgment relating to its gathering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and charges under the same agreement. By agreement of the parties, the Colorado action was withdrawn and its claims were asserted as counterclaims in the Utah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Condensed Consolidated Balance Sheets. There were 12.0 million shares available for future grants under the LTSIP at March 31, 2013. Share-based compensation expense is recognized in “General and administrative” on the Condensed Consolidated Statements of Operations. During the three months ended March 31, 2013, QEP recognized $6.1 million in total compensation expense related to share-based compensation compared to $5.7 million during the three months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Three Months Ended</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March 31, 2013</w:t>
            </w:r>
          </w:p>
        </w:tc>
      </w:tr>
      <w:tr>
        <w:trPr>
          <w:trHeight w:val="34"/>
        </w:trPr>
        <w:tc>
          <w:tcPr>
            <w:tcW w:w="55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grant-date fair value of awards granted during the period</w:t>
            </w:r>
          </w:p>
        </w:tc>
        <w:tc>
          <w:tcPr>
            <w:tcW w:w="3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15.32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0.97%</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0.27%</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w:t>
            </w:r>
          </w:p>
        </w:tc>
      </w:tr>
      <w:tr>
        <w:trPr>
          <w:trHeight w:val="675"/>
        </w:trPr>
        <w:tc>
          <w:tcPr>
            <w:tcW w:w="5540" w:type="dxa"/>
            <w:vAlign w:val="bottom"/>
          </w:tcPr>
          <w:p>
            <w:pPr>
              <w:spacing w:after="0"/>
              <w:rPr>
                <w:sz w:val="24"/>
                <w:szCs w:val="24"/>
                <w:color w:val="auto"/>
              </w:rPr>
            </w:pPr>
          </w:p>
        </w:tc>
        <w:tc>
          <w:tcPr>
            <w:tcW w:w="3060" w:type="dxa"/>
            <w:vAlign w:val="bottom"/>
          </w:tcPr>
          <w:p>
            <w:pPr>
              <w:jc w:val="right"/>
              <w:ind w:right="271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34"/>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1,697,471</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321,048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1,809,019</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March 31, 2013</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1,231,704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26.35</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March 31, 2013</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577,315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color w:val="auto"/>
        </w:rPr>
        <w:t>The total intrinsic value (the difference between the market price at the exercise date and the exercise price) of options exercised was $4.2 million and $6.9 million during the three months ended March 31, 2013 and 2012, respectively. The Company realized $1.4 million and $2.1 million of income tax benefit for the three months ended March 31, 2013 and 2012, which increased its Additional Paid-in-Capital (APIC) pool by $1.4 million as of March 31, 2013. As of March 31, 2013, $6.6 million of unrecognized compensation cost related to stock options granted under the LTSIP is expected to be recognized over a weighted-average period of 2.6 years. During the three months ended March 31, 2013, QEP received $0.5 million in cash in relation to the exercise of stock options.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bid price of the Company's common stock on the grant date. The total fair value of restricted stock that vested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2013 and 2012, was $14.8 million and $11.6 million, respectively. The Company realized $0.3 million and $0.1 million of income tax expense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2013 and 2012, respectively, and decreased the Company's APIC pool by $0.3 million as of March 31, 2013.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grant-date fair value of restricted stock was $30.12 per share and $30.89 per share for the three months ended March 31, 2013 and 2012,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2013, $34.8 million of unrecognized compensation cost related to restricted shares granted under the LTSIP is expected to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a weighted-average vesting period of 2.6 years.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34"/>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1,300,588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792,086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31.56</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1,577,211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$30.12 per share and $30.90 per share for the three months ended March 31, 2013 and 2012, respectively. As of March 31, 2013, $11.1 million of unrecognized compensation cost, representing the fair market value of performance shares granted under the CIP, is expected to be recognized over a weighted-average vesting period of 2.4 years.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217,573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501,057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12 – Employee Benefits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three months ended March 31, 2013, the Company made contributions of $2.7 million to its funded pension plan, and $0.6 million to its unfunded pension plan. Contributions to funded plans increase plan assets while contributions to unfunded plans are used to fund current benefit payments. During the remainder of 2013, the Company expects to contribute approximately $5.4 million to its funded pension plans, approximately $2.7 million to its unfunded pension plans and approximately $0.2 million for retiree health care and life insurance benefits.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 benefit costs: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5"/>
              </w:rPr>
              <w:t>Pension</w:t>
            </w:r>
          </w:p>
        </w:tc>
        <w:tc>
          <w:tcPr>
            <w:tcW w:w="400" w:type="dxa"/>
            <w:vAlign w:val="bottom"/>
          </w:tcPr>
          <w:p>
            <w:pPr>
              <w:spacing w:after="0"/>
              <w:rPr>
                <w:sz w:val="24"/>
                <w:szCs w:val="24"/>
                <w:color w:val="auto"/>
              </w:rPr>
            </w:pPr>
          </w:p>
        </w:tc>
      </w:tr>
      <w:tr>
        <w:trPr>
          <w:trHeight w:val="34"/>
        </w:trPr>
        <w:tc>
          <w:tcPr>
            <w:tcW w:w="880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1"/>
                <w:szCs w:val="2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20"/>
                <w:szCs w:val="20"/>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3"/>
          </w:tcPr>
          <w:p>
            <w:pPr>
              <w:jc w:val="center"/>
              <w:ind w:right="310"/>
              <w:spacing w:after="0"/>
              <w:rPr>
                <w:sz w:val="20"/>
                <w:szCs w:val="20"/>
                <w:color w:val="auto"/>
              </w:rPr>
            </w:pPr>
            <w:r>
              <w:rPr>
                <w:rFonts w:ascii="Arial" w:cs="Arial" w:eastAsia="Arial" w:hAnsi="Arial"/>
                <w:sz w:val="18"/>
                <w:szCs w:val="18"/>
                <w:color w:val="auto"/>
                <w:w w:val="98"/>
              </w:rPr>
              <w:t>(in millions)</w:t>
            </w:r>
          </w:p>
        </w:tc>
        <w:tc>
          <w:tcPr>
            <w:tcW w:w="4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365"/>
        </w:trPr>
        <w:tc>
          <w:tcPr>
            <w:tcW w:w="8800" w:type="dxa"/>
            <w:vAlign w:val="bottom"/>
          </w:tcPr>
          <w:p>
            <w:pPr>
              <w:spacing w:after="0"/>
              <w:rPr>
                <w:sz w:val="24"/>
                <w:szCs w:val="24"/>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Postretirement Benefits</w:t>
            </w:r>
          </w:p>
        </w:tc>
        <w:tc>
          <w:tcPr>
            <w:tcW w:w="400" w:type="dxa"/>
            <w:vAlign w:val="bottom"/>
          </w:tcPr>
          <w:p>
            <w:pPr>
              <w:spacing w:after="0"/>
              <w:rPr>
                <w:sz w:val="24"/>
                <w:szCs w:val="24"/>
                <w:color w:val="auto"/>
              </w:rPr>
            </w:pPr>
          </w:p>
        </w:tc>
      </w:tr>
      <w:tr>
        <w:trPr>
          <w:trHeight w:val="34"/>
        </w:trPr>
        <w:tc>
          <w:tcPr>
            <w:tcW w:w="880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1"/>
                <w:szCs w:val="2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23"/>
                <w:szCs w:val="23"/>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21"/>
                <w:szCs w:val="21"/>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3"/>
          </w:tcPr>
          <w:p>
            <w:pPr>
              <w:jc w:val="center"/>
              <w:ind w:right="310"/>
              <w:spacing w:after="0"/>
              <w:rPr>
                <w:sz w:val="20"/>
                <w:szCs w:val="20"/>
                <w:color w:val="auto"/>
              </w:rPr>
            </w:pPr>
            <w:r>
              <w:rPr>
                <w:rFonts w:ascii="Arial" w:cs="Arial" w:eastAsia="Arial" w:hAnsi="Arial"/>
                <w:sz w:val="18"/>
                <w:szCs w:val="18"/>
                <w:color w:val="auto"/>
                <w:w w:val="98"/>
              </w:rPr>
              <w:t>(in millions)</w:t>
            </w:r>
          </w:p>
        </w:tc>
        <w:tc>
          <w:tcPr>
            <w:tcW w:w="4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84"/>
        </w:trPr>
        <w:tc>
          <w:tcPr>
            <w:tcW w:w="880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4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Operations by Line of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QEP’s lines of business include natural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is a summary of operating results for the three months ended March 31,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2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696.5</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696.5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254.2</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631.5</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(loss) income attributable to QEP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is a summary of operating results for the three months ended March 31,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603.2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245.1</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411.2</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r>
      <w:tr>
        <w:trPr>
          <w:trHeight w:val="284"/>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April 2013, the Company entered into Purchase and Sale Agreements related to the disposition of some of its non-core properties in the Northern Region for total consideration of $145.0 million before purchase price adjustments. The Company expects to record a gain on the sale of these assets of approximately $100.0 million and to close the transactions in the second quarter of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2012 Annual Report on Form 10-K filing and analyzes the changes in the results of operations between the three-month periods ended March 31, 2013 and 2012. For definitions of commonly used gas and oil terms found in this Quarterly Report on Form 10-Q, please refer to the “Glossary of Commonly Used Terms” provided in QEP’s 2012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crude oil, and natural gas liquids (NGL);</w:t>
      </w:r>
    </w:p>
    <w:p>
      <w:pPr>
        <w:spacing w:after="0" w:line="23"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 and</w:t>
      </w:r>
    </w:p>
    <w:p>
      <w:pPr>
        <w:ind w:left="340" w:right="4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 storage reservoir.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own a controlling interest in and operate midstream infrastructure in our core producing areas to capture value downstream of the wellhead;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natural gas streams;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 or control assets to gather, compress and treat our production to drive down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the growth of our midstream business with the intention of forming a Master Limited Partnership;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natural gas, crude oil or NGL price volatility, while locking in acceptable cash flows required to support future capital expenditures;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0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Pinedale Anticline,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along with its peers, has experienced increased drilling and completion costs which could impact future drilling plans.</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historically a natural gas producer, the Company has increased its focus on growing the relative proportion of crude oil and NGL production in its exploration and production business. As part of the Company's liquids growth strategy, during the third quarter of 2012, QEP Energy acquired oil and gas properties in the Williston Basin for an aggregate purchase price of $1.4 billion, subject to post-closing adjustments (the 2012 Acquisition). During the first quarter of 2013, QEP Energy increased its crude oil and NGL (natural gas liquids) production by 33% compared to the first quarter of 2012. During the first quarter of 2013, crude oil and NGL revenue accounted for approximately 55% of QEP Energy’s field-level production revenues, compared to 50% during the first quarter of 2012.</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might create significant long-term value. QEP believes that its experience, expertise, and substantial presence in its core operating areas, combined with its low-cost operating model and financial strength, enhance its ability to pursue acquisition opportunities. In addition, the Company is seeking to divest select non-core portfolio assets to redirect capital towards higher-return projects.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QEP owns and operates gathering and natural gas processing and treatment facilities in the majority of its core producing areas. These assets enable the Company to promptly connect its wells, better control its costs, and generate a significant, consistent revenue stream by providing gathering and processing services to third parties.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January 2013, QEP announced that its Board of Directors had authorized the formation of a Master Limited Partnership (MLP) to support the growth of QEP's midstream business. The Company expects to file a registration statement with the SEC in the second quarter of 2013 for an initial public offering of common units of the MLP. QEP plans to contribute a majority of its gathering assets in Wyoming and North Dakota to the MLP. QEP expects to sell a minority interest in the MLP and raise $300 million to $400 million in gross proceeds. QEP plans to use the proceeds from the offering to fund ongoing operations, to repay debt under the Company's revolving credit facility and for general corporate purposes. QEP's announcement of this plan did not, and this disclosure does not, constitute an offer to sell or the solicitation of an offer to buy any securities and shall not constitute an offer, solicitation or sale in any jurisdiction in which such offer, solicitation or sale would be unlawful prior to registration or qualification under the securities laws of that jurisdiction.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March 31, 2013, QEP Energy grew production, while processing and gathering volumes decreased at QEP Field Services over the same period in 2012. QEP Energy reported total equivalent production of 78.0 Bcfe in the first quarter of 2013, an increase of 5% over the same period in 2012. Crude oil and NGL production in the first quarter of 2013 was 3,247.4 Mbbls, an increase of 33% from the first quarter 2012. The Company's 2012 Acquisition contributed 636.8 Mbbls of liquids production in the first quarter of 2013. During the three months ended March 31, 2013, QEP Field Services' gathering throughput volumes decreased 10%, NGL sales volumes decreased 68% and fee-based processing volumes were 10% lower compared to the first quarter 2012.</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first quarter of 2013, QEP Energy also benefited from increased average realized prices compared to the first quarter of 2012. QEP Energy’s average total net realized equivalent price (including commodity derivative impact) increased 15% to $6.31 per Mcfe for the three months ended March 31, 2013, compared to $5.47 per Mcfe for the three months ended March 31, 2012. As a result of low ethane prices relative to natural gas prices, QEP Field Services' processing plants are now operating in ethane rejection mode (where ethane is left in the production stream and sold as natural gas). When in ethane rejection mode, NGL volumes are lower and average NGL prices are higher as a result of the remaining components of the NGL stream having a higher price than ethane. During the first quarter of 2013, NGL sales volumes declined, the impact of which was partially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0" w:right="259" w:bottom="1440" w:gutter="0" w:footer="0" w:header="0"/>
        </w:sectPr>
      </w:pPr>
    </w:p>
    <w:bookmarkStart w:id="26" w:name="page27"/>
    <w:bookmarkEnd w:id="26"/>
    <w:p>
      <w:pPr>
        <w:ind w:right="560"/>
        <w:spacing w:after="0" w:line="277" w:lineRule="auto"/>
        <w:rPr>
          <w:sz w:val="20"/>
          <w:szCs w:val="20"/>
          <w:color w:val="auto"/>
        </w:rPr>
      </w:pPr>
      <w:r>
        <w:rPr>
          <w:rFonts w:ascii="Arial" w:cs="Arial" w:eastAsia="Arial" w:hAnsi="Arial"/>
          <w:sz w:val="18"/>
          <w:szCs w:val="18"/>
          <w:color w:val="auto"/>
        </w:rPr>
        <w:t>offset by an increase in average net realized NGL sales prices of 16%. During the first quarter of 2013, QEP Field Services' fee-based processing rates increased 15% while fee-based gathering rates were flat.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Natural Gas, and NGL Prices</w:t>
      </w:r>
    </w:p>
    <w:p>
      <w:pPr>
        <w:spacing w:after="0" w:line="2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March 31, 2013, assuming 2013 annual production of 314.5 Bcfe, QEP Energy had approximately 51% of its forecasted natural gas, oil and NGL equivalent production covered with fixed-price swaps, including 56% of its forecasted natural gas production and 55% of its forecasted crude oil production covered with fixed-price swaps. See Item 3 “Quantitative and Qualitative Disclosures about Market Risk—Commodity Derivative Transactions” for further details concerning QEP’s commodity derivatives transactions. In addition, as a result of the continued spread between oil and natural gas prices, QEP Energy has allocated approximately 98% of its forecasted 2013 drilling and completion capital expenditure budget to oil and liquids-rich natural gas projects in its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QEP continues to monitor the outlook of the global economy, including the European debt crisis and its potential impact on global economic growth and the banking and financial sectors, political unrest in the Middle East, a slowing of growth in Asia, the United States federal budget deficit,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 and could materially impact the Company's financial position, results of operations and cash flow from operations and operating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U.S. natural gas directed drilling rig count decreased during 2012 as producers reduced drilling for natural gas in response to lower natural gas prices. A reduction in natural gas production has lagged the downturn in the natural gas rig count, because natural gas producers have a significant inventory of drilled wells waiting on completion and new high-rate horizontal wells continue to be completed. As a result of the lag, U.S. natural gas production did not decline in 2012. The U.S. natural gas market entered the storage injection season with record high inventory levels. However, strong natural gas demand from electric power generation resulted in a general firming of natural gas prices during the last half of 2012 and first quarter of 2013. Despite increased natural gas prices during the first quarter of 2013, QEP expects U.S. natural gas prices to remain volatile over the near term. Relatively low natural gas prices have caused U.S. E&amp;P companies, including QEP, to shift capital investments away from predominantly dry gas areas toward plays that are known to have liquids-rich natural gas and crude oil. This shift in focus has caused domestic NGL production to increase dramatically. Increased NGL production, warmer-than-average winters, and price dislocations from infrastructure bottlenecks in certain regions, have all contributed to a weakening in domestic NGL prices, particularly ethane. QEP expects NGL prices to remain volatile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 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carrying value of the Company's properties is sensitive to declines in natural gas, crude oil and NGL prices. These assets are at risk of impairment if future prices for natural gas, crude oil or NGL prices decline.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natural gas, crude oil and NGL prices alone could result in an impairment of properties. The Company did not record any impairments during the first quarter of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QEP’s significant accounting policies are described in Item 7 of Part II of its 2012 Annual Report on Form 10-K. The Company’s Condensed Consolidated Financial Statements are prepared in accordance with United States Generally Accepted Accounting Principles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QEP Resources’ net loss was $4.3 million, or $0.02 per diluted share, compared to net income of $155.2 million, or $0.87 per diluted share, in the first quarter of 2012. The decrease in the first quarter of 2013 was due to a $137.9 million decrease in QEP Energy’s net income and a $23.8 million decrease in QEP Field Services net income. Despite increased total equivalent production and realized equivalent prices, QEP Energy experienced a net loss during the first quarter of 2013 primarily due to an $84.0 million unrealized loss on commodity derivative contracts compared to a $123.7 million gain in the first quarter of 2012. In addition, QEP Energy's decrease in net income during the first quarter of 2013 was due to increased depreciation, depletion and amortization expense of $54.4 million and increased interest expense of $21.7 million. QEP Field Services’ decrease in net income during the first quarter of 2013 was driven by a 69% decrease in the keep-whole processing margin and 14% lower gathering margins.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3"/>
              </w:rPr>
              <w:t>The following table provides a summary of net income (loss) attributable to QEP by line of business: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24"/>
                <w:szCs w:val="24"/>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QEP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Management defines Adjusted EBITDA as net income before the following items: certain significant accrued litigation loss contingencies, depreciation, depletion and amortization (DD&amp;A), exploration expense, impairment, gains and losses from asset sales, unrealized gains and losses on derivative contracts, interest and other income, interest expense and income taxes.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following table provides a summary of Adjusted EBITDA by line of business: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24"/>
                <w:szCs w:val="24"/>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375.0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0"/>
        </w:trPr>
        <w:tc>
          <w:tcPr>
            <w:tcW w:w="7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Adjusted EBITDA increased to $375.0 million in the first quarter of 2013 from $350.7 million in 2012, due to 5% higher net realized crude oil prices, 11% higher realized NGL prices as a result of ethane rejection and a 5% increase in total production at QEP Energy offset in part by decreases in processing and gathering margins at QEP Field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Adjusted EBITDA to net income, the most comparable GAAP financial measure:</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QEP Field</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&amp; Other</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QEP Resources</w:t>
            </w:r>
          </w:p>
        </w:tc>
        <w:tc>
          <w:tcPr>
            <w:tcW w:w="0" w:type="dxa"/>
            <w:vAlign w:val="bottom"/>
          </w:tcPr>
          <w:p>
            <w:pPr>
              <w:spacing w:after="0"/>
              <w:rPr>
                <w:sz w:val="1"/>
                <w:szCs w:val="1"/>
                <w:color w:val="auto"/>
              </w:rPr>
            </w:pPr>
          </w:p>
        </w:tc>
      </w:tr>
      <w:tr>
        <w:trPr>
          <w:trHeight w:val="34"/>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March 31, 2013</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5"/>
          </w:tcPr>
          <w:p>
            <w:pPr>
              <w:ind w:left="8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income attributable to QEP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Unrealized losses on derivative contracts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85.3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253.5</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375.0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Three Months Ended March 31, 2012</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QEP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Unrealized gains on derivative contracts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Accrued litigation loss contingency</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4940" w:type="dxa"/>
            <w:vAlign w:val="bottom"/>
          </w:tcPr>
          <w:p>
            <w:pPr>
              <w:ind w:left="16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w:t>
      </w:r>
    </w:p>
    <w:p>
      <w:pPr>
        <w:spacing w:after="0" w:line="5" w:lineRule="exact"/>
        <w:rPr>
          <w:sz w:val="20"/>
          <w:szCs w:val="20"/>
          <w:color w:val="auto"/>
        </w:rPr>
      </w:pPr>
    </w:p>
    <w:p>
      <w:pPr>
        <w:ind w:right="220" w:firstLine="8"/>
        <w:spacing w:after="0" w:line="260"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Excludes the noncontrolling interest's 22% share, or $0.7 million, during the three months ended March 31, 2013 and 2012, respectively, of depreciation, depletion and amortization attributable to Rendezvous Gas Services, L.L.C.</w:t>
      </w:r>
    </w:p>
    <w:p>
      <w:pPr>
        <w:ind w:left="200" w:hanging="192"/>
        <w:spacing w:after="0" w:line="196"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Includes certain significant litigation contingency items for the three months ended March 31, 2012.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83.4</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84"/>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111.4</w:t>
            </w: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Natural gas, oil and NGL transportation and other handling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0" w:type="dxa"/>
            <w:vAlign w:val="bottom"/>
            <w:tcBorders>
              <w:top w:val="single" w:sz="8" w:color="CCEEFF"/>
            </w:tcBorders>
          </w:tcPr>
          <w:p>
            <w:pPr>
              <w:spacing w:after="0"/>
              <w:rPr>
                <w:sz w:val="21"/>
                <w:szCs w:val="21"/>
                <w:color w:val="auto"/>
              </w:rPr>
            </w:pPr>
          </w:p>
        </w:tc>
        <w:tc>
          <w:tcPr>
            <w:tcW w:w="74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477.5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411.2</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Unrealized (losses) gains on derivative instruments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r>
      <w:tr>
        <w:trPr>
          <w:trHeight w:val="284"/>
        </w:trPr>
        <w:tc>
          <w:tcPr>
            <w:tcW w:w="7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(Loss) Income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74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6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97"/>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Average equivalent field-level price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40" w:type="dxa"/>
            <w:vAlign w:val="bottom"/>
          </w:tcPr>
          <w:p>
            <w:pPr>
              <w:spacing w:after="0"/>
              <w:rPr>
                <w:sz w:val="22"/>
                <w:szCs w:val="22"/>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Net realized equivalent price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0.84</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 Energy’s major revenue categories for the three months ended March 31, 2013 compared to the three months ended March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2012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2013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14"/>
        <w:spacing w:after="0" w:line="239"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months ended March 31, 2013, as compared to the three months ended March 31, 2012, by the average field-level price for the three months ended March 31, 2012.</w:t>
      </w:r>
    </w:p>
    <w:p>
      <w:pPr>
        <w:spacing w:after="0" w:line="1" w:lineRule="exact"/>
        <w:rPr>
          <w:rFonts w:ascii="Arial" w:cs="Arial" w:eastAsia="Arial" w:hAnsi="Arial"/>
          <w:sz w:val="22"/>
          <w:szCs w:val="22"/>
          <w:color w:val="auto"/>
          <w:vertAlign w:val="superscript"/>
        </w:rPr>
      </w:pPr>
    </w:p>
    <w:p>
      <w:pPr>
        <w:ind w:left="660" w:right="320" w:hanging="314"/>
        <w:spacing w:after="0" w:line="237"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prices from the three months ended March 31, 2013, as compared to the three months ended March 31, 2012, by volumes for the three months ended March 31, 2013.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production volumes (Bcf)</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7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81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prices (per Mcf)</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Natural gas revenues increased $36.4 million, or 23%, in 2013 due to higher field-level prices offset in part by lower volumes and lower commodity derivative contribution. The decrease in production volumes was driven by the discontinuance of QEP's Haynesville/Cotton Valley drilling program partially offset by increased production in QEP's Pinedale and Midcontinent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Natural gas field-level prices increased 25% as a result of increased near-term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7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production volumes (Mbbl)</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148.8</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408.9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prices (per bbl)</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Oil revenues increased $83.4 million, or 75%, in 2013 due to higher volumes. The increase in production volumes was driven by QEP's Williston Basin 2012 Acquisition which contributed 560.5 Mbbls during the first quarter of 2013. The increased volumes in the Midcontinent were related to a 76.4 Mbbls increase from QEP's properties in the Granite Wash play and a 44.3 Mbbl increase from its properties in the Woodford "Cana" shale play.</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Oil field-level prices increased slightly in the first quarter of 2013, despite a decrease in WTI Cushing and Brent crude oil prices. The increase in QEP's field-level prices was due to improved pricing in the Williston Basin. Williston Basin pricing increased in 2013 due to the improvement in price differentials and the sale of crude oil referenced against Brent prices in the first quarter of 2013. Brent spot prices were higher than WTI Cushing in the first quarter of both 2013 and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311.9</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717.1</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NGL revenues increased $0.7 million, or 1%, due to an increased price per barrel partially offset by decreased production volumes. NGL prices increased 12% primarily as a result of processing plants running in ethane rejection mode. When ethane is sold as part of the natural gas stream, the average NGL barrel sales price increases as the price of the remaining NGL components are higher than the ethane price.</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Production volumes decreased in Pinedale due to processing plants running in ethane rejection mode. The decrease in Pinedale was partially offset by increases in the Midcontinent, Williston Basin and Uinta Basin. The Midcontinent increase was driven by additional Woodford "Cana" shale wells while the Williston Basin's NGL volume growth was the result of the 2012 Acquisition which contributed 76.3 Mbbls to the first quarter of 2013. In addition, the Uinta Basin increased volumes despite its processing plants running in ethane rejection mode due to QEP Energy executing a cryogenic, fee-based processing agreement in mid-2012 with QEP Field Services for a portion of the Red Wash Unit's natural gas production.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our gas, oil and NGL resale activities: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6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Resale margin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first quarter of 2013, QEP Energy recorded a loss on resale margin as a result of its activities to utilize pipeline transportation commitments in Louisiana. The Company had transportation commitments in excess of its current production as a result of the discontinuance of its Haynesville drilling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months ended March 31, 2013: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92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Operated Completions</w:t>
            </w:r>
          </w:p>
        </w:tc>
        <w:tc>
          <w:tcPr>
            <w:tcW w:w="2800" w:type="dxa"/>
            <w:vAlign w:val="bottom"/>
            <w:gridSpan w:val="4"/>
          </w:tcPr>
          <w:p>
            <w:pPr>
              <w:jc w:val="center"/>
              <w:spacing w:after="0"/>
              <w:rPr>
                <w:sz w:val="20"/>
                <w:szCs w:val="20"/>
                <w:color w:val="auto"/>
              </w:rPr>
            </w:pPr>
            <w:r>
              <w:rPr>
                <w:rFonts w:ascii="Arial" w:cs="Arial" w:eastAsia="Arial" w:hAnsi="Arial"/>
                <w:sz w:val="18"/>
                <w:szCs w:val="18"/>
                <w:color w:val="auto"/>
                <w:w w:val="91"/>
              </w:rPr>
              <w:t>Non-operated Completions</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92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80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000" w:type="dxa"/>
            <w:vAlign w:val="bottom"/>
            <w:gridSpan w:val="3"/>
          </w:tcPr>
          <w:p>
            <w:pPr>
              <w:jc w:val="center"/>
              <w:ind w:left="770"/>
              <w:spacing w:after="0"/>
              <w:rPr>
                <w:sz w:val="20"/>
                <w:szCs w:val="20"/>
                <w:color w:val="auto"/>
              </w:rPr>
            </w:pPr>
            <w:r>
              <w:rPr>
                <w:rFonts w:ascii="Arial" w:cs="Arial" w:eastAsia="Arial" w:hAnsi="Arial"/>
                <w:sz w:val="18"/>
                <w:szCs w:val="18"/>
                <w:color w:val="auto"/>
                <w:w w:val="91"/>
              </w:rPr>
              <w:t>March 31, 2013</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March 31, 2013</w:t>
            </w:r>
          </w:p>
        </w:tc>
        <w:tc>
          <w:tcPr>
            <w:tcW w:w="820" w:type="dxa"/>
            <w:vAlign w:val="bottom"/>
          </w:tcPr>
          <w:p>
            <w:pPr>
              <w:spacing w:after="0"/>
              <w:rPr>
                <w:sz w:val="23"/>
                <w:szCs w:val="23"/>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000" w:type="dxa"/>
            <w:vAlign w:val="bottom"/>
            <w:gridSpan w:val="3"/>
          </w:tcPr>
          <w:p>
            <w:pPr>
              <w:ind w:left="480"/>
              <w:spacing w:after="0"/>
              <w:rPr>
                <w:sz w:val="20"/>
                <w:szCs w:val="20"/>
                <w:color w:val="auto"/>
              </w:rPr>
            </w:pPr>
            <w:r>
              <w:rPr>
                <w:rFonts w:ascii="Arial" w:cs="Arial" w:eastAsia="Arial" w:hAnsi="Arial"/>
                <w:sz w:val="18"/>
                <w:szCs w:val="18"/>
                <w:color w:val="auto"/>
              </w:rPr>
              <w:t>Gross</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1980" w:type="dxa"/>
            <w:vAlign w:val="bottom"/>
            <w:gridSpan w:val="3"/>
          </w:tcPr>
          <w:p>
            <w:pPr>
              <w:ind w:left="460"/>
              <w:spacing w:after="0"/>
              <w:rPr>
                <w:sz w:val="20"/>
                <w:szCs w:val="20"/>
                <w:color w:val="auto"/>
              </w:rPr>
            </w:pPr>
            <w:r>
              <w:rPr>
                <w:rFonts w:ascii="Arial" w:cs="Arial" w:eastAsia="Arial" w:hAnsi="Arial"/>
                <w:sz w:val="18"/>
                <w:szCs w:val="18"/>
                <w:color w:val="auto"/>
              </w:rPr>
              <w:t>Gross</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w w:val="92"/>
              </w:rPr>
              <w:t>Net</w:t>
            </w:r>
          </w:p>
        </w:tc>
      </w:tr>
      <w:tr>
        <w:trPr>
          <w:trHeight w:val="34"/>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5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41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gridSpan w:val="3"/>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0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03"/>
        </w:trPr>
        <w:tc>
          <w:tcPr>
            <w:tcW w:w="55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Midcontinent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70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jc w:val="right"/>
              <w:ind w:right="9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presents operated and non-operated wells being drilled or waiting on completion at March 31,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31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1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Uinta Basin</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Legacy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3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Haynesville/Cotton Valley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Midcontinent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12"/>
        </w:trPr>
        <w:tc>
          <w:tcPr>
            <w:tcW w:w="40" w:type="dxa"/>
            <w:vAlign w:val="bottom"/>
          </w:tcPr>
          <w:p>
            <w:pPr>
              <w:spacing w:after="0"/>
              <w:rPr>
                <w:sz w:val="18"/>
                <w:szCs w:val="18"/>
                <w:color w:val="auto"/>
              </w:rPr>
            </w:pPr>
          </w:p>
        </w:tc>
        <w:tc>
          <w:tcPr>
            <w:tcW w:w="31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88"/>
              </w:rPr>
              <w:t>___________________________</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right="100" w:firstLine="8"/>
        <w:spacing w:after="0" w:line="239"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non-operated well total for the Uinta Basin does not include wells that are being drilling in the Monument Butte unit in which QEP owns a very small working interest.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4"/>
              </w:rPr>
              <w:t>The following table presents certain QEP Energy operating expenses on a unit of production basis.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39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 Mcfe)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oil and NGL transportation and other handling costs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taxes</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0.44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Depreciation, depletion and amortization. </w:t>
      </w:r>
      <w:r>
        <w:rPr>
          <w:rFonts w:ascii="Arial" w:cs="Arial" w:eastAsia="Arial" w:hAnsi="Arial"/>
          <w:sz w:val="16"/>
          <w:szCs w:val="16"/>
          <w:color w:val="auto"/>
        </w:rPr>
        <w:t>DD&amp;A expense increased $54.4 million, or $0.58 per Mcfe, in the first quarter of 2013 when compared to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2012 due to increases in the Williston Basin and Haynesville/Cotton Valley partially offset by a decrease in the Uinta Basin. The increase in the Williston Basin rate is due to the additional proved costs recorded as part of the 2012 Acquisition while the increase in the Haynesville/Cotton Valley rate was due to a year-end 2012 negative revision of proved undeveloped reserves associated with lower prices. These increases were partially offset by a decrease in the Uinta Basin rate due to a 2012 proved property impairment and the addition of proved undeveloped reserves recorded at year-end 2012.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9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2"/>
              </w:rPr>
              <w:t>(per Mcfe)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0.41</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0.53</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QEP Energy’s LOE increased $0.2 million in total while the average LOE per Mcfe decreased 4% during the first quarter of 2013 compared to the first quarter of 2012. The Southern Region LOE per Mcfe decrease in 2013 was driven by a 61% decline at its Woodford properties due to cost savings focus. The Northern Region increase was driven by a 38% per Mcfe increase in the Uinta Basin due to $1.9 million higher compression and transportation costs and a $0.9 million increase in trucking and supplies costs. In addition, the Northern Region per Mcfe LOE grew by 25% in the Pinedale field due to a $0.5 million increase in water disposal costs, a $0.2 increase in labor and pumper costs and a slight decrease in production volumes.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Natural gas, oil and NGL transportation and other handling costs. </w:t>
      </w:r>
      <w:r>
        <w:rPr>
          <w:rFonts w:ascii="Arial" w:cs="Arial" w:eastAsia="Arial" w:hAnsi="Arial"/>
          <w:sz w:val="18"/>
          <w:szCs w:val="18"/>
          <w:color w:val="auto"/>
        </w:rPr>
        <w:t>Natural gas, oil and NGL transportation and other handling costs increased $5.8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$0.04 per Mcfe, in the first quarter of 2013 compared to the first quarter of 2012 due to increases in costs in the Haynesville/Cotton Valley field and Williston Basin. Haynesville/Cotton Valley transportation and other handling costs per Mcfe increased 21% due to the decrease in production volumes. Transportation and other handling costs per Mcfe in the Williston Basin doubled, partially due to increased transported volumes in the first quarter of 2013 compared to the same period in 2012.</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Production taxes. </w:t>
      </w:r>
      <w:r>
        <w:rPr>
          <w:rFonts w:ascii="Arial" w:cs="Arial" w:eastAsia="Arial" w:hAnsi="Arial"/>
          <w:sz w:val="16"/>
          <w:szCs w:val="16"/>
          <w:color w:val="auto"/>
        </w:rPr>
        <w:t>In most states in which QEP Energy operates, QEP pays production taxes based on a percentage of field-level revenue, except in Louisiana,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severance taxes are volume-based. Production taxes increased $11.8 million, or $0.13 per Mcfe, during the three months ended March 31, 2013, as a result of increased natural gas, oil and NGL revenues due to higher field-level natural gas, oil and NGL prices and higher oil and NGL production. Additionally, there was higher production in the Williston Basin, which is taxed at a higher rate than most of QEP Energy's other operating areas.</w:t>
      </w:r>
    </w:p>
    <w:p>
      <w:pPr>
        <w:spacing w:after="0" w:line="1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 xml:space="preserve">Exploration expense. </w:t>
      </w:r>
      <w:r>
        <w:rPr>
          <w:rFonts w:ascii="Arial" w:cs="Arial" w:eastAsia="Arial" w:hAnsi="Arial"/>
          <w:sz w:val="16"/>
          <w:szCs w:val="16"/>
          <w:color w:val="auto"/>
        </w:rPr>
        <w:t>Exploration expenses increased $3.1 million during the three months ended March 31, 2013, compared with the 2012 period. The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primarily related partially to an increase in seismic studies of $3.1 million and a $0.3 million increase in exploration contract and consulting services, offset by a decrease of $0.2 million in exploration-related labor and benefits costs and a $0.1 million decrease in dry hole expenses.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There were no impairments recorded in the first quarter of 2013. Impairment expenses of $6.5 million were recorded during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on certain proved and unproved properties due to lower natural gas prices.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8"/>
              </w:rPr>
              <w:t>The following table provides a summary of QEP Field Services’ financial and operating results: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Processing (fee based)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gathering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7440" w:type="dxa"/>
            <w:vAlign w:val="bottom"/>
          </w:tcPr>
          <w:p>
            <w:pPr>
              <w:ind w:left="18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7"/>
        </w:trPr>
        <w:tc>
          <w:tcPr>
            <w:tcW w:w="74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plant fuel and shrinkage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oil and NGL transportation and other handling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4"/>
        </w:trPr>
        <w:tc>
          <w:tcPr>
            <w:tcW w:w="74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620"/>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800" w:type="dxa"/>
            <w:vAlign w:val="bottom"/>
            <w:gridSpan w:val="4"/>
          </w:tcPr>
          <w:p>
            <w:pPr>
              <w:spacing w:after="0"/>
              <w:rPr>
                <w:sz w:val="20"/>
                <w:szCs w:val="20"/>
                <w:color w:val="auto"/>
              </w:rPr>
            </w:pPr>
            <w:r>
              <w:rPr>
                <w:rFonts w:ascii="Arial" w:cs="Arial" w:eastAsia="Arial" w:hAnsi="Arial"/>
                <w:sz w:val="18"/>
                <w:szCs w:val="18"/>
                <w:color w:val="auto"/>
                <w:w w:val="92"/>
              </w:rPr>
              <w:t>The following tables present a summary of QEP Field Services’ financial and operating results from gathering activities: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Three Months Ended March 31, 2012</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Gathering Margin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gathering revenues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expense</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Gathering margin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Natural gas gathering volumes (in millions of MMBtu)</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unaffiliated customers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affiliated customers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Gas Gathering Volumes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Average gas gathering revenue (per MMBtu)</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During the first quarter of 2013, gathering margin declined 14% due to a 10% decrease in gathering system throughput volume and a corresponding 10% decrease in other gathering revenues. Gathering system throughput volumes decreased 32% at QEP Field Services' Northwest Louisiana Hub due to a decrease in QEP Energy production resulting from the cessation of drilling in Haynesville in mid-2012. Other gathering revenues decreased due to a $1.3 million decline in condensate sales revenues. Condensate sales volumes were lower in the first quarter of 2013 due to the decrease in gathering system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QEP Field Services’ processing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Processing Margin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gains from commodity derivative contract settlements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(fee-based)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processing fees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Processing plant fuel and shrink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oil and NGL transportation and other handling costs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Processing margin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Keep-whole processing margin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378"/>
        </w:trPr>
        <w:tc>
          <w:tcPr>
            <w:tcW w:w="7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processing volumes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NGL sales (MBbbl)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Average net realized NGL sales price (per bbl)</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Fee-based processing volumes (in millions of MMBtu)</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unaffiliated customers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 affiliated customers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fee-based processing volumes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Average fee-based processing revenue (per MMBtu)</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39"/>
        </w:trPr>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660" w:hanging="314"/>
        <w:spacing w:after="0" w:line="21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Average net realized NGL sales price per gallon is calculated as NGL sales including realized gains from commodity derivative contracts settlements divided by NGL sales volumes.</w:t>
      </w:r>
    </w:p>
    <w:p>
      <w:pPr>
        <w:sectPr>
          <w:pgSz w:w="11900" w:h="16838" w:orient="portrait"/>
          <w:cols w:equalWidth="0" w:num="1">
            <w:col w:w="11420"/>
          </w:cols>
          <w:pgMar w:left="240" w:top="58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4" w:right="239" w:bottom="1440" w:gutter="0" w:footer="0" w:header="0"/>
          <w:type w:val="continuous"/>
        </w:sectPr>
      </w:pPr>
    </w:p>
    <w:bookmarkStart w:id="37" w:name="page38"/>
    <w:bookmarkEnd w:id="37"/>
    <w:p>
      <w:pPr>
        <w:ind w:right="40"/>
        <w:spacing w:after="0" w:line="257" w:lineRule="auto"/>
        <w:rPr>
          <w:sz w:val="20"/>
          <w:szCs w:val="20"/>
          <w:color w:val="auto"/>
        </w:rPr>
      </w:pPr>
      <w:r>
        <w:rPr>
          <w:rFonts w:ascii="Arial" w:cs="Arial" w:eastAsia="Arial" w:hAnsi="Arial"/>
          <w:sz w:val="18"/>
          <w:szCs w:val="18"/>
          <w:color w:val="auto"/>
        </w:rPr>
        <w:t>Although a significant portion of QEP Field Services' gas processing services are performed for a volumetric-based fee, QEP Field Services also provides “keep-whole” processing services for certain customers. Under a keep-whole processing contract, QEP Field Services retains and sells NGL extracted at its processing plants and keeps the customer “whole” by delivering a Btu-equivalent amount of natural gas to the customer. Keep-whole processing exposes the Company to the “frac” spread. The frac spread is the difference between the market value of NGL extracted at the processing plant and the market value of an energy-equivalent volume of natural gas.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Field Services keep-whole processing margin decreased 69% during the first quarter of 2013, due to a 68% decrease in NGL sales volumes. The decrease in NGL sales volumes is the result of its processing plants running in ethane rejection mode due to low ethane prices. Partially offsetting this decline was an increase in the average net realized NGL sales price. Including the impact of gains on derivative contract settlements, average NGL realized prices increased 16% in 2013, primarily the result of a higher value NGL barrel due to elimination of ethane in the barrel as the processing plants ran in ethane rejection mode and ethane sales prices were lower than other NGL products' sales prices. In addition, keep-whole margins were positively impacted in 2013 from decreased natural gas, oil, and NGL transportation and other handling costs. Transportation costs were lower in 2013 due to the reduction in ethane volumes.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Fee-based processing revenues increased during the first quarter of 2013 due to a 15% increase in average fee-based processing revenue per MMBtu, offset by a 10% decrease in fee-based processing volumes. During the first quarter of 2013, the decrease in fee-based processing volumes was the result of lower unaffiliated volumes due to one customer's compression system failures. Partially offsetting this decrease in fee-based processing volumes were increased volumes from the start-up of Iron Horse II cryogenic processing plant in the first quarter of 2013. The plant predominantly provides fee-based processing services to third parties and affiliates. Other processing fees increased 63% in the first quarter of 2013 due to increased deficiency payments from customers who did not meet their contractual annual minimum throughput commitments for gathering or processing volumes. Approximately 82% and 72% of QEP Field Services’ net operating revenue was derived from fee-based gathering and processing agreements in the three months ended March 31, 2013 and 2012,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Other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3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84"/>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Loss</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Realized gain on derivative instruments</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gain on derivative instruments</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4560" w:type="dxa"/>
            <w:vAlign w:val="bottom"/>
          </w:tcPr>
          <w:p>
            <w:pPr>
              <w:ind w:left="180"/>
              <w:spacing w:after="0"/>
              <w:rPr>
                <w:sz w:val="20"/>
                <w:szCs w:val="20"/>
                <w:color w:val="auto"/>
              </w:rPr>
            </w:pPr>
            <w:r>
              <w:rPr>
                <w:rFonts w:ascii="Arial" w:cs="Arial" w:eastAsia="Arial" w:hAnsi="Arial"/>
                <w:sz w:val="18"/>
                <w:szCs w:val="18"/>
                <w:color w:val="auto"/>
              </w:rPr>
              <w:t>Net Income Attributable to QEP</w:t>
            </w:r>
          </w:p>
        </w:tc>
        <w:tc>
          <w:tcPr>
            <w:tcW w:w="3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80" w:type="dxa"/>
            <w:vAlign w:val="bottom"/>
            <w:vMerge w:val="restart"/>
          </w:tcPr>
          <w:p>
            <w:pPr>
              <w:jc w:val="right"/>
              <w:ind w:right="1550"/>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The following table is a summary of QEP Marketing’s financial results from resale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 instruments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Resale margin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QEP Marketing's loss on resale margin was primarily the result of the fulfillment of firm transportation contract commitments. Purchased gas, oil and NGL sales increased by $96.1 million, or 40%, during the three months ended March 31, 2013, due to a $21.0 million increase in resale gas sales and a $75.1 million increase in resale oil and NGL sales. Resale natural gas sales increased due to a 25% increase in the resale price, offset by a 6% decrease in resale volumes. Resale oil and NGL sales increased due to a 59% increase in resale volumes and a 2% increase in resale price.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38% in the three months ended March 31, 2013, due to a $20.3 million increase in resale gas purchases and a $75.1 million increase in resale oil and NGL purchases. Resale natural gas purchased increased due to a 25% increase in the resale price, offset by a 5% decrease in resale purchase volumes. Resale oil and NGL sales increased due to a 59% increase in resale purchase volumes and a 2% increase in resale purchase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During the first quarter of 2013, general and administrative (G&amp;A) expense increased $10.0 million, or 28%,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first quarter of 2012. The increase in G&amp;A in 2013 was primarily due to a $4.4 million increase in professional and outside services primarily due to implementation of a new Enterprise Resource Planning system as well as software maintenance costs and other contracted or professional services, $2.2 million in higher costs due to increased headcount and the Company's annual compensation program, $1.4 million of expenses recognized for increases to the bad-debt allowance and a $0.7 million increase in stock-based compensation expense and increases in the mark-to-market value of the deferred compensation wrap plan.</w:t>
      </w:r>
    </w:p>
    <w:p>
      <w:pPr>
        <w:spacing w:after="0" w:line="19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 xml:space="preserve">Realized and unrealized gain on derivative contracts. </w:t>
      </w:r>
      <w:r>
        <w:rPr>
          <w:rFonts w:ascii="Arial" w:cs="Arial" w:eastAsia="Arial" w:hAnsi="Arial"/>
          <w:sz w:val="16"/>
          <w:szCs w:val="16"/>
          <w:color w:val="auto"/>
        </w:rPr>
        <w:t>Gains and losses on derivative instruments are comprised of both realized and unrealized gains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on QEP’s commodity derivative contracts and interest rate swaps. During the first quarter of 2013, losses on commodity derivative instruments were $34.4 million, of which $51.3 million was realized gains and $85.7 million was unrealized losses. During the first quarter of 2012, gains on commodity derivative instruments were $216.3 million, of which $88.0 million was realized and $128.3 million was unrealized. Realized gains were lower in 2013 and unrealized losses were higher in 2013 due to an increase in natural gas prices relative to the swap prices on the derivative contracts. Additionally, during the first quarter of 2013, losses from interest rate swaps were $0.2 million, of which $0.6 million was realized losses and $0.4 million was unrealized gains.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$14.7 million, or 60%, during the first quarter of 2013 when compared to the first quarter of 2012.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attributable to average debt levels that were approximately $1.6 billion, or 96%, higher than average debt levels in the first quarter of 2012. The increase in average debt levels is mostly related to the issuance of QEP's 2023 senior notes and term loan in the second and third quarters of 2012. as well as an increased balance as of March 31, 2013, under our revolving credit facility.</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QEP’s effective combined federal and state income tax rate was 37.3% for the first quarter of 2013, higher than the first quarter 2012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36.2%. The lower 2012 combined effective rate resulted primarily from changes in estimates and subsequent reduction of accruals that are non-deductible for income tax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and operations. QEP funds its operations, capital expenditures and working capital requirements with cash flow from its operating activities and borrowings under its credit facilities. Periodically, QEP accesses debt and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2013</w:t>
            </w:r>
          </w:p>
        </w:tc>
        <w:tc>
          <w:tcPr>
            <w:tcW w:w="24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2012</w:t>
            </w:r>
          </w:p>
        </w:tc>
      </w:tr>
      <w:tr>
        <w:trPr>
          <w:trHeight w:val="34"/>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243"/>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80" w:type="dxa"/>
            <w:vAlign w:val="bottom"/>
            <w:gridSpan w:val="4"/>
          </w:tcPr>
          <w:p>
            <w:pPr>
              <w:jc w:val="center"/>
              <w:ind w:right="110"/>
              <w:spacing w:after="0"/>
              <w:rPr>
                <w:sz w:val="20"/>
                <w:szCs w:val="20"/>
                <w:color w:val="auto"/>
              </w:rPr>
            </w:pPr>
            <w:r>
              <w:rPr>
                <w:rFonts w:ascii="Arial" w:cs="Arial" w:eastAsia="Arial" w:hAnsi="Arial"/>
                <w:sz w:val="18"/>
                <w:szCs w:val="18"/>
                <w:color w:val="auto"/>
                <w:w w:val="93"/>
              </w:rPr>
              <w:t>(in millions, except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7"/>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credit facility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645.8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805.9</w:t>
            </w: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805.9</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3,367.5</w:t>
            </w:r>
          </w:p>
        </w:tc>
        <w:tc>
          <w:tcPr>
            <w:tcW w:w="100" w:type="dxa"/>
            <w:vAlign w:val="bottom"/>
          </w:tcPr>
          <w:p>
            <w:pPr>
              <w:spacing w:after="0"/>
              <w:rPr>
                <w:sz w:val="20"/>
                <w:szCs w:val="20"/>
                <w:color w:val="auto"/>
              </w:rPr>
            </w:pP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3,206.9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3,266.0</w:t>
            </w:r>
          </w:p>
        </w:tc>
      </w:tr>
      <w:tr>
        <w:trPr>
          <w:trHeight w:val="252"/>
        </w:trPr>
        <w:tc>
          <w:tcPr>
            <w:tcW w:w="720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ind w:left="660" w:right="400" w:hanging="314"/>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agreement below. Includes outstanding letters of credit of $3.7 million as of March 31, 2013 and $4.1 million as of December 31, 2012.</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QEP’s revolving credit facility agreement, which matures in August 2016, provides for loan commitments of $1.5 billion from a syndicate of financial institutions. The credit facility provides for borrowings at short-term interest rates and contains customary covenants and restrictions. The credit facility agreement also contains provisions which would allow for the amount of the facility to be increased to $2.0 billion and for the maturity to be extended for two additional one-year periods. QEP’s weighted-average interest rate on borrowings from its credit facility was 2.35% during the first quarter of 2013. At March 31, 2013, QEP was in compliance with the debt covenants under the credit agreement. At April 26, 2013, QEP had $870.0 million of borrowings and $3.7 million of letters of credit outstanding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QEP's $300.0 million senior, unsecured term loan agreement provides for borrowings at short-term interest rates and contains covenants, restrictions and interest rates that are substantially the same as the Company’s credit facility. The term loan matures in April of 2017, and the maturity date may be extended one year with the agreement of the lenders. During the first quarter of 2013, QEP’s weighted-average interest rate on the term loan was 2.26%. In conjunction with the term loan, QEP entered into interest rate swap contracts with a combined notional principal amount of $300.0 million which will mature in March 2017. Under the swap contracts, QEP pays 1.07% for the life of the swaps and receives one-month LIBOR. The interest rate at March 31, 2013 under the term loan is one-month LIBOR, plus 2.00% (the Applicable Margin) which, when combined with the fixed interest rate swaps, results in an effective rate of 3.07% for borrowings under the term loan. To the extent that the Applicable Margin under the term loan changes, the effective fixed rate paid for borrowings under the term loan will 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March 31, 2013, totaled $2,221.8 million principal amount and are comprised of six issuances as follows: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21 months.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Net cash provided by operating activities decreased 48% during the first quarter of 2013 when compared to the first quarter of 2012 due to lower net income and a decrease from the use of cash from operating assets and liabilities. Changes in operating assets and liabilities used $162.4 million of cash in the first quarter of 2013, mainly due to a decrease in accounts payable and accrued expenses primarily due to the $115.0 million Chieftain settlement payment and an increase in accounts receivable. Changes in operating assets and liabilities provided $20.8 million of cash in the first quarter of 2012 primarily due to decreases in accounts receivable, offset by decreases in accounts payable. Net cash provided from operating activities is presented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comparison of capital expenditures for the first quarter of 2013 and 2012 and a forecast for calendar year 2013 are presented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6"/>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325.4</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accruals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2012 Annual Report on Form 10-K, filed on February 22, 2013.</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first quarter of 2013, capital expenditures on a cash basis increased 14% to $384.6 million, compared to $337.9 million during the 2012. The increase of $46.7 million in cash capital expenditures during the first quarter of 2013 was the result of QEP Energy's increased capital expenditure budget primarily for Williston Basin oil drilling.</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QEP Energy capital investment, on an accrual basis, in the first quarter of 2013 increased $32.4 million over the first quarter of 2012 to a total of $325.4 million, of which $18.1 million related to property acquisitions in the Williston Basin and $5.5 million of post-closing adjustments for the 2012 Acquisition. Further, capital expenditures increased $79.1 million in the Williston Basin due to additional drilling activity and operations in the area as a result of the 2012 Acquisition, offset by $49.6 million</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84" w:right="239" w:bottom="1440" w:gutter="0" w:footer="0" w:header="0"/>
          <w:type w:val="continuous"/>
        </w:sectPr>
      </w:pPr>
    </w:p>
    <w:bookmarkStart w:id="41" w:name="page42"/>
    <w:bookmarkEnd w:id="41"/>
    <w:p>
      <w:pPr>
        <w:ind w:right="360"/>
        <w:spacing w:after="0" w:line="277" w:lineRule="auto"/>
        <w:rPr>
          <w:sz w:val="20"/>
          <w:szCs w:val="20"/>
          <w:color w:val="auto"/>
        </w:rPr>
      </w:pPr>
      <w:r>
        <w:rPr>
          <w:rFonts w:ascii="Arial" w:cs="Arial" w:eastAsia="Arial" w:hAnsi="Arial"/>
          <w:sz w:val="18"/>
          <w:szCs w:val="18"/>
          <w:color w:val="auto"/>
        </w:rPr>
        <w:t>decrease in capital expenditures in the Haynesville/Cotton Valley field due to the suspended drilling program, and a $24.6 decrease in Pinedale due to the reduction of drilling rigs from seven to four.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QEP Field Services capital investment decreased $35.2 million, on an accrual basis, in the first quarter of 2013 compared to the first quarter of 2012 due to the completion of its new 150 MMcfd fee-based cryogenic gas processing plant in the Uinta Basin (Iron Horse II).</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March 31, 2013, forecasted capital investments for 2013 is expected to be $1,675.0 million, comprised of $1,530.0 million at QEP Energy, $120.0 million at QEP Field Services, and $25.0 million for QEP Resources and QEP Marketing. For the remainder of 2013, QEP intends to fund capital expenditures with cash flow from operating activities, and, if needed, borrowings under its revolving credit facility. As a result of the continued low natural gas prices, QEP plans minimal capital expenditures for the Haynesville Shale and other dry-gas development areas and increase capital expenditures for higher return projects, including Pinedale, Uinta Basin Red Wash Mesaverde, and oil-directed horizontal drilling in the Williston Basin and Midcontinent during the remainder of 2013. QEP Energy has allocated approximately 98% of its forecasted 2013 drilling and completion capital expenditure budget to crude oil and liquids-rich natural gas plays. QEP plans to invest a total of approximately $120.0 million in capital expenditures during 2013 to grow its midstream business, including the expansion of its gathering system in the Uinta Basin and the completion of a 10,000 Bbl/d expansion of the NGL fractionation facility located at the Blacks Fork processing complex (expected to be completed mid-2013). QEP Resources plans to invest approximately $24.0 million in capital expenditures related to corporate activities, primarily the implementation of a new Enterprise Resource Planning system. The aggregate levels of capital expenditures for 2013 and the allocation of those expenditures are dependent on a variety of factors, including drilling results, natural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first quarter of 2013, net cash proceeds from financing activities were $211.0 million compared to $6.1 million in the first quarter of 2012. During the first quarter of 2013, QEP had borrowings from the credit facility of $545.5 million and repayments on the credit facility of $385.0 million as well as checks outstanding in excess of cash balances of $60.0 million.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March 31, 2013, long-term debt consisted of $850.5 million outstanding under the credit facility, $300.0 million under the term loan and $2,221.8 million in senior notes (including $4.8 million of net original issue discount). The $160.5 million increase in borrowings under the credit facility was primarily due to the payment of $115.0 million for the Chieftain settlement and interest payments on a portion of the senior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natural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The Company’s risk management policies provide for the use of derivative instruments to manage this risk. However, these same arrangements typically limit future gains from favorable price movements. The types of commodity derivative instruments utilized by the Company include fixed-price swaps. The volume of commodity derivative instruments utilized by the Company may vary from year-to-year. The derivative instruments currently utilized by the Company do not have margin requirements or collateral provisions that would require payments prior to the scheduled cash settlement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color w:val="auto"/>
        </w:rPr>
        <w:t>dates. As of March 31, 2013, QEP held commodity price derivative contracts totaling 153.4 million MMBtu of natural gas and 9.4 million barrels of oil. At December 31, 2012, the QEP derivative contracts covered 139.4 million MMBtu of natural gas and 6.9 million barrels of oil.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2013 derivative positions as of April 26, 2013: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c>
          <w:tcPr>
            <w:tcW w:w="0" w:type="dxa"/>
            <w:vAlign w:val="bottom"/>
          </w:tcPr>
          <w:p>
            <w:pPr>
              <w:spacing w:after="0"/>
              <w:rPr>
                <w:sz w:val="1"/>
                <w:szCs w:val="1"/>
                <w:color w:val="auto"/>
              </w:rPr>
            </w:pP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per unit</w:t>
            </w: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 sales</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3100" w:type="dxa"/>
            <w:vAlign w:val="bottom"/>
          </w:tcPr>
          <w:p>
            <w:pPr>
              <w:ind w:left="272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72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3100" w:type="dxa"/>
            <w:vAlign w:val="bottom"/>
          </w:tcPr>
          <w:p>
            <w:pPr>
              <w:ind w:left="272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Oil sales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(Bbls)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72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7"/>
              </w:rPr>
              <w:t>BRENT ICE</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59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c>
          <w:tcPr>
            <w:tcW w:w="0" w:type="dxa"/>
            <w:vAlign w:val="bottom"/>
          </w:tcPr>
          <w:p>
            <w:pPr>
              <w:spacing w:after="0"/>
              <w:rPr>
                <w:sz w:val="1"/>
                <w:szCs w:val="1"/>
                <w:color w:val="auto"/>
              </w:rPr>
            </w:pP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 MMBtu</w:t>
            </w: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72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72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72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432"/>
        </w:trPr>
        <w:tc>
          <w:tcPr>
            <w:tcW w:w="9480" w:type="dxa"/>
            <w:vAlign w:val="bottom"/>
            <w:gridSpan w:val="11"/>
          </w:tcPr>
          <w:p>
            <w:pPr>
              <w:spacing w:after="0"/>
              <w:rPr>
                <w:sz w:val="20"/>
                <w:szCs w:val="20"/>
                <w:color w:val="auto"/>
              </w:rPr>
            </w:pPr>
            <w:r>
              <w:rPr>
                <w:rFonts w:ascii="Arial" w:cs="Arial" w:eastAsia="Arial" w:hAnsi="Arial"/>
                <w:sz w:val="18"/>
                <w:szCs w:val="18"/>
                <w:color w:val="auto"/>
              </w:rPr>
              <w:t>Changes in the fair value of derivative contracts from December 31, 2012 to March 31, 2013, are presented below:</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Commodity</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6020" w:type="dxa"/>
            <w:vAlign w:val="bottom"/>
            <w:gridSpan w:val="6"/>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0"/>
              </w:rPr>
              <w:t>Net fair value of gas and oil derivative contracts outstanding at December 31, 2012</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color w:val="auto"/>
              </w:rPr>
              <w:t>Contracts settled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Change in gas and oil prices on futures markets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Contracts added</w:t>
            </w:r>
          </w:p>
        </w:tc>
        <w:tc>
          <w:tcPr>
            <w:tcW w:w="1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7820" w:type="dxa"/>
            <w:vAlign w:val="bottom"/>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March 31, 2013</w:t>
            </w: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gridSpan w:val="3"/>
            <w:vMerge w:val="restart"/>
          </w:tcPr>
          <w:p>
            <w:pPr>
              <w:jc w:val="center"/>
              <w:ind w:left="1730"/>
              <w:spacing w:after="0"/>
              <w:rPr>
                <w:sz w:val="20"/>
                <w:szCs w:val="20"/>
                <w:color w:val="auto"/>
              </w:rPr>
            </w:pPr>
            <w:r>
              <w:rPr>
                <w:rFonts w:ascii="Arial" w:cs="Arial" w:eastAsia="Arial" w:hAnsi="Arial"/>
                <w:sz w:val="18"/>
                <w:szCs w:val="18"/>
                <w:color w:val="auto"/>
                <w:w w:val="89"/>
              </w:rPr>
              <w:t>41</w:t>
            </w: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3" w:name="page44"/>
    <w:bookmarkEnd w:id="43"/>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2013</w:t>
            </w:r>
          </w:p>
        </w:tc>
      </w:tr>
      <w:tr>
        <w:trPr>
          <w:trHeight w:val="34"/>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224.2</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r>
      <w:tr>
        <w:trPr>
          <w:trHeight w:val="27"/>
        </w:trPr>
        <w:tc>
          <w:tcPr>
            <w:tcW w:w="9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Utilizing the actual derivative contractual volumes, a 10% increase in underlying commodity prices would reduce the fair value of these instruments by</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$149.2 million, while a 10% decrease in underlying commodity prices would increase the fair value of these instruments by $149.2 million as of March 31, 2013. However, a gain or loss eventually would be substantially offset by the actual sales value of the physical production covered by the derivative instruments. For additional information regarding the Company’s commodity derivative transactions, see Note 7 – Derivative Contracts under Part I, Item 1 of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ability to borrow and the rates offered by lenders can be adversely affected by illiquid credit markets as described in the risk factors in Part I, Item 1A of the Company’s Annual Report on Form 10-K for the year ended December 31, 2012. The Company’s credit facility has a floating interest rate which exposes QEP to interest rate risk. At March 31, 2013, the Company had $850.5 million outstanding under the credit facility. If interest rates were to increase or decrease 10% over the three months ended March 31, 2013, at our average level of borrowing for those same periods, our interest expense would increase or decrease by $0.4 million for the three months ended March 31, 2013, or approximately 1% in each period. The remaining $2,221.8 million of the Company’s debt is fixed rate Senior Notes that are not subject to interest rate movements.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term loan has a floating interest rate which exposes QEP to interest rate risk. At March 31, 2013, the Company had $300.0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under the term loan. During the second quarter of 2012, QEP entered into interest rate swap contracts, with an aggregate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to minimize the interest rate volatility risk associated with its $300.0 million senior, unsecured term loan agreement. QEP pays a fixed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 and receives a floating interest rate indexed to the one-month LIBOR. At March 31, 2013, the fair value of the interest rate swaps was a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liability balance of $5.7 million. A 50 basis point decrease would cause the fair value of the interest rate swaps to decrease by $5.1 million while a 50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point increase would cause the fair value of the interest rate swaps to increase by $5.8 million. For additional information regarding the Company’s 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instruments, see Note 9 – Debt under Part I,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gas, oil and NGL prices and factors affecting the volatility of such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drill or participate in wells and to defer completion of wells;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QEP's low cash operating costs and ability to control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the reclassification of the fixed-value related to de-designated hedges;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pension legislation;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gain on sale of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divest of assets, including plans to separate portions of gathering assets into a master limited partnership;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lower commodity prices;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 of recession;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enter into derivative contracts for a portion of forecasted production;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 of processing plants at assumed capacities;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unrealized derivative gains and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nonperformance by trade creditors or joint venture partners;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recently issued accounting pronouncements;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for future asset impairments;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future purchase accounting adjustments.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2012;</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QEP's inability to successfully integrate acquired assets or dispose of non-core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584" w:right="339" w:bottom="1440" w:gutter="0" w:footer="0" w:header="0"/>
        </w:sectPr>
      </w:pPr>
    </w:p>
    <w:bookmarkStart w:id="45" w:name="page46"/>
    <w:bookmarkEnd w:id="45"/>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as of March 31, 2013. Based on such evaluation, such officers have concluded that, as of March 31, 2013,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March 31, 2013, that have materially affected, or that are reasonably likely to materially affect, the Company’s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regarding legal proceedings is set forth in Note 10 - Contingencies to the Company's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2012. No material changes to such risk factors have occurred during the three months ended March 31, 2013.</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first quarter of 2013.</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0" w:right="259" w:bottom="1440" w:gutter="0" w:footer="0" w:header="0"/>
        </w:sectPr>
      </w:pPr>
    </w:p>
    <w:bookmarkStart w:id="46" w:name="page47"/>
    <w:bookmarkEnd w:id="46"/>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34"/>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Certification signed by C. B. Stanley and Richard J. Doleshek, QEP Resources, Inc.’s Chief Executive Officer and Chief Financial</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67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080"/>
          </w:cols>
          <w:pgMar w:left="240" w:top="580" w:right="5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32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 B. Stanley</w:t>
            </w:r>
          </w:p>
        </w:tc>
      </w:tr>
      <w:tr>
        <w:trPr>
          <w:trHeight w:val="55"/>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10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 B. Stanley,</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32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55"/>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10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March 31, 2013, as filed with the Securities and Exchange Commission on the date hereof (the Report), C.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30,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C.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30,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2019-12-07T00:27:46Z</dcterms:created>
  <dcterms:modified xsi:type="dcterms:W3CDTF">2019-12-07T00:27:46Z</dcterms:modified>
</cp:coreProperties>
</file>